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636C9BE" w14:textId="77777777" w:rsidR="00DC2B21" w:rsidRDefault="00827388">
      <w:pPr>
        <w:pBdr>
          <w:bottom w:val="single" w:sz="12" w:space="1" w:color="000001"/>
        </w:pBd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bookmarkStart w:id="0" w:name="_GoBack"/>
      <w:bookmarkEnd w:id="0"/>
      <w:r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14:paraId="6EE64115" w14:textId="77777777" w:rsidR="00DC2B21" w:rsidRDefault="00DC2B21">
      <w:pP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14:paraId="125BB246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pacing w:val="20"/>
          <w:sz w:val="22"/>
          <w:szCs w:val="22"/>
        </w:rPr>
        <w:t>IX. volebné obdobie</w:t>
      </w:r>
    </w:p>
    <w:p w14:paraId="62D2F3A1" w14:textId="77777777" w:rsidR="00DC2B21" w:rsidRDefault="00DC2B21">
      <w:pPr>
        <w:spacing w:before="120" w:line="276" w:lineRule="auto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14:paraId="51D95D46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pacing w:val="30"/>
          <w:sz w:val="22"/>
          <w:szCs w:val="22"/>
        </w:rPr>
        <w:t xml:space="preserve">Návrh </w:t>
      </w:r>
    </w:p>
    <w:p w14:paraId="1ADC34F4" w14:textId="77777777" w:rsidR="00DC2B21" w:rsidRDefault="00DC2B21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14:paraId="0CE8250C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14:paraId="40E1FDDF" w14:textId="77777777" w:rsidR="00DC2B21" w:rsidRDefault="00DC2B21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14:paraId="38D53CE9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z ... 2025</w:t>
      </w:r>
    </w:p>
    <w:p w14:paraId="678E9BDF" w14:textId="77777777" w:rsidR="00DC2B21" w:rsidRDefault="00DC2B21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14:paraId="64FEA30F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o preukazovaní pôvodu príjmov a majetku a o zmene a doplnení niektorých zákonov</w:t>
      </w:r>
    </w:p>
    <w:p w14:paraId="17C2699E" w14:textId="77777777" w:rsidR="00DC2B21" w:rsidRDefault="00DC2B21">
      <w:pPr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185A8CD8" w14:textId="77777777" w:rsidR="00DC2B21" w:rsidRDefault="00827388">
      <w:pPr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14:paraId="64DA0805" w14:textId="77777777" w:rsidR="00DC2B21" w:rsidRDefault="00DC2B21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14:paraId="1B728195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Čl. I</w:t>
      </w:r>
    </w:p>
    <w:p w14:paraId="12E1FBD6" w14:textId="77777777" w:rsidR="00DC2B21" w:rsidRDefault="00DC2B21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14:paraId="0286F7E5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PRVÁ ČASŤ</w:t>
      </w:r>
    </w:p>
    <w:p w14:paraId="0EE0B3AF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ZÁKLADNÉ USTANOVENIA</w:t>
      </w:r>
    </w:p>
    <w:p w14:paraId="5D59E97C" w14:textId="77777777" w:rsidR="00DC2B21" w:rsidRDefault="00827388">
      <w:pPr>
        <w:tabs>
          <w:tab w:val="left" w:pos="885"/>
        </w:tabs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§ 1</w:t>
      </w:r>
    </w:p>
    <w:p w14:paraId="5D5F31A2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Predmet úpravy </w:t>
      </w:r>
    </w:p>
    <w:p w14:paraId="27FFE9CC" w14:textId="77777777" w:rsidR="00DC2B21" w:rsidRDefault="00827388">
      <w:pPr>
        <w:pStyle w:val="Odsekzoznamu"/>
        <w:numPr>
          <w:ilvl w:val="0"/>
          <w:numId w:val="1"/>
        </w:numPr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Tento zákon upravuje</w:t>
      </w:r>
    </w:p>
    <w:p w14:paraId="1FB8F7B3" w14:textId="77777777" w:rsidR="00DC2B21" w:rsidRDefault="00827388">
      <w:pPr>
        <w:pStyle w:val="Odsekzoznamu"/>
        <w:numPr>
          <w:ilvl w:val="0"/>
          <w:numId w:val="2"/>
        </w:numPr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preukazovanie pôvodu príjmu a majetku,</w:t>
      </w:r>
    </w:p>
    <w:p w14:paraId="16035789" w14:textId="77777777" w:rsidR="00DC2B21" w:rsidRDefault="00827388">
      <w:pPr>
        <w:pStyle w:val="Odsekzoznamu"/>
        <w:numPr>
          <w:ilvl w:val="0"/>
          <w:numId w:val="2"/>
        </w:numPr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podmienky a postup orgánu verejnej moci pri preukazovaní pôvodu príjmov </w:t>
      </w:r>
      <w:r>
        <w:rPr>
          <w:rFonts w:ascii="Book Antiqua" w:hAnsi="Book Antiqua" w:cs="Book Antiqua"/>
          <w:sz w:val="22"/>
          <w:szCs w:val="22"/>
        </w:rPr>
        <w:t>a majetku fyzických osôb a právnických osôb,</w:t>
      </w:r>
    </w:p>
    <w:p w14:paraId="1941DD84" w14:textId="77777777" w:rsidR="00DC2B21" w:rsidRDefault="00827388">
      <w:pPr>
        <w:pStyle w:val="Odsekzoznamu"/>
        <w:numPr>
          <w:ilvl w:val="0"/>
          <w:numId w:val="2"/>
        </w:numPr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práva a povinnosti fyzických osôb a právnických osôb pri preukazovaní pôvodu príjmov a majetku,</w:t>
      </w:r>
    </w:p>
    <w:p w14:paraId="0EDBD404" w14:textId="77777777" w:rsidR="00DC2B21" w:rsidRDefault="00827388">
      <w:pPr>
        <w:pStyle w:val="Odsekzoznamu"/>
        <w:numPr>
          <w:ilvl w:val="0"/>
          <w:numId w:val="2"/>
        </w:numPr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sankcie.</w:t>
      </w:r>
    </w:p>
    <w:p w14:paraId="226166BC" w14:textId="77777777" w:rsidR="00DC2B21" w:rsidRDefault="00827388">
      <w:pPr>
        <w:pStyle w:val="Odsekzoznamu"/>
        <w:numPr>
          <w:ilvl w:val="0"/>
          <w:numId w:val="1"/>
        </w:numPr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Tento zákon sa vzťahuje na fyzické osoby a právnické osoby, ktoré sú daňovníkmi  podľa osobitného zákona.</w:t>
      </w:r>
      <w:r>
        <w:rPr>
          <w:rStyle w:val="Odkaznapoznmkupodiarou"/>
          <w:rFonts w:ascii="Book Antiqua" w:eastAsia="Calibri" w:hAnsi="Book Antiqua" w:cs="Book Antiqua"/>
          <w:sz w:val="22"/>
          <w:szCs w:val="22"/>
        </w:rPr>
        <w:footnoteReference w:id="1"/>
      </w:r>
      <w:r>
        <w:rPr>
          <w:rFonts w:ascii="Book Antiqua" w:hAnsi="Book Antiqua" w:cs="Book Antiqua"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sz w:val="22"/>
          <w:szCs w:val="22"/>
        </w:rPr>
        <w:t xml:space="preserve"> </w:t>
      </w:r>
    </w:p>
    <w:p w14:paraId="0DAF0681" w14:textId="77777777" w:rsidR="00DC2B21" w:rsidRDefault="00DC2B21">
      <w:pPr>
        <w:spacing w:before="120" w:line="276" w:lineRule="auto"/>
        <w:rPr>
          <w:rFonts w:ascii="Book Antiqua" w:hAnsi="Book Antiqua" w:cs="Book Antiqua"/>
          <w:b/>
          <w:bCs/>
          <w:sz w:val="22"/>
          <w:szCs w:val="22"/>
        </w:rPr>
      </w:pPr>
    </w:p>
    <w:p w14:paraId="0E992BED" w14:textId="77777777" w:rsidR="00DC2B21" w:rsidRDefault="00DC2B21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14:paraId="2536EB41" w14:textId="77777777" w:rsidR="00DC2B21" w:rsidRDefault="00DC2B21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14:paraId="46EBF361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lastRenderedPageBreak/>
        <w:t>§ 2</w:t>
      </w:r>
    </w:p>
    <w:p w14:paraId="64E4B71D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Vymedzenie pojmov</w:t>
      </w:r>
    </w:p>
    <w:p w14:paraId="3551BC70" w14:textId="77777777" w:rsidR="00DC2B21" w:rsidRDefault="00827388">
      <w:pPr>
        <w:pStyle w:val="Odsekzoznamu"/>
        <w:spacing w:before="120" w:after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Na účely tohto zákona sa rozumie</w:t>
      </w:r>
    </w:p>
    <w:p w14:paraId="1BB6D38E" w14:textId="77777777" w:rsidR="00DC2B21" w:rsidRDefault="00827388">
      <w:pPr>
        <w:pStyle w:val="Odsekzoznamu"/>
        <w:numPr>
          <w:ilvl w:val="0"/>
          <w:numId w:val="3"/>
        </w:numPr>
        <w:spacing w:before="120" w:after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daňovníkom fyzická osoba alebo právnická osoba podľa osobitného predpisu</w:t>
      </w:r>
      <w:r>
        <w:rPr>
          <w:rFonts w:ascii="Book Antiqua" w:hAnsi="Book Antiqua" w:cs="Book Antiqua"/>
          <w:sz w:val="22"/>
          <w:szCs w:val="22"/>
          <w:vertAlign w:val="superscript"/>
        </w:rPr>
        <w:t>1)</w:t>
      </w:r>
      <w:r>
        <w:rPr>
          <w:rFonts w:ascii="Book Antiqua" w:hAnsi="Book Antiqua" w:cs="Book Antiqua"/>
          <w:sz w:val="22"/>
          <w:szCs w:val="22"/>
        </w:rPr>
        <w:t>,</w:t>
      </w:r>
    </w:p>
    <w:p w14:paraId="4FDEB145" w14:textId="77777777" w:rsidR="00DC2B21" w:rsidRDefault="00827388">
      <w:pPr>
        <w:pStyle w:val="Odsekzoznamu"/>
        <w:numPr>
          <w:ilvl w:val="0"/>
          <w:numId w:val="3"/>
        </w:numPr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správcom dane orgán verejnej moci príslušný podľa osobitného predpisu</w:t>
      </w:r>
      <w:r>
        <w:rPr>
          <w:rStyle w:val="Odkaznapoznmkupodiarou"/>
          <w:rFonts w:ascii="Book Antiqua" w:eastAsia="Calibri" w:hAnsi="Book Antiqua" w:cs="Book Antiqua"/>
          <w:sz w:val="22"/>
          <w:szCs w:val="22"/>
        </w:rPr>
        <w:footnoteReference w:id="2"/>
      </w:r>
      <w:r>
        <w:rPr>
          <w:rFonts w:ascii="Book Antiqua" w:hAnsi="Book Antiqua" w:cs="Book Antiqua"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sz w:val="22"/>
          <w:szCs w:val="22"/>
        </w:rPr>
        <w:t>,</w:t>
      </w:r>
    </w:p>
    <w:p w14:paraId="2D43973C" w14:textId="77777777" w:rsidR="00DC2B21" w:rsidRDefault="00827388">
      <w:pPr>
        <w:pStyle w:val="Odsekzoznamu"/>
        <w:numPr>
          <w:ilvl w:val="0"/>
          <w:numId w:val="3"/>
        </w:numPr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príjmom príjem podľa osobitného predpisu</w:t>
      </w:r>
      <w:r>
        <w:rPr>
          <w:rStyle w:val="Odkaznapoznmkupodiarou"/>
          <w:rFonts w:ascii="Book Antiqua" w:eastAsia="Calibri" w:hAnsi="Book Antiqua" w:cs="Book Antiqua"/>
          <w:sz w:val="22"/>
          <w:szCs w:val="22"/>
        </w:rPr>
        <w:footnoteReference w:id="3"/>
      </w:r>
      <w:r>
        <w:rPr>
          <w:rFonts w:ascii="Book Antiqua" w:hAnsi="Book Antiqua" w:cs="Book Antiqua"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sz w:val="22"/>
          <w:szCs w:val="22"/>
        </w:rPr>
        <w:t>, ak</w:t>
      </w:r>
      <w:r>
        <w:rPr>
          <w:rFonts w:ascii="Book Antiqua" w:hAnsi="Book Antiqua" w:cs="Book Antiqua"/>
          <w:sz w:val="22"/>
          <w:szCs w:val="22"/>
        </w:rPr>
        <w:t xml:space="preserve"> je predmetom dane</w:t>
      </w:r>
      <w:r>
        <w:rPr>
          <w:rStyle w:val="Odkaznapoznmkupodiarou"/>
          <w:rFonts w:ascii="Book Antiqua" w:eastAsia="Calibri" w:hAnsi="Book Antiqua" w:cs="Book Antiqua"/>
          <w:sz w:val="22"/>
          <w:szCs w:val="22"/>
        </w:rPr>
        <w:footnoteReference w:id="4"/>
      </w:r>
      <w:r>
        <w:rPr>
          <w:rFonts w:ascii="Book Antiqua" w:hAnsi="Book Antiqua" w:cs="Book Antiqua"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sz w:val="22"/>
          <w:szCs w:val="22"/>
        </w:rPr>
        <w:t xml:space="preserve"> vrátane osobitne vymedzeného predmetu dane podľa osobitného predpisu</w:t>
      </w:r>
      <w:r>
        <w:rPr>
          <w:rStyle w:val="Odkaznapoznmkupodiarou"/>
          <w:rFonts w:ascii="Book Antiqua" w:eastAsia="Calibri" w:hAnsi="Book Antiqua" w:cs="Book Antiqua"/>
          <w:sz w:val="22"/>
          <w:szCs w:val="22"/>
        </w:rPr>
        <w:footnoteReference w:id="5"/>
      </w:r>
      <w:r>
        <w:rPr>
          <w:rFonts w:ascii="Book Antiqua" w:hAnsi="Book Antiqua" w:cs="Book Antiqua"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sz w:val="22"/>
          <w:szCs w:val="22"/>
        </w:rPr>
        <w:t>,</w:t>
      </w:r>
    </w:p>
    <w:p w14:paraId="150D933E" w14:textId="77777777" w:rsidR="00DC2B21" w:rsidRDefault="00827388">
      <w:pPr>
        <w:pStyle w:val="Odsekzoznamu"/>
        <w:numPr>
          <w:ilvl w:val="0"/>
          <w:numId w:val="3"/>
        </w:numPr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nepreukázaným príjmom príjem, ktorý nie je hodnoverne preukázaný v rozsahu ustanovenom týmto zákonom,</w:t>
      </w:r>
    </w:p>
    <w:p w14:paraId="44D67F13" w14:textId="77777777" w:rsidR="00DC2B21" w:rsidRDefault="00827388">
      <w:pPr>
        <w:pStyle w:val="Odsekzoznamu"/>
        <w:numPr>
          <w:ilvl w:val="0"/>
          <w:numId w:val="3"/>
        </w:numPr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majetkom </w:t>
      </w:r>
      <w:r>
        <w:rPr>
          <w:rFonts w:ascii="Book Antiqua" w:hAnsi="Book Antiqua" w:cs="Book Antiqua"/>
          <w:sz w:val="22"/>
          <w:szCs w:val="22"/>
          <w:shd w:val="clear" w:color="auto" w:fill="FFFFFF"/>
        </w:rPr>
        <w:t>veci podľa osobitného predpisu</w:t>
      </w:r>
      <w:r>
        <w:rPr>
          <w:rStyle w:val="Odkaznapoznmkupodiarou"/>
          <w:rFonts w:ascii="Book Antiqua" w:eastAsia="Calibri" w:hAnsi="Book Antiqua" w:cs="Book Antiqua"/>
          <w:sz w:val="22"/>
          <w:szCs w:val="22"/>
          <w:shd w:val="clear" w:color="auto" w:fill="FFFFFF"/>
        </w:rPr>
        <w:footnoteReference w:id="6"/>
      </w:r>
      <w:r>
        <w:rPr>
          <w:rFonts w:ascii="Book Antiqua" w:hAnsi="Book Antiqua" w:cs="Book Antiqua"/>
          <w:sz w:val="22"/>
          <w:szCs w:val="22"/>
          <w:shd w:val="clear" w:color="auto" w:fill="FFFFFF"/>
          <w:vertAlign w:val="superscript"/>
        </w:rPr>
        <w:t>)</w:t>
      </w:r>
      <w:r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, živé zvieratá, </w:t>
      </w:r>
      <w:r>
        <w:rPr>
          <w:rFonts w:ascii="Book Antiqua" w:hAnsi="Book Antiqua" w:cs="Book Antiqua"/>
          <w:sz w:val="22"/>
          <w:szCs w:val="22"/>
          <w:shd w:val="clear" w:color="auto" w:fill="FFFFFF"/>
        </w:rPr>
        <w:t>práva alebo iné majetkové hodnoty, najmä byty, nebytové priestory, pohľadávky, peniaze v hotovosti, devízové hodnoty, veci z drahých kovov a iné veci, pri ktorých nedochádza k predaju, cenné papiere, mzda a iné príjmy,</w:t>
      </w:r>
    </w:p>
    <w:p w14:paraId="73D5D5AA" w14:textId="77777777" w:rsidR="00DC2B21" w:rsidRDefault="00827388">
      <w:pPr>
        <w:pStyle w:val="Odsekzoznamu"/>
        <w:numPr>
          <w:ilvl w:val="0"/>
          <w:numId w:val="3"/>
        </w:numPr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  <w:shd w:val="clear" w:color="auto" w:fill="FFFFFF"/>
        </w:rPr>
        <w:t>neobvyklou obchodnou operáciou je prá</w:t>
      </w:r>
      <w:r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vny úkon alebo iný úkon, ktorý </w:t>
      </w:r>
      <w:r>
        <w:rPr>
          <w:rFonts w:ascii="Book Antiqua" w:hAnsi="Book Antiqua"/>
          <w:sz w:val="22"/>
          <w:szCs w:val="22"/>
        </w:rPr>
        <w:t xml:space="preserve">v danom čase a na danom mieste vzhľadom na svoju zložitosť, nezvyčajne vysoký objem finančných prostriedkov alebo inú svoju povahu, zjavne vybočuje z bežného rámca alebo povahy spôsobov nadobúdania príjmu alebo majetku osoby </w:t>
      </w:r>
      <w:r>
        <w:rPr>
          <w:rFonts w:ascii="Book Antiqua" w:hAnsi="Book Antiqua"/>
          <w:sz w:val="22"/>
          <w:szCs w:val="22"/>
        </w:rPr>
        <w:t>alebo nemá pre osobu, od ktorej bol príjem alebo majetok nadobudnutý, žiaden ekonomický účel alebo zrejmý zákonný účel,</w:t>
      </w:r>
    </w:p>
    <w:p w14:paraId="6D72CBD2" w14:textId="77777777" w:rsidR="00DC2B21" w:rsidRDefault="00827388">
      <w:pPr>
        <w:pStyle w:val="Odsekzoznamu"/>
        <w:numPr>
          <w:ilvl w:val="0"/>
          <w:numId w:val="3"/>
        </w:numPr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konaním o preukazovaní pôvodu príjmu a majetku konanie, v ktorom sa rozhoduje o právach a povinnostiach daňovníkov podľa tohto zákona. </w:t>
      </w:r>
    </w:p>
    <w:p w14:paraId="68023B3C" w14:textId="77777777" w:rsidR="00DC2B21" w:rsidRDefault="00DC2B21">
      <w:pPr>
        <w:pStyle w:val="Odsekzoznamu"/>
        <w:spacing w:before="120" w:after="0"/>
        <w:rPr>
          <w:rFonts w:ascii="Book Antiqua" w:hAnsi="Book Antiqua" w:cs="Book Antiqua"/>
          <w:sz w:val="22"/>
          <w:szCs w:val="22"/>
        </w:rPr>
      </w:pPr>
    </w:p>
    <w:p w14:paraId="38A7680E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DRUHÁ ČASŤ</w:t>
      </w:r>
    </w:p>
    <w:p w14:paraId="094FB336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PREUKAZOVANIE PÔVODU PRÍJMOV A MAJETKU</w:t>
      </w:r>
    </w:p>
    <w:p w14:paraId="519AD517" w14:textId="77777777" w:rsidR="00DC2B21" w:rsidRDefault="00827388">
      <w:pPr>
        <w:tabs>
          <w:tab w:val="left" w:pos="851"/>
        </w:tabs>
        <w:spacing w:before="120" w:line="276" w:lineRule="auto"/>
        <w:ind w:left="851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</w:rPr>
        <w:tab/>
        <w:t>§ 3</w:t>
      </w:r>
    </w:p>
    <w:p w14:paraId="3BEDAF38" w14:textId="77777777" w:rsidR="00DC2B21" w:rsidRDefault="00827388">
      <w:pPr>
        <w:tabs>
          <w:tab w:val="left" w:pos="851"/>
        </w:tabs>
        <w:spacing w:before="120" w:line="276" w:lineRule="auto"/>
        <w:ind w:left="851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</w:rPr>
        <w:tab/>
        <w:t>Výzva na preukázanie príjmov</w:t>
      </w:r>
    </w:p>
    <w:p w14:paraId="2867C559" w14:textId="77777777" w:rsidR="00DC2B21" w:rsidRDefault="00827388">
      <w:pPr>
        <w:pStyle w:val="Odsekzoznamu"/>
        <w:numPr>
          <w:ilvl w:val="0"/>
          <w:numId w:val="4"/>
        </w:numPr>
        <w:tabs>
          <w:tab w:val="left" w:pos="709"/>
        </w:tabs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Správca dane na základe písomného oznámenia alebo z vlastného podnetu vyzve daňovníka na preukázanie pôvodu príjmov a ďalších skutočností súvisiacich s nárastom jeh</w:t>
      </w:r>
      <w:r>
        <w:rPr>
          <w:rStyle w:val="tlid-translation"/>
          <w:rFonts w:ascii="Book Antiqua" w:hAnsi="Book Antiqua" w:cs="Book Antiqua"/>
          <w:sz w:val="22"/>
          <w:szCs w:val="22"/>
        </w:rPr>
        <w:t>o vlastníctva, spotreby alebo iných výdavkov v prípade, že</w:t>
      </w:r>
    </w:p>
    <w:p w14:paraId="300A9E2E" w14:textId="77777777" w:rsidR="00DC2B21" w:rsidRDefault="00827388">
      <w:pPr>
        <w:pStyle w:val="Odsekzoznamu"/>
        <w:numPr>
          <w:ilvl w:val="0"/>
          <w:numId w:val="5"/>
        </w:numPr>
        <w:tabs>
          <w:tab w:val="left" w:pos="851"/>
        </w:tabs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má dôvodné pochybnosti, či príjmy daňovníka oznámené alebo tvrdené správcovi dane zodpovedajú nárastu jeho vlastníctva, spotrebe alebo iných výdavkov, a nie sú mu známe skutočnosti, ktoré by nárast</w:t>
      </w:r>
      <w:r>
        <w:rPr>
          <w:rStyle w:val="tlid-translation"/>
          <w:rFonts w:ascii="Book Antiqua" w:hAnsi="Book Antiqua" w:cs="Book Antiqua"/>
          <w:sz w:val="22"/>
          <w:szCs w:val="22"/>
        </w:rPr>
        <w:t xml:space="preserve"> vlastníctva, spotreby alebo iných výdavkov objasňovali, a</w:t>
      </w:r>
    </w:p>
    <w:p w14:paraId="2263230E" w14:textId="77777777" w:rsidR="00DC2B21" w:rsidRDefault="00827388">
      <w:pPr>
        <w:pStyle w:val="Odsekzoznamu"/>
        <w:numPr>
          <w:ilvl w:val="0"/>
          <w:numId w:val="5"/>
        </w:numPr>
        <w:tabs>
          <w:tab w:val="left" w:pos="851"/>
        </w:tabs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lastRenderedPageBreak/>
        <w:t>po predbežnom posúdení dospeje k záveru, že rozdiel medzi týmito príjmami a nárastom vlastníctva, spotreby alebo iných výdavkov daňovníka presahuje 133 000 eur.</w:t>
      </w:r>
    </w:p>
    <w:p w14:paraId="5044897B" w14:textId="34B7FEA6" w:rsidR="00DC2B21" w:rsidRDefault="00827388">
      <w:pPr>
        <w:pStyle w:val="Odsekzoznamu"/>
        <w:numPr>
          <w:ilvl w:val="0"/>
          <w:numId w:val="4"/>
        </w:numPr>
        <w:tabs>
          <w:tab w:val="left" w:pos="709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Správca dane</w:t>
      </w:r>
      <w:r>
        <w:rPr>
          <w:rFonts w:ascii="Book Antiqua" w:hAnsi="Book Antiqua" w:cs="Book Antiqua"/>
          <w:sz w:val="22"/>
          <w:szCs w:val="22"/>
        </w:rPr>
        <w:t xml:space="preserve"> prijíma písomné oznámen</w:t>
      </w:r>
      <w:r>
        <w:rPr>
          <w:rFonts w:ascii="Book Antiqua" w:hAnsi="Book Antiqua" w:cs="Book Antiqua"/>
          <w:sz w:val="22"/>
          <w:szCs w:val="22"/>
        </w:rPr>
        <w:t>ia fyzických osôb a právnických osôb (ďalej len „oznamovateľ“) o odôvodnených podozreniach nasvedčujúcich nadobudnutie majetku z nepreukázaných príjmov. Z oznámenia musí byť zrejmé, kto ho podáva, akej veci sa týka, proti ktorej osobe smeruje a čo sa oznam</w:t>
      </w:r>
      <w:r>
        <w:rPr>
          <w:rFonts w:ascii="Book Antiqua" w:hAnsi="Book Antiqua" w:cs="Book Antiqua"/>
          <w:sz w:val="22"/>
          <w:szCs w:val="22"/>
        </w:rPr>
        <w:t>uje. Oznamovateľ označí majetok, proti ktorému oznámenie smeruje. Oznámenie musí byť podpísané</w:t>
      </w:r>
      <w:r w:rsidR="00AA3E4E">
        <w:rPr>
          <w:rFonts w:ascii="Book Antiqua" w:hAnsi="Book Antiqua" w:cs="Book Antiqua"/>
          <w:sz w:val="22"/>
          <w:szCs w:val="22"/>
        </w:rPr>
        <w:t xml:space="preserve">. </w:t>
      </w:r>
      <w:r>
        <w:rPr>
          <w:rFonts w:ascii="Book Antiqua" w:hAnsi="Book Antiqua" w:cs="Book Antiqua"/>
          <w:sz w:val="22"/>
          <w:szCs w:val="22"/>
        </w:rPr>
        <w:t>Správca dane je povinný pri preverovaní oznámenia zachovávať mlčanlivosť o totožnosti oznamovateľa; rovnakú povinnosť má aj iný orgán verejnej moci podľa odseku</w:t>
      </w:r>
      <w:r>
        <w:rPr>
          <w:rFonts w:ascii="Book Antiqua" w:hAnsi="Book Antiqua" w:cs="Book Antiqua"/>
          <w:sz w:val="22"/>
          <w:szCs w:val="22"/>
        </w:rPr>
        <w:t xml:space="preserve"> 4. Oznamovateľ má nárok na poskytnutie ochrany podľa osobitných predpisov</w:t>
      </w:r>
      <w:r>
        <w:rPr>
          <w:rStyle w:val="Odkaznapoznmkupodiarou"/>
          <w:rFonts w:ascii="Book Antiqua" w:eastAsia="Calibri" w:hAnsi="Book Antiqua" w:cs="Book Antiqua"/>
          <w:sz w:val="22"/>
          <w:szCs w:val="22"/>
        </w:rPr>
        <w:footnoteReference w:id="7"/>
      </w:r>
      <w:r>
        <w:rPr>
          <w:rFonts w:ascii="Book Antiqua" w:hAnsi="Book Antiqua" w:cs="Book Antiqua"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sz w:val="22"/>
          <w:szCs w:val="22"/>
        </w:rPr>
        <w:t>.</w:t>
      </w:r>
    </w:p>
    <w:p w14:paraId="705B12C4" w14:textId="77777777" w:rsidR="00DC2B21" w:rsidRDefault="00827388">
      <w:pPr>
        <w:pStyle w:val="Odsekzoznamu"/>
        <w:numPr>
          <w:ilvl w:val="0"/>
          <w:numId w:val="4"/>
        </w:numPr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Správca dane</w:t>
      </w:r>
      <w:r>
        <w:rPr>
          <w:rFonts w:ascii="Book Antiqua" w:hAnsi="Book Antiqua" w:cs="Book Antiqua"/>
          <w:sz w:val="22"/>
          <w:szCs w:val="22"/>
        </w:rPr>
        <w:t xml:space="preserve"> overuje totožnosť oznamovateľa, pričom neprihliada na písomné oznámenia podľa odseku 2, v ktorých nie je uvedené </w:t>
      </w:r>
    </w:p>
    <w:p w14:paraId="70EBD64C" w14:textId="77777777" w:rsidR="00DC2B21" w:rsidRDefault="00827388">
      <w:pPr>
        <w:pStyle w:val="Odsekzoznamu"/>
        <w:numPr>
          <w:ilvl w:val="0"/>
          <w:numId w:val="6"/>
        </w:numPr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meno, priezvisko a bydlisko alebo obchodné meno ale</w:t>
      </w:r>
      <w:r>
        <w:rPr>
          <w:rFonts w:ascii="Book Antiqua" w:hAnsi="Book Antiqua" w:cs="Book Antiqua"/>
          <w:sz w:val="22"/>
          <w:szCs w:val="22"/>
        </w:rPr>
        <w:t>bo názov a sídlo oznamovateľa,</w:t>
      </w:r>
    </w:p>
    <w:p w14:paraId="22890D6F" w14:textId="77777777" w:rsidR="00DC2B21" w:rsidRDefault="00827388">
      <w:pPr>
        <w:pStyle w:val="Odsekzoznamu"/>
        <w:numPr>
          <w:ilvl w:val="0"/>
          <w:numId w:val="6"/>
        </w:numPr>
        <w:spacing w:before="120" w:after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proti ktorej osobe oznámenie smeruje a čoho sa týka.</w:t>
      </w:r>
    </w:p>
    <w:p w14:paraId="7ED51D7B" w14:textId="77777777" w:rsidR="00DC2B21" w:rsidRDefault="00827388">
      <w:pPr>
        <w:pStyle w:val="Odsekzoznamu"/>
        <w:numPr>
          <w:ilvl w:val="0"/>
          <w:numId w:val="4"/>
        </w:numPr>
        <w:tabs>
          <w:tab w:val="left" w:pos="709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Ak bolo písomné oznámenie podľa odseku 2 doručené inému orgánu verejnej moci ako správcovi dane, ten bezodkladne postúpi vec správcovi dane a upovedomí o tom oznamovateľa.</w:t>
      </w:r>
    </w:p>
    <w:p w14:paraId="50D906CC" w14:textId="77777777" w:rsidR="00DC2B21" w:rsidRDefault="00827388">
      <w:pPr>
        <w:pStyle w:val="Odsekzoznamu"/>
        <w:numPr>
          <w:ilvl w:val="0"/>
          <w:numId w:val="4"/>
        </w:numPr>
        <w:tabs>
          <w:tab w:val="left" w:pos="709"/>
        </w:tabs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Správca dane vo výzve na preukázanie príjmov uvedie svoje pochybnosti spôsobom, ktorý daňovníkovi umožní vyjadriť sa a predložiť dokumentáciu potrebnú na odstránenie uvedených pochybností.</w:t>
      </w:r>
    </w:p>
    <w:p w14:paraId="30E69767" w14:textId="77777777" w:rsidR="00DC2B21" w:rsidRDefault="00827388">
      <w:pPr>
        <w:pStyle w:val="Odsekzoznamu"/>
        <w:numPr>
          <w:ilvl w:val="0"/>
          <w:numId w:val="4"/>
        </w:numPr>
        <w:tabs>
          <w:tab w:val="left" w:pos="709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Vo výzve na preukázanie príjmov správca dane</w:t>
      </w:r>
    </w:p>
    <w:p w14:paraId="194B1559" w14:textId="77777777" w:rsidR="00DC2B21" w:rsidRDefault="00827388">
      <w:pPr>
        <w:pStyle w:val="Odsekzoznamu"/>
        <w:numPr>
          <w:ilvl w:val="0"/>
          <w:numId w:val="7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 xml:space="preserve">určí rozhodné obdobie </w:t>
      </w:r>
      <w:r>
        <w:rPr>
          <w:rStyle w:val="tlid-translation"/>
          <w:rFonts w:ascii="Book Antiqua" w:hAnsi="Book Antiqua" w:cs="Book Antiqua"/>
          <w:sz w:val="22"/>
          <w:szCs w:val="22"/>
        </w:rPr>
        <w:t>pre posúdenie vzťahu príjmov daňovníka k nárastu jeho vlastníctva, spotreby alebo iných výdavkov,</w:t>
      </w:r>
    </w:p>
    <w:p w14:paraId="707EC362" w14:textId="77777777" w:rsidR="00DC2B21" w:rsidRDefault="00827388">
      <w:pPr>
        <w:pStyle w:val="Odsekzoznamu"/>
        <w:numPr>
          <w:ilvl w:val="0"/>
          <w:numId w:val="7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stanoví lehotu na vyjadrenie a predloženie dokumentácie na preukázanie požadovaných skutočností, ktorá nesmie byť kratšia ako 30 dní,</w:t>
      </w:r>
    </w:p>
    <w:p w14:paraId="4A1A6E74" w14:textId="77777777" w:rsidR="00DC2B21" w:rsidRDefault="00827388">
      <w:pPr>
        <w:pStyle w:val="Odsekzoznamu"/>
        <w:numPr>
          <w:ilvl w:val="0"/>
          <w:numId w:val="7"/>
        </w:numPr>
        <w:tabs>
          <w:tab w:val="left" w:pos="851"/>
        </w:tabs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poučí daňovníka o násled</w:t>
      </w:r>
      <w:r>
        <w:rPr>
          <w:rStyle w:val="tlid-translation"/>
          <w:rFonts w:ascii="Book Antiqua" w:hAnsi="Book Antiqua" w:cs="Book Antiqua"/>
          <w:sz w:val="22"/>
          <w:szCs w:val="22"/>
        </w:rPr>
        <w:t>koch spojených s neuposlúchnutím výzvy, nepreukázaním požadovaných skutočností alebo neposkytnutím dostatočnej súčinnosti pri preukazovaní požadovaných skutočností.</w:t>
      </w:r>
    </w:p>
    <w:p w14:paraId="730C2889" w14:textId="77777777" w:rsidR="00DC2B21" w:rsidRDefault="00827388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Správca dane môže požadované skutočnosti dopĺňať prostredníctvom ďalšej výzvy na preukázani</w:t>
      </w:r>
      <w:r>
        <w:rPr>
          <w:rStyle w:val="tlid-translation"/>
          <w:rFonts w:ascii="Book Antiqua" w:hAnsi="Book Antiqua" w:cs="Book Antiqua"/>
          <w:sz w:val="22"/>
          <w:szCs w:val="22"/>
        </w:rPr>
        <w:t>e príjmov. Na ďalšiu výzvu sa odseky 2, 3, 5, 6 a 9 uplatnia rovnako.</w:t>
      </w:r>
    </w:p>
    <w:p w14:paraId="347C0C27" w14:textId="77777777" w:rsidR="00DC2B21" w:rsidRDefault="00827388">
      <w:pPr>
        <w:pStyle w:val="Odsekzoznamu"/>
        <w:numPr>
          <w:ilvl w:val="0"/>
          <w:numId w:val="4"/>
        </w:numPr>
        <w:tabs>
          <w:tab w:val="left" w:pos="709"/>
        </w:tabs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Správca dane nevyzýva daňovníka na preukázanie skutočností, o ktorých je správcovi dane známe, že nastali v období, v ktorom už uplynula lehota na vyrubenie dane.</w:t>
      </w:r>
    </w:p>
    <w:p w14:paraId="15EAFBBA" w14:textId="77777777" w:rsidR="00DC2B21" w:rsidRDefault="00827388">
      <w:pPr>
        <w:pStyle w:val="Odsekzoznamu"/>
        <w:numPr>
          <w:ilvl w:val="0"/>
          <w:numId w:val="4"/>
        </w:numPr>
        <w:tabs>
          <w:tab w:val="left" w:pos="709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 xml:space="preserve">Ak došlo k preukázaniu </w:t>
      </w:r>
      <w:r>
        <w:rPr>
          <w:rStyle w:val="tlid-translation"/>
          <w:rFonts w:ascii="Book Antiqua" w:hAnsi="Book Antiqua" w:cs="Book Antiqua"/>
          <w:sz w:val="22"/>
          <w:szCs w:val="22"/>
        </w:rPr>
        <w:t>skutočností požadovaných vo výzve na preukázanie príjmov, správca dane o tom daňovníka vhodným spôsobom bezodkladne vyrozumie.</w:t>
      </w:r>
    </w:p>
    <w:p w14:paraId="72C7D3F3" w14:textId="77777777" w:rsidR="00DC2B21" w:rsidRDefault="00DC2B21">
      <w:pPr>
        <w:tabs>
          <w:tab w:val="left" w:pos="851"/>
        </w:tabs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771B191F" w14:textId="77777777" w:rsidR="00DC2B21" w:rsidRDefault="00827388">
      <w:pPr>
        <w:tabs>
          <w:tab w:val="left" w:pos="851"/>
        </w:tabs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lastRenderedPageBreak/>
        <w:t>§ 4</w:t>
      </w:r>
    </w:p>
    <w:p w14:paraId="659FA03D" w14:textId="77777777" w:rsidR="00DC2B21" w:rsidRDefault="00827388">
      <w:pPr>
        <w:tabs>
          <w:tab w:val="left" w:pos="851"/>
        </w:tabs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Výzva na podanie súpisu majetku</w:t>
      </w:r>
    </w:p>
    <w:p w14:paraId="37D3263E" w14:textId="77777777" w:rsidR="00DC2B21" w:rsidRDefault="00827388">
      <w:pPr>
        <w:pStyle w:val="Odsekzoznamu"/>
        <w:numPr>
          <w:ilvl w:val="0"/>
          <w:numId w:val="8"/>
        </w:numPr>
        <w:tabs>
          <w:tab w:val="left" w:pos="900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Správca dane daňovníka vyzve na podanie súpisu majetku, ak</w:t>
      </w:r>
    </w:p>
    <w:p w14:paraId="3A6EE972" w14:textId="77777777" w:rsidR="00DC2B21" w:rsidRDefault="00827388">
      <w:pPr>
        <w:pStyle w:val="Odsekzoznamu"/>
        <w:numPr>
          <w:ilvl w:val="0"/>
          <w:numId w:val="9"/>
        </w:numPr>
        <w:tabs>
          <w:tab w:val="left" w:pos="900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nedošlo k preukázaniu skutočností</w:t>
      </w:r>
      <w:r>
        <w:rPr>
          <w:rStyle w:val="tlid-translation"/>
          <w:rFonts w:ascii="Book Antiqua" w:hAnsi="Book Antiqua" w:cs="Book Antiqua"/>
          <w:sz w:val="22"/>
          <w:szCs w:val="22"/>
        </w:rPr>
        <w:t xml:space="preserve"> požadovaných vo výzve alebo ďalšej výzve na preukázanie príjmov podľa § 3 a</w:t>
      </w:r>
    </w:p>
    <w:p w14:paraId="4BFE9AD9" w14:textId="77777777" w:rsidR="00DC2B21" w:rsidRDefault="00827388">
      <w:pPr>
        <w:pStyle w:val="Odsekzoznamu"/>
        <w:numPr>
          <w:ilvl w:val="0"/>
          <w:numId w:val="9"/>
        </w:numPr>
        <w:tabs>
          <w:tab w:val="left" w:pos="900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 xml:space="preserve">informácie potrebné na zistenie stavu vlastníctva nemožno získať iným spôsobom, alebo ich možno získať len s nepomernými ťažkosťami. </w:t>
      </w:r>
    </w:p>
    <w:p w14:paraId="018747E9" w14:textId="77777777" w:rsidR="00DC2B21" w:rsidRDefault="00827388">
      <w:pPr>
        <w:pStyle w:val="Odsekzoznamu"/>
        <w:numPr>
          <w:ilvl w:val="0"/>
          <w:numId w:val="8"/>
        </w:numPr>
        <w:tabs>
          <w:tab w:val="left" w:pos="709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Správca dane vyzve daňovníka na podanie súpis</w:t>
      </w:r>
      <w:r>
        <w:rPr>
          <w:rStyle w:val="tlid-translation"/>
          <w:rFonts w:ascii="Book Antiqua" w:hAnsi="Book Antiqua" w:cs="Book Antiqua"/>
          <w:sz w:val="22"/>
          <w:szCs w:val="22"/>
        </w:rPr>
        <w:t>u majetku aj vtedy, ak zistí, že medzi jeho príjmami je aj príjem, ktorý má povahu neobvyklej obchodnej operácie.</w:t>
      </w:r>
    </w:p>
    <w:p w14:paraId="3DDE574A" w14:textId="77777777" w:rsidR="00DC2B21" w:rsidRDefault="00827388">
      <w:pPr>
        <w:pStyle w:val="Odsekzoznamu"/>
        <w:numPr>
          <w:ilvl w:val="0"/>
          <w:numId w:val="8"/>
        </w:numPr>
        <w:tabs>
          <w:tab w:val="left" w:pos="709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 xml:space="preserve">Vo výzve správca dane poučí daňovníka o povinnostiach spojených s doručením výzvy a prípadných následkoch spojených s neuposlúchnutím výzvy, </w:t>
      </w:r>
      <w:r>
        <w:rPr>
          <w:rStyle w:val="tlid-translation"/>
          <w:rFonts w:ascii="Book Antiqua" w:hAnsi="Book Antiqua" w:cs="Book Antiqua"/>
          <w:sz w:val="22"/>
          <w:szCs w:val="22"/>
        </w:rPr>
        <w:t>uvedením nepravdivých alebo hrubo skreslených údajov v súpise majetku alebo zatajením povinných údajov; správca dane nie je v súvislosti s informáciami obsiahnutými v súpise majetku viazaný povinnosťou mlčanlivosti na účely trestného konania.</w:t>
      </w:r>
    </w:p>
    <w:p w14:paraId="15C77AB8" w14:textId="77777777" w:rsidR="00DC2B21" w:rsidRDefault="00827388">
      <w:pPr>
        <w:pStyle w:val="Odsekzoznamu"/>
        <w:numPr>
          <w:ilvl w:val="0"/>
          <w:numId w:val="8"/>
        </w:numPr>
        <w:tabs>
          <w:tab w:val="left" w:pos="709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 xml:space="preserve">Správca dane </w:t>
      </w:r>
      <w:r>
        <w:rPr>
          <w:rStyle w:val="tlid-translation"/>
          <w:rFonts w:ascii="Book Antiqua" w:hAnsi="Book Antiqua" w:cs="Book Antiqua"/>
          <w:sz w:val="22"/>
          <w:szCs w:val="22"/>
        </w:rPr>
        <w:t>má právo skontrolovať pravdivosť súpisu majetku daňovníka. Ak daňovník na výzvu správcu dane nepodá súpis majetku, alebo v ňom zatají povinné údaje alebo uvedie nepravdivé alebo hrubo skreslené údaje, správca dane bez ďalšieho pristúpi k vyrubeniu dane oso</w:t>
      </w:r>
      <w:r>
        <w:rPr>
          <w:rStyle w:val="tlid-translation"/>
          <w:rFonts w:ascii="Book Antiqua" w:hAnsi="Book Antiqua" w:cs="Book Antiqua"/>
          <w:sz w:val="22"/>
          <w:szCs w:val="22"/>
        </w:rPr>
        <w:t>bitným spôsobom podľa pomôcok.</w:t>
      </w:r>
    </w:p>
    <w:p w14:paraId="20BB92B4" w14:textId="77777777" w:rsidR="00DC2B21" w:rsidRDefault="00827388">
      <w:pPr>
        <w:pStyle w:val="Odsekzoznamu"/>
        <w:numPr>
          <w:ilvl w:val="0"/>
          <w:numId w:val="8"/>
        </w:numPr>
        <w:tabs>
          <w:tab w:val="left" w:pos="709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Ak správca dane zistí, že majetok daňovníka alebo jeho časť pochádza z neobvyklej obchodnej operácie, vyzve na preukázanie príjmov podľa § 3 a na podanie súpisu majetku aj osobu, ktorá bola protistranou daňovníka pri neobvykl</w:t>
      </w:r>
      <w:r>
        <w:rPr>
          <w:rStyle w:val="tlid-translation"/>
          <w:rFonts w:ascii="Book Antiqua" w:hAnsi="Book Antiqua" w:cs="Book Antiqua"/>
          <w:sz w:val="22"/>
          <w:szCs w:val="22"/>
        </w:rPr>
        <w:t>ej obchodnej operácii, a to bez toho, aby boli splnené podmienky uvedené v § 3 ods. 1 a § 4 ods. 1. Odsek 4 sa na protistranu daňovníka vzťahuje rovnako, ak je táto osoba daňovníkom.</w:t>
      </w:r>
    </w:p>
    <w:p w14:paraId="56F7BD29" w14:textId="77777777" w:rsidR="00DC2B21" w:rsidRDefault="00827388">
      <w:pPr>
        <w:pStyle w:val="Odsekzoznamu"/>
        <w:numPr>
          <w:ilvl w:val="0"/>
          <w:numId w:val="8"/>
        </w:numPr>
        <w:tabs>
          <w:tab w:val="left" w:pos="709"/>
        </w:tabs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Ak protistrana daňovníka nie je daňovníkom, správca dane je povinný neobv</w:t>
      </w:r>
      <w:r>
        <w:rPr>
          <w:rFonts w:ascii="Book Antiqua" w:hAnsi="Book Antiqua" w:cs="Book Antiqua"/>
          <w:sz w:val="22"/>
          <w:szCs w:val="22"/>
        </w:rPr>
        <w:t>yklú obchodnú operáciu ohlásiť príslušnému orgánu</w:t>
      </w:r>
      <w:r>
        <w:rPr>
          <w:rStyle w:val="Odkaznapoznmkupodiarou"/>
          <w:rFonts w:ascii="Book Antiqua" w:eastAsia="Calibri" w:hAnsi="Book Antiqua" w:cs="Book Antiqua"/>
          <w:sz w:val="22"/>
          <w:szCs w:val="22"/>
        </w:rPr>
        <w:footnoteReference w:id="8"/>
      </w:r>
      <w:r>
        <w:rPr>
          <w:rFonts w:ascii="Book Antiqua" w:hAnsi="Book Antiqua" w:cs="Book Antiqua"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sz w:val="22"/>
          <w:szCs w:val="22"/>
        </w:rPr>
        <w:t>; na tieto účely má správca dane postavenie povinnej osoby</w:t>
      </w:r>
      <w:r>
        <w:rPr>
          <w:rStyle w:val="Odkaznapoznmkupodiarou"/>
          <w:rFonts w:ascii="Book Antiqua" w:eastAsia="Calibri" w:hAnsi="Book Antiqua" w:cs="Book Antiqua"/>
          <w:sz w:val="22"/>
          <w:szCs w:val="22"/>
        </w:rPr>
        <w:footnoteReference w:id="9"/>
      </w:r>
      <w:r>
        <w:rPr>
          <w:rFonts w:ascii="Book Antiqua" w:hAnsi="Book Antiqua" w:cs="Book Antiqua"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sz w:val="22"/>
          <w:szCs w:val="22"/>
        </w:rPr>
        <w:t>.</w:t>
      </w:r>
    </w:p>
    <w:p w14:paraId="7920A974" w14:textId="77777777" w:rsidR="00DC2B21" w:rsidRDefault="00827388">
      <w:pPr>
        <w:tabs>
          <w:tab w:val="left" w:pos="851"/>
        </w:tabs>
        <w:spacing w:before="120" w:line="276" w:lineRule="auto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</w:rPr>
        <w:tab/>
      </w:r>
    </w:p>
    <w:p w14:paraId="7511C5FE" w14:textId="77777777" w:rsidR="00DC2B21" w:rsidRDefault="00827388">
      <w:pPr>
        <w:tabs>
          <w:tab w:val="left" w:pos="851"/>
        </w:tabs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§ 5</w:t>
      </w:r>
    </w:p>
    <w:p w14:paraId="45E58F0B" w14:textId="77777777" w:rsidR="00DC2B21" w:rsidRDefault="00827388">
      <w:pPr>
        <w:tabs>
          <w:tab w:val="left" w:pos="851"/>
        </w:tabs>
        <w:spacing w:before="120" w:line="276" w:lineRule="auto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</w:rPr>
        <w:tab/>
        <w:t>Náležitosti súpisu majetku</w:t>
      </w:r>
    </w:p>
    <w:p w14:paraId="12AD76E2" w14:textId="77777777" w:rsidR="00DC2B21" w:rsidRDefault="00827388">
      <w:pPr>
        <w:pStyle w:val="Odsekzoznamu"/>
        <w:numPr>
          <w:ilvl w:val="0"/>
          <w:numId w:val="10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V súpise majetku je daňovník povinný uviesť úplné a pravdivé údaje.</w:t>
      </w:r>
    </w:p>
    <w:p w14:paraId="23B6866F" w14:textId="77777777" w:rsidR="00DC2B21" w:rsidRDefault="00827388">
      <w:pPr>
        <w:pStyle w:val="Odsekzoznamu"/>
        <w:numPr>
          <w:ilvl w:val="0"/>
          <w:numId w:val="10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V súpise majetku je daňovník povi</w:t>
      </w:r>
      <w:r>
        <w:rPr>
          <w:rStyle w:val="tlid-translation"/>
          <w:rFonts w:ascii="Book Antiqua" w:hAnsi="Book Antiqua" w:cs="Book Antiqua"/>
          <w:sz w:val="22"/>
          <w:szCs w:val="22"/>
        </w:rPr>
        <w:t xml:space="preserve">nný uviesť </w:t>
      </w:r>
    </w:p>
    <w:p w14:paraId="2C500AFF" w14:textId="77777777" w:rsidR="00DC2B21" w:rsidRDefault="00827388">
      <w:pPr>
        <w:pStyle w:val="Odsekzoznamu"/>
        <w:numPr>
          <w:ilvl w:val="0"/>
          <w:numId w:val="11"/>
        </w:numPr>
        <w:tabs>
          <w:tab w:val="left" w:pos="851"/>
        </w:tabs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názov a sídlo správcu dane,</w:t>
      </w:r>
    </w:p>
    <w:p w14:paraId="15C294BB" w14:textId="77777777" w:rsidR="00DC2B21" w:rsidRDefault="00827388">
      <w:pPr>
        <w:pStyle w:val="Odsekzoznamu"/>
        <w:numPr>
          <w:ilvl w:val="0"/>
          <w:numId w:val="11"/>
        </w:numPr>
        <w:tabs>
          <w:tab w:val="left" w:pos="851"/>
        </w:tabs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meno, priezvisko, trvalý pobyt daňovníka alebo obchodné meno, sídlo a identifikačné číslo daňovníka, </w:t>
      </w:r>
    </w:p>
    <w:p w14:paraId="64D09755" w14:textId="176BBFC9" w:rsidR="00DC2B21" w:rsidRDefault="00827388">
      <w:pPr>
        <w:pStyle w:val="Odsekzoznamu"/>
        <w:numPr>
          <w:ilvl w:val="0"/>
          <w:numId w:val="11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 w:rsidRPr="00AA3E4E">
        <w:rPr>
          <w:rStyle w:val="tlid-translation"/>
          <w:rFonts w:ascii="Book Antiqua" w:hAnsi="Book Antiqua" w:cs="Book Antiqua"/>
          <w:sz w:val="22"/>
          <w:szCs w:val="22"/>
        </w:rPr>
        <w:lastRenderedPageBreak/>
        <w:t>plat</w:t>
      </w:r>
      <w:r w:rsidR="0029146A" w:rsidRPr="00AA3E4E">
        <w:rPr>
          <w:rStyle w:val="tlid-translation"/>
          <w:rFonts w:ascii="Book Antiqua" w:hAnsi="Book Antiqua" w:cs="Book Antiqua"/>
          <w:sz w:val="22"/>
          <w:szCs w:val="22"/>
        </w:rPr>
        <w:t>iteľa</w:t>
      </w:r>
      <w:r>
        <w:rPr>
          <w:rStyle w:val="tlid-translation"/>
          <w:rFonts w:ascii="Book Antiqua" w:hAnsi="Book Antiqua" w:cs="Book Antiqua"/>
          <w:sz w:val="22"/>
          <w:szCs w:val="22"/>
        </w:rPr>
        <w:t xml:space="preserve"> mzdy alebo iného príjmu postihnuteľného zrážkami zo mzdy a výšku týchto svojich nárokov,</w:t>
      </w:r>
    </w:p>
    <w:p w14:paraId="314A8A12" w14:textId="77777777" w:rsidR="00DC2B21" w:rsidRDefault="00827388">
      <w:pPr>
        <w:pStyle w:val="Odsekzoznamu"/>
        <w:numPr>
          <w:ilvl w:val="0"/>
          <w:numId w:val="11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 xml:space="preserve">poskytovateľov </w:t>
      </w:r>
      <w:r>
        <w:rPr>
          <w:rStyle w:val="tlid-translation"/>
          <w:rFonts w:ascii="Book Antiqua" w:hAnsi="Book Antiqua" w:cs="Book Antiqua"/>
          <w:sz w:val="22"/>
          <w:szCs w:val="22"/>
        </w:rPr>
        <w:t>platobných služieb, u ktorých má peňažné prostriedky na účtoch, čísla účtov a výšku peňažných prostriedkov na nich,</w:t>
      </w:r>
    </w:p>
    <w:p w14:paraId="139FA77D" w14:textId="77777777" w:rsidR="00DC2B21" w:rsidRDefault="00827388">
      <w:pPr>
        <w:pStyle w:val="Odsekzoznamu"/>
        <w:numPr>
          <w:ilvl w:val="0"/>
          <w:numId w:val="11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osoby, voči ktorým má iné peňažné pohľadávky, dôvod, výšku a deň splatnosti týchto pohľadávok,</w:t>
      </w:r>
    </w:p>
    <w:p w14:paraId="6EE91CCE" w14:textId="77777777" w:rsidR="00DC2B21" w:rsidRDefault="00827388">
      <w:pPr>
        <w:pStyle w:val="Odsekzoznamu"/>
        <w:numPr>
          <w:ilvl w:val="0"/>
          <w:numId w:val="11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osoby, ktoré majú voči daňovníkovi pohľadávky</w:t>
      </w:r>
      <w:r>
        <w:rPr>
          <w:rStyle w:val="tlid-translation"/>
          <w:rFonts w:ascii="Book Antiqua" w:hAnsi="Book Antiqua" w:cs="Book Antiqua"/>
          <w:sz w:val="22"/>
          <w:szCs w:val="22"/>
        </w:rPr>
        <w:t>, dôvod, výšku a deň splatnosti týchto pohľadávok,</w:t>
      </w:r>
    </w:p>
    <w:p w14:paraId="00030619" w14:textId="77777777" w:rsidR="00DC2B21" w:rsidRDefault="00827388">
      <w:pPr>
        <w:pStyle w:val="Odsekzoznamu"/>
        <w:numPr>
          <w:ilvl w:val="0"/>
          <w:numId w:val="11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osoby, voči ktorým má iné majetkové práva alebo nároky na iné majetkové hodnoty, ich dôvod a hodnotu, prípadne dátum, kedy sa majú plniť,</w:t>
      </w:r>
    </w:p>
    <w:p w14:paraId="0F0D98EB" w14:textId="77777777" w:rsidR="00DC2B21" w:rsidRDefault="00827388">
      <w:pPr>
        <w:pStyle w:val="Odsekzoznamu"/>
        <w:numPr>
          <w:ilvl w:val="0"/>
          <w:numId w:val="11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hnuteľné veci, ktoré vlastní, prípadne na ktorých má spoluvlastníck</w:t>
      </w:r>
      <w:r>
        <w:rPr>
          <w:rStyle w:val="tlid-translation"/>
          <w:rFonts w:ascii="Book Antiqua" w:hAnsi="Book Antiqua" w:cs="Book Antiqua"/>
          <w:sz w:val="22"/>
          <w:szCs w:val="22"/>
        </w:rPr>
        <w:t xml:space="preserve">y podiel, s výnimkou vecí, ktoré nepodliehajú výkonu rozhodnutia, miesto, prípadne osobu, u ktorej sa nachádzajú; to isté platí aj o vkladných knižkách, vkladových listoch a iných formách vkladov, cenných papieroch, vrátane zaknihovaných a </w:t>
      </w:r>
      <w:proofErr w:type="spellStart"/>
      <w:r>
        <w:rPr>
          <w:rStyle w:val="tlid-translation"/>
          <w:rFonts w:ascii="Book Antiqua" w:hAnsi="Book Antiqua" w:cs="Book Antiqua"/>
          <w:sz w:val="22"/>
          <w:szCs w:val="22"/>
        </w:rPr>
        <w:t>imobilizovaných</w:t>
      </w:r>
      <w:proofErr w:type="spellEnd"/>
      <w:r>
        <w:rPr>
          <w:rStyle w:val="tlid-translation"/>
          <w:rFonts w:ascii="Book Antiqua" w:hAnsi="Book Antiqua" w:cs="Book Antiqua"/>
          <w:sz w:val="22"/>
          <w:szCs w:val="22"/>
        </w:rPr>
        <w:t>,</w:t>
      </w:r>
      <w:r>
        <w:rPr>
          <w:rStyle w:val="tlid-translation"/>
          <w:rFonts w:ascii="Book Antiqua" w:hAnsi="Book Antiqua" w:cs="Book Antiqua"/>
          <w:sz w:val="22"/>
          <w:szCs w:val="22"/>
        </w:rPr>
        <w:t xml:space="preserve"> listinách, ktoré treba predložiť na uplatnenie vlastníckeho práva k veci, ceninách, peniazoch a ďalších platobných prostriedkoch,</w:t>
      </w:r>
    </w:p>
    <w:p w14:paraId="17B02CD1" w14:textId="77777777" w:rsidR="00DC2B21" w:rsidRDefault="00827388">
      <w:pPr>
        <w:pStyle w:val="Odsekzoznamu"/>
        <w:numPr>
          <w:ilvl w:val="0"/>
          <w:numId w:val="11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nehnuteľné veci, ktoré vlastní, prípadne na ktorých má spoluvlastnícky podiel, a jeho výšku,</w:t>
      </w:r>
    </w:p>
    <w:p w14:paraId="5CB40D25" w14:textId="77777777" w:rsidR="00DC2B21" w:rsidRDefault="00827388">
      <w:pPr>
        <w:pStyle w:val="Odsekzoznamu"/>
        <w:numPr>
          <w:ilvl w:val="0"/>
          <w:numId w:val="11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 xml:space="preserve">    obchodné spoločnosti, ktoré </w:t>
      </w:r>
      <w:r>
        <w:rPr>
          <w:rStyle w:val="tlid-translation"/>
          <w:rFonts w:ascii="Book Antiqua" w:hAnsi="Book Antiqua" w:cs="Book Antiqua"/>
          <w:sz w:val="22"/>
          <w:szCs w:val="22"/>
        </w:rPr>
        <w:t>vlastní, a ich umiestnenie,</w:t>
      </w:r>
    </w:p>
    <w:p w14:paraId="026931D2" w14:textId="77777777" w:rsidR="00DC2B21" w:rsidRDefault="00827388">
      <w:pPr>
        <w:pStyle w:val="Odsekzoznamu"/>
        <w:numPr>
          <w:ilvl w:val="0"/>
          <w:numId w:val="11"/>
        </w:numPr>
        <w:tabs>
          <w:tab w:val="left" w:pos="1134"/>
        </w:tabs>
        <w:spacing w:before="120" w:after="0"/>
        <w:ind w:left="1134" w:hanging="414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ďalší majetok podľa osobitných predpisov</w:t>
      </w:r>
      <w:r>
        <w:rPr>
          <w:rStyle w:val="Odkaznapoznmkupodiarou"/>
          <w:rFonts w:ascii="Book Antiqua" w:eastAsia="Calibri" w:hAnsi="Book Antiqua" w:cs="Book Antiqua"/>
          <w:sz w:val="22"/>
          <w:szCs w:val="22"/>
        </w:rPr>
        <w:footnoteReference w:id="10"/>
      </w:r>
      <w:r>
        <w:rPr>
          <w:rStyle w:val="tlid-translation"/>
          <w:rFonts w:ascii="Book Antiqua" w:hAnsi="Book Antiqua" w:cs="Book Antiqua"/>
          <w:sz w:val="22"/>
          <w:szCs w:val="22"/>
          <w:vertAlign w:val="superscript"/>
        </w:rPr>
        <w:t>)</w:t>
      </w:r>
      <w:r>
        <w:rPr>
          <w:rStyle w:val="tlid-translation"/>
          <w:rFonts w:ascii="Book Antiqua" w:hAnsi="Book Antiqua" w:cs="Book Antiqua"/>
          <w:sz w:val="22"/>
          <w:szCs w:val="22"/>
        </w:rPr>
        <w:t xml:space="preserve"> neuvedený v písmenách h) až j),</w:t>
      </w:r>
    </w:p>
    <w:p w14:paraId="18A90821" w14:textId="77777777" w:rsidR="00DC2B21" w:rsidRDefault="00827388">
      <w:pPr>
        <w:pStyle w:val="Odsekzoznamu"/>
        <w:numPr>
          <w:ilvl w:val="0"/>
          <w:numId w:val="11"/>
        </w:numPr>
        <w:tabs>
          <w:tab w:val="left" w:pos="851"/>
        </w:tabs>
        <w:spacing w:before="120" w:after="0"/>
        <w:ind w:left="1134" w:hanging="414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hodnotu spísaného majetku,</w:t>
      </w:r>
    </w:p>
    <w:p w14:paraId="27A98E5E" w14:textId="77777777" w:rsidR="00DC2B21" w:rsidRDefault="00827388">
      <w:pPr>
        <w:pStyle w:val="Odsekzoznamu"/>
        <w:numPr>
          <w:ilvl w:val="0"/>
          <w:numId w:val="11"/>
        </w:numPr>
        <w:tabs>
          <w:tab w:val="left" w:pos="851"/>
        </w:tabs>
        <w:spacing w:before="120" w:after="0"/>
        <w:ind w:left="1134" w:hanging="414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vecné bremená na uvedenom majetku,</w:t>
      </w:r>
    </w:p>
    <w:p w14:paraId="2EC7755B" w14:textId="77777777" w:rsidR="00DC2B21" w:rsidRDefault="00827388">
      <w:pPr>
        <w:pStyle w:val="Odsekzoznamu"/>
        <w:numPr>
          <w:ilvl w:val="0"/>
          <w:numId w:val="11"/>
        </w:numPr>
        <w:tabs>
          <w:tab w:val="left" w:pos="851"/>
        </w:tabs>
        <w:spacing w:before="120" w:after="0"/>
        <w:ind w:left="1134" w:hanging="414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miesto a dátum vykonania súpisu majetku,</w:t>
      </w:r>
    </w:p>
    <w:p w14:paraId="34EDE94B" w14:textId="77777777" w:rsidR="00DC2B21" w:rsidRDefault="00827388">
      <w:pPr>
        <w:pStyle w:val="Odsekzoznamu"/>
        <w:numPr>
          <w:ilvl w:val="0"/>
          <w:numId w:val="11"/>
        </w:numPr>
        <w:tabs>
          <w:tab w:val="left" w:pos="851"/>
        </w:tabs>
        <w:spacing w:before="120" w:after="0"/>
        <w:ind w:left="1134" w:hanging="414"/>
        <w:jc w:val="both"/>
        <w:rPr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 xml:space="preserve">výslovné vyhlásenie o tom, že o svojom majetku, </w:t>
      </w:r>
      <w:r>
        <w:rPr>
          <w:rStyle w:val="tlid-translation"/>
          <w:rFonts w:ascii="Book Antiqua" w:hAnsi="Book Antiqua" w:cs="Book Antiqua"/>
          <w:sz w:val="22"/>
          <w:szCs w:val="22"/>
        </w:rPr>
        <w:t>vrátane majetku patriaceho do bezpodielového spoluvlastníctva manželov, uviedol úplné a pravdivé údaje.</w:t>
      </w:r>
    </w:p>
    <w:p w14:paraId="261BB5CB" w14:textId="77777777" w:rsidR="00DC2B21" w:rsidRDefault="00827388">
      <w:pPr>
        <w:pStyle w:val="Odsekzoznamu"/>
        <w:numPr>
          <w:ilvl w:val="0"/>
          <w:numId w:val="10"/>
        </w:numPr>
        <w:tabs>
          <w:tab w:val="left" w:pos="709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Rozhodným dňom pre zostavenie vyhlásenia o majetku je deň doručenia výzvy na preukázanie príjmov podľa § 3, ak nie je v tejto výzve stanovený iný rozhod</w:t>
      </w:r>
      <w:r>
        <w:rPr>
          <w:rStyle w:val="tlid-translation"/>
          <w:rFonts w:ascii="Book Antiqua" w:hAnsi="Book Antiqua" w:cs="Book Antiqua"/>
          <w:sz w:val="22"/>
          <w:szCs w:val="22"/>
        </w:rPr>
        <w:t>ný deň.</w:t>
      </w:r>
    </w:p>
    <w:p w14:paraId="1019F488" w14:textId="77777777" w:rsidR="00DC2B21" w:rsidRDefault="00827388">
      <w:pPr>
        <w:pStyle w:val="Odsekzoznamu"/>
        <w:numPr>
          <w:ilvl w:val="0"/>
          <w:numId w:val="10"/>
        </w:numPr>
        <w:tabs>
          <w:tab w:val="left" w:pos="709"/>
        </w:tabs>
        <w:spacing w:before="120" w:after="0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Podpis daňovníka na vyhlásení o majetku, ktoré nie je podané ústne do zápisnice, musí byť úradne overený.</w:t>
      </w:r>
    </w:p>
    <w:p w14:paraId="4EC6B955" w14:textId="77777777" w:rsidR="00DC2B21" w:rsidRDefault="00827388">
      <w:pPr>
        <w:tabs>
          <w:tab w:val="left" w:pos="851"/>
        </w:tabs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§ 6</w:t>
      </w:r>
    </w:p>
    <w:p w14:paraId="38C0C700" w14:textId="77777777" w:rsidR="00DC2B21" w:rsidRDefault="00827388">
      <w:pPr>
        <w:tabs>
          <w:tab w:val="left" w:pos="851"/>
        </w:tabs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Zabezpečovacie opatrenia správcu dane</w:t>
      </w:r>
    </w:p>
    <w:p w14:paraId="569F0BA9" w14:textId="77777777" w:rsidR="00DC2B21" w:rsidRDefault="00827388">
      <w:pPr>
        <w:tabs>
          <w:tab w:val="left" w:pos="851"/>
        </w:tabs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Ak je dôvodné podozrenie, že uložením sankcií podľa tohto zákona vznikne nevymožiteľný daňový nedopl</w:t>
      </w:r>
      <w:r>
        <w:rPr>
          <w:rFonts w:ascii="Book Antiqua" w:hAnsi="Book Antiqua" w:cs="Book Antiqua"/>
          <w:sz w:val="22"/>
          <w:szCs w:val="22"/>
        </w:rPr>
        <w:t xml:space="preserve">atok, hoci aj dočasný, je správca dane oprávnený zabezpečiť vec uvedenú </w:t>
      </w:r>
      <w:r>
        <w:rPr>
          <w:rFonts w:ascii="Book Antiqua" w:hAnsi="Book Antiqua" w:cs="Book Antiqua"/>
          <w:sz w:val="22"/>
          <w:szCs w:val="22"/>
        </w:rPr>
        <w:lastRenderedPageBreak/>
        <w:t>v súpise majetku postupom podľa osobitného predpisu.</w:t>
      </w:r>
      <w:r>
        <w:rPr>
          <w:rStyle w:val="Odkaznapoznmkupodiarou"/>
          <w:rFonts w:ascii="Book Antiqua" w:hAnsi="Book Antiqua" w:cs="Book Antiqua"/>
          <w:sz w:val="22"/>
          <w:szCs w:val="22"/>
        </w:rPr>
        <w:footnoteReference w:id="11"/>
      </w:r>
      <w:r>
        <w:rPr>
          <w:rFonts w:ascii="Book Antiqua" w:hAnsi="Book Antiqua" w:cs="Book Antiqua"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sz w:val="22"/>
          <w:szCs w:val="22"/>
        </w:rPr>
        <w:t xml:space="preserve"> Pri výkone rozhodnutia takto zabezpečeného majetku a jeho správe sa postupuje v súlade s osobitným predpisom</w:t>
      </w:r>
      <w:r>
        <w:rPr>
          <w:rStyle w:val="Odkaznapoznmkupodiarou"/>
          <w:rFonts w:ascii="Book Antiqua" w:hAnsi="Book Antiqua" w:cs="Book Antiqua"/>
          <w:sz w:val="22"/>
          <w:szCs w:val="22"/>
        </w:rPr>
        <w:footnoteReference w:id="12"/>
      </w:r>
      <w:r>
        <w:rPr>
          <w:rFonts w:ascii="Book Antiqua" w:hAnsi="Book Antiqua" w:cs="Book Antiqua"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sz w:val="22"/>
          <w:szCs w:val="22"/>
        </w:rPr>
        <w:t>.</w:t>
      </w:r>
    </w:p>
    <w:p w14:paraId="2E8F493B" w14:textId="77777777" w:rsidR="00DC2B21" w:rsidRDefault="00DC2B21">
      <w:pPr>
        <w:tabs>
          <w:tab w:val="left" w:pos="851"/>
        </w:tabs>
        <w:spacing w:before="120" w:line="276" w:lineRule="auto"/>
        <w:rPr>
          <w:rFonts w:ascii="Book Antiqua" w:hAnsi="Book Antiqua" w:cs="Book Antiqua"/>
          <w:sz w:val="22"/>
          <w:szCs w:val="22"/>
        </w:rPr>
      </w:pPr>
    </w:p>
    <w:p w14:paraId="49F9396B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TRETIA ČASŤ</w:t>
      </w:r>
    </w:p>
    <w:p w14:paraId="791CA7AB" w14:textId="77777777" w:rsidR="00DC2B21" w:rsidRDefault="00827388">
      <w:pPr>
        <w:tabs>
          <w:tab w:val="left" w:pos="851"/>
        </w:tabs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PRÁVA A POVINNOSTI DAŇOVNÍKOV</w:t>
      </w:r>
    </w:p>
    <w:p w14:paraId="5B59373E" w14:textId="77777777" w:rsidR="00DC2B21" w:rsidRDefault="00827388">
      <w:pPr>
        <w:tabs>
          <w:tab w:val="left" w:pos="851"/>
        </w:tabs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§ 7</w:t>
      </w:r>
    </w:p>
    <w:p w14:paraId="08A92390" w14:textId="77777777" w:rsidR="00DC2B21" w:rsidRDefault="00827388">
      <w:pPr>
        <w:tabs>
          <w:tab w:val="left" w:pos="851"/>
        </w:tabs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Práva a povinnosti pri preukazovaní pôvodu príjmov a majetku</w:t>
      </w:r>
    </w:p>
    <w:p w14:paraId="5BC5FD37" w14:textId="77777777" w:rsidR="00DC2B21" w:rsidRDefault="00827388">
      <w:p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 xml:space="preserve">(1) </w:t>
      </w:r>
      <w:r>
        <w:rPr>
          <w:rStyle w:val="tlid-translation"/>
          <w:rFonts w:ascii="Book Antiqua" w:hAnsi="Book Antiqua" w:cs="Book Antiqua"/>
          <w:sz w:val="22"/>
          <w:szCs w:val="22"/>
        </w:rPr>
        <w:tab/>
        <w:t xml:space="preserve">Daňovník je povinný preukázať skutočnosti požadované vo výzve na preukázanie príjmov okrem prípadu, ak preukáže, že nastali v období, z ktorého už zaniklo </w:t>
      </w:r>
      <w:r>
        <w:rPr>
          <w:rStyle w:val="tlid-translation"/>
          <w:rFonts w:ascii="Book Antiqua" w:hAnsi="Book Antiqua" w:cs="Book Antiqua"/>
          <w:sz w:val="22"/>
          <w:szCs w:val="22"/>
        </w:rPr>
        <w:t>právo na vyrubenie dane.</w:t>
      </w:r>
      <w:r>
        <w:rPr>
          <w:rStyle w:val="Odkaznapoznmkupodiarou"/>
          <w:rFonts w:ascii="Book Antiqua" w:hAnsi="Book Antiqua" w:cs="Book Antiqua"/>
          <w:sz w:val="22"/>
          <w:szCs w:val="22"/>
        </w:rPr>
        <w:footnoteReference w:id="13"/>
      </w:r>
      <w:r>
        <w:rPr>
          <w:rStyle w:val="Odkaznapoznmkupodiarou"/>
          <w:rFonts w:ascii="Book Antiqua" w:hAnsi="Book Antiqua" w:cs="Book Antiqua"/>
          <w:sz w:val="22"/>
          <w:szCs w:val="22"/>
        </w:rPr>
        <w:t>)</w:t>
      </w:r>
      <w:r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Style w:val="tlid-translation"/>
          <w:rFonts w:ascii="Book Antiqua" w:hAnsi="Book Antiqua" w:cs="Book Antiqua"/>
          <w:sz w:val="22"/>
          <w:szCs w:val="22"/>
        </w:rPr>
        <w:t>Daňovník má právo sa k výzve vyjadriť sa a predložiť dokumentáciu potrebnú na odstránenie pochybností uvedených správcom dane; to sa vzťahuje aj na ďalšiu výzvu podľa § 3 ods. 7.</w:t>
      </w:r>
    </w:p>
    <w:p w14:paraId="558FFFC5" w14:textId="77777777" w:rsidR="00DC2B21" w:rsidRDefault="00827388">
      <w:pPr>
        <w:tabs>
          <w:tab w:val="left" w:pos="851"/>
        </w:tabs>
        <w:spacing w:before="120" w:line="276" w:lineRule="auto"/>
        <w:ind w:left="851" w:hanging="425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(2)</w:t>
      </w:r>
      <w:r>
        <w:rPr>
          <w:rFonts w:ascii="Book Antiqua" w:hAnsi="Book Antiqua" w:cs="Book Antiqua"/>
          <w:sz w:val="22"/>
          <w:szCs w:val="22"/>
        </w:rPr>
        <w:tab/>
      </w:r>
      <w:r>
        <w:rPr>
          <w:rStyle w:val="tlid-translation"/>
          <w:rFonts w:ascii="Book Antiqua" w:hAnsi="Book Antiqua" w:cs="Book Antiqua"/>
          <w:sz w:val="22"/>
          <w:szCs w:val="22"/>
        </w:rPr>
        <w:t>Daňovník je povinný podať súpis majetku v leho</w:t>
      </w:r>
      <w:r>
        <w:rPr>
          <w:rStyle w:val="tlid-translation"/>
          <w:rFonts w:ascii="Book Antiqua" w:hAnsi="Book Antiqua" w:cs="Book Antiqua"/>
          <w:sz w:val="22"/>
          <w:szCs w:val="22"/>
        </w:rPr>
        <w:t xml:space="preserve">te 60 dní odo dňa doručenia výzvy na podanie súpisu majetku podľa § 4; túto lehotu môže správca dane na žiadosť daňovníka predĺžiť. </w:t>
      </w:r>
    </w:p>
    <w:p w14:paraId="10540BC6" w14:textId="77777777" w:rsidR="00DC2B21" w:rsidRDefault="00827388">
      <w:pPr>
        <w:tabs>
          <w:tab w:val="left" w:pos="851"/>
        </w:tabs>
        <w:spacing w:before="120" w:line="276" w:lineRule="auto"/>
        <w:ind w:left="851" w:hanging="425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(3)</w:t>
      </w:r>
      <w:r>
        <w:rPr>
          <w:rStyle w:val="tlid-translation"/>
          <w:rFonts w:ascii="Book Antiqua" w:hAnsi="Book Antiqua" w:cs="Book Antiqua"/>
          <w:sz w:val="22"/>
          <w:szCs w:val="22"/>
        </w:rPr>
        <w:tab/>
        <w:t>Ak súhrnná hodnota majetku nepresahuje k rozhodnému dňu 200 000 eur, daňovník vo vyhlásení o majetku môže uviesť len tú</w:t>
      </w:r>
      <w:r>
        <w:rPr>
          <w:rStyle w:val="tlid-translation"/>
          <w:rFonts w:ascii="Book Antiqua" w:hAnsi="Book Antiqua" w:cs="Book Antiqua"/>
          <w:sz w:val="22"/>
          <w:szCs w:val="22"/>
        </w:rPr>
        <w:t>to skutočnosť a výslovné vyhlásenie, že tento údaj je pravdivý.</w:t>
      </w:r>
    </w:p>
    <w:p w14:paraId="0354714B" w14:textId="77777777" w:rsidR="00DC2B21" w:rsidRDefault="00827388">
      <w:pPr>
        <w:tabs>
          <w:tab w:val="left" w:pos="851"/>
        </w:tabs>
        <w:spacing w:before="120" w:line="276" w:lineRule="auto"/>
        <w:ind w:left="851" w:hanging="425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(4)</w:t>
      </w:r>
      <w:r>
        <w:rPr>
          <w:rStyle w:val="tlid-translation"/>
          <w:rFonts w:ascii="Book Antiqua" w:hAnsi="Book Antiqua" w:cs="Book Antiqua"/>
          <w:sz w:val="22"/>
          <w:szCs w:val="22"/>
        </w:rPr>
        <w:tab/>
        <w:t>Daňovník nie je v súpise majetku povinný uviesť</w:t>
      </w:r>
    </w:p>
    <w:p w14:paraId="598AECDD" w14:textId="77777777" w:rsidR="00DC2B21" w:rsidRDefault="00827388">
      <w:pPr>
        <w:pStyle w:val="Odsekzoznamu"/>
        <w:numPr>
          <w:ilvl w:val="0"/>
          <w:numId w:val="12"/>
        </w:numPr>
        <w:tabs>
          <w:tab w:val="left" w:pos="851"/>
        </w:tabs>
        <w:spacing w:before="120" w:after="0"/>
        <w:ind w:left="1134" w:hanging="283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hnuteľnú vec, ktorej hodnota v čase nadobudnutia nepresiahla 4 000 eur, alebo</w:t>
      </w:r>
    </w:p>
    <w:p w14:paraId="41ADB0FB" w14:textId="77777777" w:rsidR="00DC2B21" w:rsidRDefault="00827388">
      <w:pPr>
        <w:pStyle w:val="Odsekzoznamu"/>
        <w:numPr>
          <w:ilvl w:val="0"/>
          <w:numId w:val="12"/>
        </w:numPr>
        <w:tabs>
          <w:tab w:val="left" w:pos="851"/>
        </w:tabs>
        <w:spacing w:before="120" w:after="0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peňažný dlh nepresahujúci k rozhodnému dňu 4 000 eur.</w:t>
      </w:r>
    </w:p>
    <w:p w14:paraId="3F6B5DBB" w14:textId="77777777" w:rsidR="00DC2B21" w:rsidRDefault="00DC2B21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  <w:highlight w:val="yellow"/>
        </w:rPr>
      </w:pPr>
    </w:p>
    <w:p w14:paraId="14F7B2E4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ŠTVRTÁ </w:t>
      </w:r>
      <w:r>
        <w:rPr>
          <w:rFonts w:ascii="Book Antiqua" w:hAnsi="Book Antiqua" w:cs="Book Antiqua"/>
          <w:b/>
          <w:bCs/>
          <w:sz w:val="22"/>
          <w:szCs w:val="22"/>
        </w:rPr>
        <w:t>ČASŤ</w:t>
      </w:r>
    </w:p>
    <w:p w14:paraId="7D969424" w14:textId="77777777" w:rsidR="00DC2B21" w:rsidRDefault="00827388">
      <w:pPr>
        <w:tabs>
          <w:tab w:val="left" w:pos="851"/>
        </w:tabs>
        <w:spacing w:before="120" w:line="276" w:lineRule="auto"/>
        <w:jc w:val="center"/>
        <w:rPr>
          <w:rStyle w:val="tlid-translation"/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SANKCIE</w:t>
      </w:r>
    </w:p>
    <w:p w14:paraId="14BE1594" w14:textId="77777777" w:rsidR="00DC2B21" w:rsidRDefault="00827388">
      <w:pPr>
        <w:tabs>
          <w:tab w:val="left" w:pos="851"/>
        </w:tabs>
        <w:spacing w:before="120" w:line="276" w:lineRule="auto"/>
        <w:jc w:val="center"/>
        <w:rPr>
          <w:rStyle w:val="tlid-translation"/>
          <w:rFonts w:ascii="Book Antiqua" w:hAnsi="Book Antiqua" w:cs="Book Antiqua"/>
          <w:b/>
          <w:bCs/>
          <w:sz w:val="22"/>
          <w:szCs w:val="22"/>
        </w:rPr>
      </w:pPr>
      <w:r>
        <w:rPr>
          <w:rStyle w:val="tlid-translation"/>
          <w:rFonts w:ascii="Book Antiqua" w:hAnsi="Book Antiqua" w:cs="Book Antiqua"/>
          <w:b/>
          <w:bCs/>
          <w:sz w:val="22"/>
          <w:szCs w:val="22"/>
        </w:rPr>
        <w:t>§ 8</w:t>
      </w:r>
    </w:p>
    <w:p w14:paraId="5B4E82D7" w14:textId="77777777" w:rsidR="00DC2B21" w:rsidRDefault="00827388">
      <w:pPr>
        <w:tabs>
          <w:tab w:val="left" w:pos="851"/>
        </w:tabs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b/>
          <w:bCs/>
          <w:sz w:val="22"/>
          <w:szCs w:val="22"/>
        </w:rPr>
        <w:t>Vyrubenie dane</w:t>
      </w:r>
    </w:p>
    <w:p w14:paraId="6DFE5528" w14:textId="77777777" w:rsidR="00DC2B21" w:rsidRDefault="00827388">
      <w:pPr>
        <w:pStyle w:val="Odsekzoznamu"/>
        <w:numPr>
          <w:ilvl w:val="0"/>
          <w:numId w:val="13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Ak nedošlo k preukázaniu skutočností požadovaných vo výzve na preukázanie príjmov, správca dane pristúpi k vyrubeniu dane</w:t>
      </w:r>
    </w:p>
    <w:p w14:paraId="5115E4AE" w14:textId="77777777" w:rsidR="00DC2B21" w:rsidRDefault="00827388">
      <w:pPr>
        <w:pStyle w:val="Odsekzoznamu"/>
        <w:numPr>
          <w:ilvl w:val="0"/>
          <w:numId w:val="14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na základe dokazovania,</w:t>
      </w:r>
    </w:p>
    <w:p w14:paraId="4FF2B882" w14:textId="77777777" w:rsidR="00DC2B21" w:rsidRDefault="00827388">
      <w:pPr>
        <w:pStyle w:val="Odsekzoznamu"/>
        <w:numPr>
          <w:ilvl w:val="0"/>
          <w:numId w:val="14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 xml:space="preserve">osobitným spôsobom podľa pomôcok, ak daň nie je možné vyrubiť na základe </w:t>
      </w:r>
      <w:r>
        <w:rPr>
          <w:rStyle w:val="tlid-translation"/>
          <w:rFonts w:ascii="Book Antiqua" w:hAnsi="Book Antiqua" w:cs="Book Antiqua"/>
          <w:sz w:val="22"/>
          <w:szCs w:val="22"/>
        </w:rPr>
        <w:t>dokazovania.</w:t>
      </w:r>
    </w:p>
    <w:p w14:paraId="2D9D3024" w14:textId="77777777" w:rsidR="00DC2B21" w:rsidRDefault="00827388">
      <w:pPr>
        <w:tabs>
          <w:tab w:val="left" w:pos="851"/>
        </w:tabs>
        <w:spacing w:before="120" w:line="276" w:lineRule="auto"/>
        <w:ind w:left="709" w:hanging="283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(2)</w:t>
      </w:r>
      <w:r>
        <w:rPr>
          <w:rStyle w:val="tlid-translation"/>
          <w:rFonts w:ascii="Book Antiqua" w:hAnsi="Book Antiqua" w:cs="Book Antiqua"/>
          <w:sz w:val="22"/>
          <w:szCs w:val="22"/>
        </w:rPr>
        <w:tab/>
      </w:r>
      <w:r>
        <w:rPr>
          <w:rStyle w:val="tlid-translation"/>
          <w:rFonts w:ascii="Book Antiqua" w:hAnsi="Book Antiqua" w:cs="Book Antiqua"/>
          <w:sz w:val="22"/>
          <w:szCs w:val="22"/>
        </w:rPr>
        <w:tab/>
        <w:t>Okrem vyrubenia dane podľa odseku 1 uloží správca dane penále podľa § 10.</w:t>
      </w:r>
    </w:p>
    <w:p w14:paraId="024C918D" w14:textId="77777777" w:rsidR="00DC2B21" w:rsidRDefault="00DC2B21">
      <w:pPr>
        <w:tabs>
          <w:tab w:val="left" w:pos="851"/>
        </w:tabs>
        <w:spacing w:before="120" w:line="276" w:lineRule="auto"/>
        <w:jc w:val="center"/>
        <w:rPr>
          <w:rStyle w:val="tlid-translation"/>
          <w:rFonts w:ascii="Book Antiqua" w:hAnsi="Book Antiqua" w:cs="Book Antiqua"/>
          <w:b/>
          <w:bCs/>
          <w:sz w:val="22"/>
          <w:szCs w:val="22"/>
        </w:rPr>
      </w:pPr>
    </w:p>
    <w:p w14:paraId="4E7871BD" w14:textId="77777777" w:rsidR="00DC2B21" w:rsidRDefault="00827388">
      <w:pPr>
        <w:tabs>
          <w:tab w:val="left" w:pos="851"/>
        </w:tabs>
        <w:spacing w:before="120" w:line="276" w:lineRule="auto"/>
        <w:jc w:val="center"/>
        <w:rPr>
          <w:rStyle w:val="tlid-translation"/>
          <w:rFonts w:ascii="Book Antiqua" w:hAnsi="Book Antiqua" w:cs="Book Antiqua"/>
          <w:b/>
          <w:bCs/>
          <w:sz w:val="22"/>
          <w:szCs w:val="22"/>
        </w:rPr>
      </w:pPr>
      <w:r>
        <w:rPr>
          <w:rStyle w:val="tlid-translation"/>
          <w:rFonts w:ascii="Book Antiqua" w:hAnsi="Book Antiqua" w:cs="Book Antiqua"/>
          <w:b/>
          <w:bCs/>
          <w:sz w:val="22"/>
          <w:szCs w:val="22"/>
        </w:rPr>
        <w:lastRenderedPageBreak/>
        <w:t>§ 9</w:t>
      </w:r>
    </w:p>
    <w:p w14:paraId="7DB03D3F" w14:textId="77777777" w:rsidR="00DC2B21" w:rsidRDefault="00827388">
      <w:pPr>
        <w:tabs>
          <w:tab w:val="left" w:pos="851"/>
        </w:tabs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b/>
          <w:bCs/>
          <w:sz w:val="22"/>
          <w:szCs w:val="22"/>
        </w:rPr>
        <w:t>Vyrubenie dane osobitným spôsobom podľa pomôcok</w:t>
      </w:r>
    </w:p>
    <w:p w14:paraId="6D2A85B5" w14:textId="77777777" w:rsidR="00DC2B21" w:rsidRDefault="00827388">
      <w:pPr>
        <w:pStyle w:val="Odsekzoznamu"/>
        <w:numPr>
          <w:ilvl w:val="0"/>
          <w:numId w:val="15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 xml:space="preserve">Správca dane pri vyrubení dane osobitným spôsobom podľa pomôcok určí základ dane pomocou odhadu výšky príjmov, </w:t>
      </w:r>
      <w:r>
        <w:rPr>
          <w:rStyle w:val="tlid-translation"/>
          <w:rFonts w:ascii="Book Antiqua" w:hAnsi="Book Antiqua" w:cs="Book Antiqua"/>
          <w:sz w:val="22"/>
          <w:szCs w:val="22"/>
        </w:rPr>
        <w:t>ktoré by daňovník musel dosiahnuť, aby to zodpovedalo nárastu jeho vlastníctva, spotreby alebo iných výdavkov.</w:t>
      </w:r>
    </w:p>
    <w:p w14:paraId="13585948" w14:textId="77777777" w:rsidR="00DC2B21" w:rsidRDefault="00827388">
      <w:pPr>
        <w:pStyle w:val="Odsekzoznamu"/>
        <w:numPr>
          <w:ilvl w:val="0"/>
          <w:numId w:val="15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Pri odhade výšky príjmov podľa odseku 1 vychádza správca dane najmä z</w:t>
      </w:r>
    </w:p>
    <w:p w14:paraId="3F65E19E" w14:textId="77777777" w:rsidR="00DC2B21" w:rsidRDefault="00827388">
      <w:pPr>
        <w:pStyle w:val="Odsekzoznamu"/>
        <w:numPr>
          <w:ilvl w:val="0"/>
          <w:numId w:val="16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informácií, z ktorých priamo i nepriamo vyplýva, že príjmy daňovníka nezodp</w:t>
      </w:r>
      <w:r>
        <w:rPr>
          <w:rStyle w:val="tlid-translation"/>
          <w:rFonts w:ascii="Book Antiqua" w:hAnsi="Book Antiqua" w:cs="Book Antiqua"/>
          <w:sz w:val="22"/>
          <w:szCs w:val="22"/>
        </w:rPr>
        <w:t>ovedajú nárastu jeho majetku, spotreby alebo iných výdavkov,</w:t>
      </w:r>
    </w:p>
    <w:p w14:paraId="428D48A9" w14:textId="77777777" w:rsidR="00DC2B21" w:rsidRDefault="00827388">
      <w:pPr>
        <w:pStyle w:val="Odsekzoznamu"/>
        <w:numPr>
          <w:ilvl w:val="0"/>
          <w:numId w:val="16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ekonomických ukazovateľov,</w:t>
      </w:r>
    </w:p>
    <w:p w14:paraId="41294234" w14:textId="77777777" w:rsidR="00DC2B21" w:rsidRDefault="00827388">
      <w:pPr>
        <w:pStyle w:val="Odsekzoznamu"/>
        <w:numPr>
          <w:ilvl w:val="0"/>
          <w:numId w:val="16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porovnaní s porovnateľnými daňovníkmi,</w:t>
      </w:r>
    </w:p>
    <w:p w14:paraId="66DD9151" w14:textId="77777777" w:rsidR="00DC2B21" w:rsidRDefault="00827388">
      <w:pPr>
        <w:pStyle w:val="Odsekzoznamu"/>
        <w:numPr>
          <w:ilvl w:val="0"/>
          <w:numId w:val="16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obvyklej hodnoty porovnateľného majetku, spotreby alebo iného výdavku,</w:t>
      </w:r>
    </w:p>
    <w:p w14:paraId="5D1CB4C1" w14:textId="77777777" w:rsidR="00DC2B21" w:rsidRDefault="00827388">
      <w:pPr>
        <w:pStyle w:val="Odsekzoznamu"/>
        <w:numPr>
          <w:ilvl w:val="0"/>
          <w:numId w:val="16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pohybov a zostatkov na účtoch,</w:t>
      </w:r>
    </w:p>
    <w:p w14:paraId="314F3245" w14:textId="77777777" w:rsidR="00DC2B21" w:rsidRDefault="00827388">
      <w:pPr>
        <w:pStyle w:val="Odsekzoznamu"/>
        <w:numPr>
          <w:ilvl w:val="0"/>
          <w:numId w:val="16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vyhlásenia o majetku.</w:t>
      </w:r>
    </w:p>
    <w:p w14:paraId="464858F5" w14:textId="77777777" w:rsidR="00DC2B21" w:rsidRDefault="00827388">
      <w:pPr>
        <w:pStyle w:val="Odsekzoznamu"/>
        <w:numPr>
          <w:ilvl w:val="0"/>
          <w:numId w:val="15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Ak pr</w:t>
      </w:r>
      <w:r>
        <w:rPr>
          <w:rStyle w:val="tlid-translation"/>
          <w:rFonts w:ascii="Book Antiqua" w:hAnsi="Book Antiqua" w:cs="Book Antiqua"/>
          <w:sz w:val="22"/>
          <w:szCs w:val="22"/>
        </w:rPr>
        <w:t xml:space="preserve">i vyrubení dane osobitným spôsobom podľa pomôcok nemožno určiť, do akého zdaňovacieho obdobia príjmy spadajú, hľadí sa na </w:t>
      </w:r>
      <w:proofErr w:type="spellStart"/>
      <w:r>
        <w:rPr>
          <w:rStyle w:val="tlid-translation"/>
          <w:rFonts w:ascii="Book Antiqua" w:hAnsi="Book Antiqua" w:cs="Book Antiqua"/>
          <w:sz w:val="22"/>
          <w:szCs w:val="22"/>
        </w:rPr>
        <w:t>ne</w:t>
      </w:r>
      <w:proofErr w:type="spellEnd"/>
      <w:r>
        <w:rPr>
          <w:rStyle w:val="tlid-translation"/>
          <w:rFonts w:ascii="Book Antiqua" w:hAnsi="Book Antiqua" w:cs="Book Antiqua"/>
          <w:sz w:val="22"/>
          <w:szCs w:val="22"/>
        </w:rPr>
        <w:t>, akoby vznikli v poslednom zdaňovacom období, za ktoré možno určiť daň.</w:t>
      </w:r>
    </w:p>
    <w:p w14:paraId="60898B50" w14:textId="77777777" w:rsidR="00DC2B21" w:rsidRDefault="00827388">
      <w:pPr>
        <w:pStyle w:val="Odsekzoznamu"/>
        <w:numPr>
          <w:ilvl w:val="0"/>
          <w:numId w:val="15"/>
        </w:numPr>
        <w:tabs>
          <w:tab w:val="left" w:pos="851"/>
        </w:tabs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 xml:space="preserve">Pri vyrubení dane osobitným spôsobom podľa pomôcok správca </w:t>
      </w:r>
      <w:r>
        <w:rPr>
          <w:rStyle w:val="tlid-translation"/>
          <w:rFonts w:ascii="Book Antiqua" w:hAnsi="Book Antiqua" w:cs="Book Antiqua"/>
          <w:sz w:val="22"/>
          <w:szCs w:val="22"/>
        </w:rPr>
        <w:t>dane prihliadne na okolnosti, z ktorých vyplývajú výhody pre daňovníka, iba ak ním boli uplatnené a preukázané v konaní o vyrubení dane osobitným spôsobom podľa pomôcok.</w:t>
      </w:r>
    </w:p>
    <w:p w14:paraId="17B273E0" w14:textId="77777777" w:rsidR="00DC2B21" w:rsidRDefault="00827388">
      <w:pPr>
        <w:tabs>
          <w:tab w:val="left" w:pos="851"/>
        </w:tabs>
        <w:spacing w:before="120" w:line="276" w:lineRule="auto"/>
        <w:jc w:val="both"/>
        <w:rPr>
          <w:rStyle w:val="tlid-translation"/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ab/>
      </w:r>
      <w:r>
        <w:rPr>
          <w:rStyle w:val="tlid-translation"/>
          <w:rFonts w:ascii="Book Antiqua" w:hAnsi="Book Antiqua" w:cs="Book Antiqua"/>
          <w:b/>
          <w:bCs/>
          <w:sz w:val="22"/>
          <w:szCs w:val="22"/>
        </w:rPr>
        <w:tab/>
      </w:r>
      <w:r>
        <w:rPr>
          <w:rStyle w:val="tlid-translation"/>
          <w:rFonts w:ascii="Book Antiqua" w:hAnsi="Book Antiqua" w:cs="Book Antiqua"/>
          <w:b/>
          <w:bCs/>
          <w:sz w:val="22"/>
          <w:szCs w:val="22"/>
        </w:rPr>
        <w:tab/>
      </w:r>
      <w:r>
        <w:rPr>
          <w:rStyle w:val="tlid-translation"/>
          <w:rFonts w:ascii="Book Antiqua" w:hAnsi="Book Antiqua" w:cs="Book Antiqua"/>
          <w:b/>
          <w:bCs/>
          <w:sz w:val="22"/>
          <w:szCs w:val="22"/>
        </w:rPr>
        <w:tab/>
      </w:r>
      <w:r>
        <w:rPr>
          <w:rStyle w:val="tlid-translation"/>
          <w:rFonts w:ascii="Book Antiqua" w:hAnsi="Book Antiqua" w:cs="Book Antiqua"/>
          <w:b/>
          <w:bCs/>
          <w:sz w:val="22"/>
          <w:szCs w:val="22"/>
        </w:rPr>
        <w:tab/>
      </w:r>
      <w:r>
        <w:rPr>
          <w:rStyle w:val="tlid-translation"/>
          <w:rFonts w:ascii="Book Antiqua" w:hAnsi="Book Antiqua" w:cs="Book Antiqua"/>
          <w:b/>
          <w:bCs/>
          <w:sz w:val="22"/>
          <w:szCs w:val="22"/>
        </w:rPr>
        <w:tab/>
      </w:r>
    </w:p>
    <w:p w14:paraId="34141CDC" w14:textId="77777777" w:rsidR="00DC2B21" w:rsidRDefault="00827388">
      <w:pPr>
        <w:tabs>
          <w:tab w:val="left" w:pos="851"/>
        </w:tabs>
        <w:spacing w:before="120" w:line="276" w:lineRule="auto"/>
        <w:jc w:val="center"/>
        <w:rPr>
          <w:rStyle w:val="tlid-translation"/>
          <w:rFonts w:ascii="Book Antiqua" w:hAnsi="Book Antiqua" w:cs="Book Antiqua"/>
          <w:b/>
          <w:bCs/>
          <w:sz w:val="22"/>
          <w:szCs w:val="22"/>
        </w:rPr>
      </w:pPr>
      <w:r>
        <w:rPr>
          <w:rStyle w:val="tlid-translation"/>
          <w:rFonts w:ascii="Book Antiqua" w:hAnsi="Book Antiqua" w:cs="Book Antiqua"/>
          <w:b/>
          <w:bCs/>
          <w:sz w:val="22"/>
          <w:szCs w:val="22"/>
        </w:rPr>
        <w:t>§ 10</w:t>
      </w:r>
    </w:p>
    <w:p w14:paraId="02A3FE84" w14:textId="77777777" w:rsidR="00DC2B21" w:rsidRDefault="00827388">
      <w:pPr>
        <w:tabs>
          <w:tab w:val="left" w:pos="851"/>
        </w:tabs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b/>
          <w:bCs/>
          <w:sz w:val="22"/>
          <w:szCs w:val="22"/>
        </w:rPr>
        <w:t>Penále pri vyrubení dane osobitným spôsobom podľa pomôcok</w:t>
      </w:r>
    </w:p>
    <w:p w14:paraId="6867B237" w14:textId="77777777" w:rsidR="00DC2B21" w:rsidRDefault="00827388">
      <w:pPr>
        <w:pStyle w:val="Odsekzoznamu"/>
        <w:numPr>
          <w:ilvl w:val="0"/>
          <w:numId w:val="17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Správca dane ulo</w:t>
      </w:r>
      <w:r>
        <w:rPr>
          <w:rStyle w:val="tlid-translation"/>
          <w:rFonts w:ascii="Book Antiqua" w:hAnsi="Book Antiqua" w:cs="Book Antiqua"/>
          <w:sz w:val="22"/>
          <w:szCs w:val="22"/>
        </w:rPr>
        <w:t>ží daňovníkovi povinnosť uhradiť penále z hodnoty majetku určeného na základe dokazovania alebo osobitným spôsobom podľa pomôcok vo výške</w:t>
      </w:r>
    </w:p>
    <w:p w14:paraId="6D2CE4E3" w14:textId="77777777" w:rsidR="00DC2B21" w:rsidRDefault="00827388">
      <w:pPr>
        <w:pStyle w:val="Odsekzoznamu"/>
        <w:numPr>
          <w:ilvl w:val="0"/>
          <w:numId w:val="18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60%, alebo</w:t>
      </w:r>
    </w:p>
    <w:p w14:paraId="6E55C170" w14:textId="77777777" w:rsidR="00DC2B21" w:rsidRDefault="00827388">
      <w:pPr>
        <w:pStyle w:val="Odsekzoznamu"/>
        <w:numPr>
          <w:ilvl w:val="0"/>
          <w:numId w:val="18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 xml:space="preserve">80%, ak </w:t>
      </w:r>
    </w:p>
    <w:p w14:paraId="6AEAD1F5" w14:textId="77777777" w:rsidR="00DC2B21" w:rsidRDefault="00827388">
      <w:pPr>
        <w:pStyle w:val="Odsekzoznamu"/>
        <w:tabs>
          <w:tab w:val="left" w:pos="851"/>
        </w:tabs>
        <w:spacing w:before="120" w:after="0"/>
        <w:ind w:left="108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1. neposkytnutie súčinnosti daňovníka závažne sťažilo alebo bránilo stanoveniu dane,</w:t>
      </w:r>
    </w:p>
    <w:p w14:paraId="4D858FFA" w14:textId="77777777" w:rsidR="00DC2B21" w:rsidRDefault="00827388">
      <w:pPr>
        <w:pStyle w:val="Odsekzoznamu"/>
        <w:tabs>
          <w:tab w:val="left" w:pos="851"/>
        </w:tabs>
        <w:spacing w:before="120" w:after="0"/>
        <w:ind w:left="108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 xml:space="preserve">2. ak vo </w:t>
      </w:r>
      <w:r>
        <w:rPr>
          <w:rStyle w:val="tlid-translation"/>
          <w:rFonts w:ascii="Book Antiqua" w:hAnsi="Book Antiqua" w:cs="Book Antiqua"/>
          <w:sz w:val="22"/>
          <w:szCs w:val="22"/>
        </w:rPr>
        <w:t>vzťahu k tomu istému daňovníkovi v inej veci rozhodol o povinnosti uhradiť penále vo výške podľa písmena a), alebo</w:t>
      </w:r>
    </w:p>
    <w:p w14:paraId="17F139EC" w14:textId="77777777" w:rsidR="00DC2B21" w:rsidRDefault="00827388">
      <w:pPr>
        <w:pStyle w:val="Odsekzoznamu"/>
        <w:tabs>
          <w:tab w:val="left" w:pos="851"/>
        </w:tabs>
        <w:spacing w:before="120" w:after="0"/>
        <w:ind w:left="108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3. rozdiel medzi oznámenými príjmami a nárastom vlastníctva, spotreby alebo iných výdavkov daňovníka presahuje 400 000 eur.</w:t>
      </w:r>
    </w:p>
    <w:p w14:paraId="1C47CCE2" w14:textId="77777777" w:rsidR="00DC2B21" w:rsidRDefault="00827388">
      <w:pPr>
        <w:pStyle w:val="Odsekzoznamu"/>
        <w:numPr>
          <w:ilvl w:val="0"/>
          <w:numId w:val="17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Správca dane rozh</w:t>
      </w:r>
      <w:r>
        <w:rPr>
          <w:rStyle w:val="tlid-translation"/>
          <w:rFonts w:ascii="Book Antiqua" w:hAnsi="Book Antiqua" w:cs="Book Antiqua"/>
          <w:sz w:val="22"/>
          <w:szCs w:val="22"/>
        </w:rPr>
        <w:t>odne o povinnosti uhradiť penále v rámci platobného výmeru, alebo dodatočného platobného výmeru, ktorými sa určí daň osobitným spôsobom podľa pomôcok, a súčasne penále predpíše do daňovej evidencie.</w:t>
      </w:r>
    </w:p>
    <w:p w14:paraId="098BABC8" w14:textId="77777777" w:rsidR="00DC2B21" w:rsidRDefault="00827388">
      <w:pPr>
        <w:pStyle w:val="Odsekzoznamu"/>
        <w:numPr>
          <w:ilvl w:val="0"/>
          <w:numId w:val="17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lastRenderedPageBreak/>
        <w:t>Penále je splatné v ten istý deň ako vyrubená daň.</w:t>
      </w:r>
    </w:p>
    <w:p w14:paraId="4E49DB8A" w14:textId="77777777" w:rsidR="00DC2B21" w:rsidRDefault="00827388">
      <w:pPr>
        <w:pStyle w:val="Odsekzoznamu"/>
        <w:numPr>
          <w:ilvl w:val="0"/>
          <w:numId w:val="17"/>
        </w:numPr>
        <w:tabs>
          <w:tab w:val="left" w:pos="851"/>
        </w:tabs>
        <w:spacing w:before="120" w:after="0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Ak súč</w:t>
      </w:r>
      <w:r>
        <w:rPr>
          <w:rStyle w:val="tlid-translation"/>
          <w:rFonts w:ascii="Book Antiqua" w:hAnsi="Book Antiqua" w:cs="Book Antiqua"/>
          <w:sz w:val="22"/>
          <w:szCs w:val="22"/>
        </w:rPr>
        <w:t>et penále a vyrubenej dane presiahne hodnotu majetku určeného na základe dokazovania alebo osobitným spôsobom podľa pomôcok, výška penále sa zníži tak, aby súčet penále a vyrubenej dane dosiahol 100 % hodnoty majetku určeného na základe dokazovania alebo o</w:t>
      </w:r>
      <w:r>
        <w:rPr>
          <w:rStyle w:val="tlid-translation"/>
          <w:rFonts w:ascii="Book Antiqua" w:hAnsi="Book Antiqua" w:cs="Book Antiqua"/>
          <w:sz w:val="22"/>
          <w:szCs w:val="22"/>
        </w:rPr>
        <w:t>sobitným spôsobom podľa pomôcok.</w:t>
      </w:r>
    </w:p>
    <w:p w14:paraId="02782CB5" w14:textId="77777777" w:rsidR="00DC2B21" w:rsidRDefault="00DC2B21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14:paraId="5757BAA0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PIATA ČASŤ</w:t>
      </w:r>
    </w:p>
    <w:p w14:paraId="5B9F5FAC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SPOLOČNÉ A PRECHODNÉ USTANOVENIA</w:t>
      </w:r>
    </w:p>
    <w:p w14:paraId="0C262846" w14:textId="77777777" w:rsidR="00DC2B21" w:rsidRDefault="00827388">
      <w:pPr>
        <w:spacing w:before="120" w:line="276" w:lineRule="auto"/>
        <w:ind w:left="3540" w:firstLine="708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§ 11</w:t>
      </w:r>
    </w:p>
    <w:p w14:paraId="2EE3B04A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Spoločné ustanovenia</w:t>
      </w:r>
    </w:p>
    <w:p w14:paraId="6FEEDCD3" w14:textId="77777777" w:rsidR="00DC2B21" w:rsidRDefault="00827388">
      <w:pPr>
        <w:pStyle w:val="Odsekzoznamu"/>
        <w:numPr>
          <w:ilvl w:val="0"/>
          <w:numId w:val="19"/>
        </w:numPr>
        <w:spacing w:before="120" w:after="0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Na konanie podľa tohto zákona sa nevzťahuje všeobecný predpis o správnom konaní</w:t>
      </w:r>
      <w:r>
        <w:rPr>
          <w:rStyle w:val="Odkaznapoznmkupodiarou"/>
          <w:rFonts w:ascii="Book Antiqua" w:eastAsia="Calibri" w:hAnsi="Book Antiqua" w:cs="Book Antiqua"/>
          <w:sz w:val="22"/>
          <w:szCs w:val="22"/>
        </w:rPr>
        <w:footnoteReference w:id="14"/>
      </w:r>
      <w:r>
        <w:rPr>
          <w:rFonts w:ascii="Book Antiqua" w:hAnsi="Book Antiqua" w:cs="Book Antiqua"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sz w:val="22"/>
          <w:szCs w:val="22"/>
        </w:rPr>
        <w:t>.</w:t>
      </w:r>
    </w:p>
    <w:p w14:paraId="399A719B" w14:textId="77777777" w:rsidR="00DC2B21" w:rsidRDefault="00827388">
      <w:pPr>
        <w:pStyle w:val="Odsekzoznamu"/>
        <w:numPr>
          <w:ilvl w:val="0"/>
          <w:numId w:val="19"/>
        </w:numPr>
        <w:spacing w:before="120" w:after="0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Ak tento zákon neustanovuje inak, na konanie podľa tohto zákona sa </w:t>
      </w:r>
      <w:r>
        <w:rPr>
          <w:rFonts w:ascii="Book Antiqua" w:hAnsi="Book Antiqua" w:cs="Book Antiqua"/>
          <w:sz w:val="22"/>
          <w:szCs w:val="22"/>
        </w:rPr>
        <w:t>primerane použijú ustanovenia osobitných predpisov</w:t>
      </w:r>
      <w:r>
        <w:rPr>
          <w:rStyle w:val="Odkaznapoznmkupodiarou"/>
          <w:rFonts w:ascii="Book Antiqua" w:eastAsia="Calibri" w:hAnsi="Book Antiqua" w:cs="Book Antiqua"/>
          <w:sz w:val="22"/>
          <w:szCs w:val="22"/>
        </w:rPr>
        <w:footnoteReference w:id="15"/>
      </w:r>
      <w:r>
        <w:rPr>
          <w:rFonts w:ascii="Book Antiqua" w:hAnsi="Book Antiqua" w:cs="Book Antiqua"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sz w:val="22"/>
          <w:szCs w:val="22"/>
        </w:rPr>
        <w:t>.</w:t>
      </w:r>
    </w:p>
    <w:p w14:paraId="750510CF" w14:textId="77777777" w:rsidR="00DC2B21" w:rsidRDefault="00827388">
      <w:pPr>
        <w:pStyle w:val="Odsekzoznamu"/>
        <w:numPr>
          <w:ilvl w:val="0"/>
          <w:numId w:val="19"/>
        </w:numPr>
        <w:spacing w:before="120" w:after="0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>Sankcie uložené podľa tohto zákona nemožno odpustiť ani z nich povoliť úľavu, okrem prípadu uvedenom v § 10 ods. 4.</w:t>
      </w:r>
    </w:p>
    <w:p w14:paraId="5E62DCAB" w14:textId="77777777" w:rsidR="00DC2B21" w:rsidRDefault="00DC2B21">
      <w:pPr>
        <w:spacing w:before="120" w:line="276" w:lineRule="auto"/>
        <w:rPr>
          <w:rFonts w:ascii="Book Antiqua" w:hAnsi="Book Antiqua" w:cs="Book Antiqua"/>
          <w:b/>
          <w:bCs/>
          <w:sz w:val="22"/>
          <w:szCs w:val="22"/>
        </w:rPr>
      </w:pPr>
    </w:p>
    <w:p w14:paraId="11B8758C" w14:textId="77777777" w:rsidR="00DC2B21" w:rsidRDefault="00827388">
      <w:pPr>
        <w:spacing w:before="120" w:line="276" w:lineRule="auto"/>
        <w:ind w:left="3540" w:firstLine="708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§ 12</w:t>
      </w:r>
    </w:p>
    <w:p w14:paraId="6C824523" w14:textId="4BCB4D71" w:rsidR="00DC2B21" w:rsidRDefault="00827388">
      <w:pPr>
        <w:spacing w:before="120" w:line="276" w:lineRule="auto"/>
        <w:ind w:left="1416" w:firstLine="708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Prechodné ustanovenie účinné </w:t>
      </w:r>
      <w:r w:rsidRPr="00AA3E4E">
        <w:rPr>
          <w:rFonts w:ascii="Book Antiqua" w:hAnsi="Book Antiqua" w:cs="Book Antiqua"/>
          <w:b/>
          <w:bCs/>
          <w:sz w:val="22"/>
          <w:szCs w:val="22"/>
        </w:rPr>
        <w:t>od 1. januára 202</w:t>
      </w:r>
      <w:r w:rsidR="00AD086E" w:rsidRPr="00AA3E4E">
        <w:rPr>
          <w:rFonts w:ascii="Book Antiqua" w:hAnsi="Book Antiqua" w:cs="Book Antiqua"/>
          <w:b/>
          <w:bCs/>
          <w:sz w:val="22"/>
          <w:szCs w:val="22"/>
        </w:rPr>
        <w:t>6</w:t>
      </w:r>
    </w:p>
    <w:p w14:paraId="5CA34247" w14:textId="77777777" w:rsidR="00DC2B21" w:rsidRDefault="00827388">
      <w:pPr>
        <w:spacing w:before="120" w:line="276" w:lineRule="auto"/>
        <w:ind w:firstLine="708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Style w:val="tlid-translation"/>
          <w:rFonts w:ascii="Book Antiqua" w:hAnsi="Book Antiqua" w:cs="Book Antiqua"/>
          <w:sz w:val="22"/>
          <w:szCs w:val="22"/>
        </w:rPr>
        <w:t xml:space="preserve">Ustanovenia tohto zákona sa </w:t>
      </w:r>
      <w:r>
        <w:rPr>
          <w:rStyle w:val="tlid-translation"/>
          <w:rFonts w:ascii="Book Antiqua" w:hAnsi="Book Antiqua" w:cs="Book Antiqua"/>
          <w:sz w:val="22"/>
          <w:szCs w:val="22"/>
        </w:rPr>
        <w:t>prvýkrát použijú za zdaňovacie obdobie roka 2025.</w:t>
      </w:r>
    </w:p>
    <w:p w14:paraId="7E3293A7" w14:textId="77777777" w:rsidR="00DC2B21" w:rsidRDefault="00DC2B21">
      <w:pPr>
        <w:spacing w:before="120" w:line="276" w:lineRule="auto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</w:p>
    <w:p w14:paraId="75576327" w14:textId="77777777" w:rsidR="00DC2B21" w:rsidRDefault="00827388">
      <w:pPr>
        <w:spacing w:before="120" w:line="276" w:lineRule="auto"/>
        <w:ind w:left="3540" w:firstLine="708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§ 13</w:t>
      </w:r>
    </w:p>
    <w:p w14:paraId="3483C82E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Zrušovacie ustanovenie</w:t>
      </w:r>
    </w:p>
    <w:p w14:paraId="3EA34DAD" w14:textId="77777777" w:rsidR="00DC2B21" w:rsidRDefault="00827388">
      <w:pPr>
        <w:spacing w:before="120" w:line="276" w:lineRule="auto"/>
        <w:ind w:leftChars="110" w:left="220" w:firstLineChars="303" w:firstLine="667"/>
        <w:jc w:val="both"/>
        <w:rPr>
          <w:rStyle w:val="tlid-translation"/>
          <w:rFonts w:ascii="Book Antiqua" w:hAnsi="Book Antiqua" w:cs="Book Antiqua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Zrušuje sa zákon č. 101/2010 Z.  z. o preukazovaní pôvodu majetku v znení zákona   č. 125/2016 Z. z.</w:t>
      </w:r>
    </w:p>
    <w:p w14:paraId="19E7ABD5" w14:textId="77777777" w:rsidR="00DC2B21" w:rsidRDefault="00DC2B21">
      <w:pPr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67B7D6E1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Čl. II</w:t>
      </w:r>
    </w:p>
    <w:p w14:paraId="12BB610A" w14:textId="77777777" w:rsidR="00DC2B21" w:rsidRDefault="00827388">
      <w:pPr>
        <w:widowControl w:val="0"/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 xml:space="preserve">Zákon č. 595/2003 Z. z. o dani z príjmov v znení zákona č. 43/2004 Z. z., zákona         č. 177/2004 Z. z., zákona č. 191/2004 Z. z., zákona č. 391/2004 Z. z., zákona č. 538/2004 Z. z., zákona č. 539/2004 Z. z., zákona č. 659/2004 Z. z., zákona č. 68/2005 </w:t>
      </w:r>
      <w:r>
        <w:rPr>
          <w:rFonts w:ascii="Book Antiqua" w:hAnsi="Book Antiqua" w:cs="Book Antiqua"/>
          <w:color w:val="000000"/>
          <w:sz w:val="22"/>
          <w:szCs w:val="22"/>
        </w:rPr>
        <w:t>Z. z., zákona                    č. 314/2005 Z. z., zákona č. 534/2005 Z. z., zákona č. 660/2005 Z. z., zákona č. 688/2006 Z. z., zákona č. 76/2007 Z. z., zákona č. 209/2007 Z. z., zákona č. 519/2007 Z. z., zákona                   č. 530/2007 Z. z., zákon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a č. 561/2007 Z. z., zákona č. 621/2007 Z. z., zákona č. 653/2007 Z. z., zákona č. 168/2008 Z. z., zákona č. 465/2008 Z. z., zákona č. 514/2008 Z. z., zákona                 č. </w:t>
      </w:r>
      <w:r>
        <w:rPr>
          <w:rFonts w:ascii="Book Antiqua" w:hAnsi="Book Antiqua" w:cs="Book Antiqua"/>
          <w:color w:val="000000"/>
          <w:sz w:val="22"/>
          <w:szCs w:val="22"/>
        </w:rPr>
        <w:lastRenderedPageBreak/>
        <w:t>563/2008 Z. z., zákona č. 567/2008 Z. z., zákona č. 60/2009 Z. z., zákona č. 18</w:t>
      </w:r>
      <w:r>
        <w:rPr>
          <w:rFonts w:ascii="Book Antiqua" w:hAnsi="Book Antiqua" w:cs="Book Antiqua"/>
          <w:color w:val="000000"/>
          <w:sz w:val="22"/>
          <w:szCs w:val="22"/>
        </w:rPr>
        <w:t>4/2009 Z. z., zákona č. 185/2009 Z. z., zákona č. 504/2009 Z. z., zákona č. 563/2009 Z. z., zákona                 č. 374/2010 Z. z., zákona č. 548/2010 Z. z., zákona č. 129/2011 Z. z., zákona č. 231/2011 Z. z., zákona č. 250/2011 Z. z., zákona č. 331/2011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Z. z., zákona č. 362/2011 Z. z., zákona                 č. 406/2011 Z. z., zákona č. 547/2011 Z. z., zákona č. 548/2011 Z. z., zákona č. 69/2012 Z. z., uznesenia Ústavného súdu Slovenskej republiky č. 188/2012 Z. z., zákona č. 189/2012 Z. z., zákona č. 25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2/2012 Z. z., zákona č. 288/2012 Z. z., zákona č. 395/2012 Z. z., zákona                 č. 70/2013 Z. z., zákona č. 135/2013 Z. z., zákona č. 318/2013 Z. z., zákona č. 463/2013 Z. z., zákona č. 180/2014 Z. z., zákona č. 183/2014 Z. z., zákona č. 333/2014 </w:t>
      </w:r>
      <w:r>
        <w:rPr>
          <w:rFonts w:ascii="Book Antiqua" w:hAnsi="Book Antiqua" w:cs="Book Antiqua"/>
          <w:color w:val="000000"/>
          <w:sz w:val="22"/>
          <w:szCs w:val="22"/>
        </w:rPr>
        <w:t>Z. z., zákona                  č. 364/2014 Z. z., zákona č. 371/2014 Z. z., zákona č. 25/2015 Z. z., zákona č. 61/2015 Z. z., zákona č. 62/2015 Z. z., zákona č. 79/2015 Z. z., zákona č. 140/2015 Z. z., zákona č. 176/2015 Z. z., zákona č. 253/2015 Z. z., zá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kona č. 361/2015 Z. z., zákona č. 375/2015 Z. z., zákona        č. 378/2015 Z. z., zákona č. 389/2015 Z. z., zákona č. 437/2015 Z. z., zákona č. 440/2015 Z. z., zákona č. 341/2016 Z. z., zákona č. 264/2017 Z. z., zákona č. 279/2017 Z. z., zákona           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     č. 335/2017 Z. z., zákona č. 344/2017 Z. z., zákona č. 57/2018 Z. z., zákona č. 63/2018 Z. z., zákona č. 112/2018 Z. z., zákona č. 209/2018 Z. z., zákona č. 213/2018 Z. z., zákona                 č. 317/2018 Z. z., zákona č. 347/2018 Z. z., zákona č.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368/2018 Z. z., zákona č. 385/2018 Z. z., zákona č. 4/2019 Z. z., zákona č. 10/2019 Z. z., zákona č. 54/2019 Z. z., 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zákona č. 88/2019 Z. z., zákona č. 155/2019 Z. z., zákona č. 221/2019 Z. z., zákona č. 223/2019 Z. z., zákona            č. 228/2019 Z. z.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, zákona č. 233/2019 Z. z., zákona č. 301/2019 Z. z., zákona č. 315/2019 Z. z., zákona č. 316/2019 Z. z., zákona č. 319/2019 Z. z., zákona č. 390/2019 Z. z., zákona                 č. 393/2019 Z. z., zákona č. 462/2019 Z. z., zákona č. 46/2020 Z. z., zákon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a č. 198/2020 Z. z., zákona č. 296/2020 Z. z., zákona č. 416/2020 Z. z., zákona č. 420/2020 Z. z., zákona                 č. 421/2020 Z. z., zákona č. 76/2021 Z. z., zákona č. 215/2021 Z. z., zákona č. 257/2021 Z. z., zákona č. 310/2021 Z. z., zákona č. 40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8/2021 Z. z., zákona č. 416/2021 Z. z., zákona                 č. 129/2022 Z. z., zákona č. 222/2022 Z. z., zákona č. 232/2022 Z. z., zákona č. 257/2022 Z. z., zákona č. 433/2022 Z. z., zákona č. 496/2022 Z. z., zákona č. 519/2022 Z. z., zákona           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č. 59/2023 Z. z., zákona č. 60/2023 Z. z., zákona č. 65/2023 Z. z., zákona č. 123/2023 Z. z., zákona č. 128/2023 Z. z., zákona č. 205/2023 Z. z., zákona č. 278/2023 Z. z., zákona                 č. 281/2023 Z. z., zákona č. 309/2023 Z. z., zákona č. 3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15/2023 Z. z., zákona č. 508/2023 Z. z., zákona č. 530/2023 Z. z., zákona č. 46/2024 Z. z., zákona č. 87/2024 Z. z., zákona č. 248/2024 Z. z., zákona č. 278/2024 Z. z., zákona č. 279/2024 Z. z. a zákona č. 355/2024 Z. z. 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sa dopĺňa takto: </w:t>
      </w:r>
    </w:p>
    <w:p w14:paraId="3986744E" w14:textId="77777777" w:rsidR="00DC2B21" w:rsidRDefault="00827388">
      <w:pPr>
        <w:pStyle w:val="Zkladntext1"/>
        <w:spacing w:before="120" w:line="276" w:lineRule="auto"/>
        <w:ind w:firstLine="708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§ 1 sa dopĺňa ods</w:t>
      </w:r>
      <w:r>
        <w:rPr>
          <w:rFonts w:ascii="Book Antiqua" w:hAnsi="Book Antiqua" w:cs="Book Antiqua"/>
          <w:sz w:val="22"/>
          <w:szCs w:val="22"/>
        </w:rPr>
        <w:t>ekom 3, ktorý znie:</w:t>
      </w:r>
    </w:p>
    <w:p w14:paraId="7628AC99" w14:textId="77777777" w:rsidR="00DC2B21" w:rsidRDefault="00827388">
      <w:pPr>
        <w:pStyle w:val="Zkladntext1"/>
        <w:spacing w:before="120" w:line="276" w:lineRule="auto"/>
        <w:ind w:firstLine="708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„(3) Podľa tohto zákona sa postupuje, ak osobitný predpis</w:t>
      </w:r>
      <w:r>
        <w:rPr>
          <w:rStyle w:val="Odkaznapoznmkupodiarou"/>
          <w:rFonts w:ascii="Book Antiqua" w:hAnsi="Book Antiqua" w:cs="Book Antiqua"/>
          <w:sz w:val="22"/>
          <w:szCs w:val="22"/>
        </w:rPr>
        <w:t>1</w:t>
      </w:r>
      <w:r>
        <w:rPr>
          <w:rFonts w:ascii="Book Antiqua" w:hAnsi="Book Antiqua" w:cs="Book Antiqua"/>
          <w:sz w:val="22"/>
          <w:szCs w:val="22"/>
          <w:vertAlign w:val="superscript"/>
        </w:rPr>
        <w:t>c</w:t>
      </w:r>
      <w:r>
        <w:rPr>
          <w:rStyle w:val="Odkaznapoznmkupodiarou"/>
          <w:rFonts w:ascii="Book Antiqua" w:hAnsi="Book Antiqua" w:cs="Book Antiqua"/>
          <w:sz w:val="22"/>
          <w:szCs w:val="22"/>
        </w:rPr>
        <w:t>)</w:t>
      </w:r>
      <w:r>
        <w:rPr>
          <w:rFonts w:ascii="Book Antiqua" w:hAnsi="Book Antiqua" w:cs="Book Antiqua"/>
          <w:sz w:val="22"/>
          <w:szCs w:val="22"/>
        </w:rPr>
        <w:t xml:space="preserve"> neustanovuje inak.</w:t>
      </w:r>
    </w:p>
    <w:p w14:paraId="117268BD" w14:textId="77777777" w:rsidR="00DC2B21" w:rsidRDefault="00827388">
      <w:pPr>
        <w:pStyle w:val="Zkladntext1"/>
        <w:spacing w:before="120" w:line="276" w:lineRule="auto"/>
        <w:ind w:firstLine="708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Poznámka pod čiarou k odkazu 1c znie:</w:t>
      </w:r>
    </w:p>
    <w:p w14:paraId="6D28D793" w14:textId="133A3AF0" w:rsidR="00DC2B21" w:rsidRDefault="00827388">
      <w:pPr>
        <w:pStyle w:val="Zkladntext1"/>
        <w:spacing w:before="120" w:line="276" w:lineRule="auto"/>
        <w:ind w:left="708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„</w:t>
      </w:r>
      <w:r>
        <w:rPr>
          <w:rStyle w:val="Odkaznapoznmkupodiarou"/>
          <w:rFonts w:ascii="Book Antiqua" w:hAnsi="Book Antiqua" w:cs="Book Antiqua"/>
          <w:sz w:val="22"/>
          <w:szCs w:val="22"/>
        </w:rPr>
        <w:t>1</w:t>
      </w:r>
      <w:r>
        <w:rPr>
          <w:rFonts w:ascii="Book Antiqua" w:hAnsi="Book Antiqua" w:cs="Book Antiqua"/>
          <w:sz w:val="22"/>
          <w:szCs w:val="22"/>
          <w:vertAlign w:val="superscript"/>
        </w:rPr>
        <w:t>c</w:t>
      </w:r>
      <w:r>
        <w:rPr>
          <w:rStyle w:val="Odkaznapoznmkupodiarou"/>
          <w:rFonts w:ascii="Book Antiqua" w:hAnsi="Book Antiqua" w:cs="Book Antiqua"/>
          <w:sz w:val="22"/>
          <w:szCs w:val="22"/>
        </w:rPr>
        <w:t xml:space="preserve">) </w:t>
      </w:r>
      <w:r>
        <w:rPr>
          <w:rFonts w:ascii="Book Antiqua" w:hAnsi="Book Antiqua" w:cs="Book Antiqua"/>
          <w:sz w:val="22"/>
          <w:szCs w:val="22"/>
        </w:rPr>
        <w:t>Zákon č. .../202</w:t>
      </w:r>
      <w:r w:rsidR="00AD086E">
        <w:rPr>
          <w:rFonts w:ascii="Book Antiqua" w:hAnsi="Book Antiqua" w:cs="Book Antiqua"/>
          <w:sz w:val="22"/>
          <w:szCs w:val="22"/>
        </w:rPr>
        <w:t>5</w:t>
      </w:r>
      <w:r>
        <w:rPr>
          <w:rFonts w:ascii="Book Antiqua" w:hAnsi="Book Antiqua" w:cs="Book Antiqua"/>
          <w:sz w:val="22"/>
          <w:szCs w:val="22"/>
        </w:rPr>
        <w:t xml:space="preserve"> Z. z. o preukazovaní pôvodu príjmov a majetku a o zmene a doplnení niektorých zákonov.“.</w:t>
      </w:r>
    </w:p>
    <w:p w14:paraId="52E31617" w14:textId="77777777" w:rsidR="00DC2B21" w:rsidRDefault="00DC2B21">
      <w:pPr>
        <w:spacing w:before="120" w:line="276" w:lineRule="auto"/>
        <w:rPr>
          <w:rFonts w:ascii="Book Antiqua" w:hAnsi="Book Antiqua" w:cs="Book Antiqua"/>
          <w:b/>
          <w:bCs/>
          <w:sz w:val="22"/>
          <w:szCs w:val="22"/>
        </w:rPr>
      </w:pPr>
    </w:p>
    <w:p w14:paraId="6CD35B93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Čl. </w:t>
      </w:r>
      <w:r>
        <w:rPr>
          <w:rFonts w:ascii="Book Antiqua" w:hAnsi="Book Antiqua" w:cs="Book Antiqua"/>
          <w:b/>
          <w:bCs/>
          <w:sz w:val="22"/>
          <w:szCs w:val="22"/>
        </w:rPr>
        <w:t>III</w:t>
      </w:r>
    </w:p>
    <w:p w14:paraId="036D13D6" w14:textId="77777777" w:rsidR="00DC2B21" w:rsidRDefault="00827388">
      <w:pPr>
        <w:pStyle w:val="Zarkazkladnhotextu"/>
        <w:spacing w:before="120" w:line="276" w:lineRule="auto"/>
        <w:ind w:firstLine="708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 xml:space="preserve">Zákon </w:t>
      </w:r>
      <w:r>
        <w:rPr>
          <w:rFonts w:ascii="Book Antiqua" w:hAnsi="Book Antiqua" w:cs="Book Antiqua"/>
          <w:sz w:val="22"/>
          <w:szCs w:val="22"/>
        </w:rPr>
        <w:t>č. 563/2009 Z. z. o správe daní (daňový poriadok) a o zmene a doplnení niektorých zákonov v znení zákona č. 331/2011 Z. z., zákona č. 332/2011 Z. z., zákona            č. 384/2011 Z. z., zákona č. 546/2011 Z. z., zákona č. 69/2012 Z. z., zákona č</w:t>
      </w:r>
      <w:r>
        <w:rPr>
          <w:rFonts w:ascii="Book Antiqua" w:hAnsi="Book Antiqua" w:cs="Book Antiqua"/>
          <w:sz w:val="22"/>
          <w:szCs w:val="22"/>
        </w:rPr>
        <w:t xml:space="preserve">. 91/2012 Z. z., </w:t>
      </w:r>
      <w:r>
        <w:rPr>
          <w:rFonts w:ascii="Book Antiqua" w:hAnsi="Book Antiqua" w:cs="Book Antiqua"/>
          <w:sz w:val="22"/>
          <w:szCs w:val="22"/>
        </w:rPr>
        <w:lastRenderedPageBreak/>
        <w:t>zákona č. 235/2012 Z. z., zákona č. 246/2012 Z. z., zákona č. 440/2012 Z. z., zákona                 č. 218/2013 Z. z., zákona č. 435/2013 Z. z., zákona č. 213/2014 Z. z., zákona č. 218/2014 Z. z., zákona č. 333/2014 Z. z., zákona č. 361/2</w:t>
      </w:r>
      <w:r>
        <w:rPr>
          <w:rFonts w:ascii="Book Antiqua" w:hAnsi="Book Antiqua" w:cs="Book Antiqua"/>
          <w:sz w:val="22"/>
          <w:szCs w:val="22"/>
        </w:rPr>
        <w:t xml:space="preserve">014 Z. z., zákona č. 130/2015 Z. z., zákona                  č. 176/2015 Z. z., zákona č. 252/2015 Z. z., zákona č. 269/2015 Z. z., zákona č. 393/2015 Z. z., zákona č. 447/2015 Z. z., zákona č. 125/2016 Z. z., zákona č. 298/2016 Z. z., zákona              </w:t>
      </w:r>
      <w:r>
        <w:rPr>
          <w:rFonts w:ascii="Book Antiqua" w:hAnsi="Book Antiqua" w:cs="Book Antiqua"/>
          <w:sz w:val="22"/>
          <w:szCs w:val="22"/>
        </w:rPr>
        <w:t xml:space="preserve">    č. 339/2016 Z. z., zákona č. 267/2017 Z. z., zákona č. 344/2017 Z. z., zákona č. 213/2018 Z. z., zákona č. 177/2018 Z. z., zákona č. 368/2018 Z. z., zákona č. 35/2019 Z. z.,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zákona                    č. 221/2019 Z. z., zákona č. 369/2019 Z. z., zákona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390/2019 Z. z., zákona č. 46/2020 Z. z., zákona č. 198/2020 Z. z., zákona č. 296/2020 Z. z., zákona č. 312/2020 Z. z., zákona                 č. 416/2020 Z. z., zákona č. 421/2020 Z. z., zákona č. 45/2021 Z. z., 395/2021 Z. z., zákona       č. 408/2021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>Z. z. zákona č. 39/2022 Z. z., zákona č. 250/2022 Z. z., zákona č. 325/2022 Z. z., zákona č. 395/2022 Z. z., zákona č. 433/2022 Z. z., zákona č. 496/2022 Z. z., zákona                  č. 519/2022 Z. z., zákona č. 59/2023 Z. z., zákona č. 507/2023 Z. z., z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ákona č. 508/2023 Z. z., zákona č. 87/2024 Z. z., zákona č. 102/2024 Z. z., zákona č. 251/2024 Z. z. a zákona                  č. 279/2024 Z. z. </w:t>
      </w:r>
      <w:r>
        <w:rPr>
          <w:rFonts w:ascii="Book Antiqua" w:hAnsi="Book Antiqua" w:cs="Book Antiqua"/>
          <w:sz w:val="22"/>
          <w:szCs w:val="22"/>
        </w:rPr>
        <w:t>sa dopĺňa takto:</w:t>
      </w:r>
    </w:p>
    <w:p w14:paraId="0A9EAEC5" w14:textId="77777777" w:rsidR="00DC2B21" w:rsidRDefault="00827388">
      <w:pPr>
        <w:pStyle w:val="Odsekzoznamu"/>
        <w:numPr>
          <w:ilvl w:val="0"/>
          <w:numId w:val="20"/>
        </w:numPr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V poznámke pod čiarou k odkazu 1 sa na konci dopĺňa citácia: „Zákon č. .../2025 Z. z. o preuka</w:t>
      </w:r>
      <w:r>
        <w:rPr>
          <w:rFonts w:ascii="Book Antiqua" w:hAnsi="Book Antiqua" w:cs="Book Antiqua"/>
          <w:sz w:val="22"/>
          <w:szCs w:val="22"/>
        </w:rPr>
        <w:t>zovaní pôvodu príjmov a majetku a o zmene a doplnení niektorých zákonov.</w:t>
      </w:r>
      <w:r>
        <w:rPr>
          <w:rFonts w:ascii="Book Antiqua" w:hAnsi="Book Antiqua" w:cs="Book Antiqua"/>
          <w:sz w:val="22"/>
          <w:szCs w:val="22"/>
          <w:shd w:val="clear" w:color="auto" w:fill="FFFFFF"/>
        </w:rPr>
        <w:t>“.</w:t>
      </w:r>
    </w:p>
    <w:p w14:paraId="04A36D9F" w14:textId="77777777" w:rsidR="00DC2B21" w:rsidRDefault="00827388">
      <w:pPr>
        <w:pStyle w:val="Odsekzoznamu"/>
        <w:numPr>
          <w:ilvl w:val="0"/>
          <w:numId w:val="20"/>
        </w:numPr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  <w:shd w:val="clear" w:color="auto" w:fill="FFFFFF"/>
        </w:rPr>
        <w:t>V § 40 ods. 1 druhej vete sa na konci pripájajú tieto slová: „alebo ak v súvislosti s postupom správcu dane podľa osobitného predpisu</w:t>
      </w:r>
      <w:r>
        <w:rPr>
          <w:rStyle w:val="Odkaznapoznmkupodiarou"/>
          <w:rFonts w:ascii="Book Antiqua" w:eastAsia="Calibri" w:hAnsi="Book Antiqua" w:cs="Book Antiqua"/>
          <w:sz w:val="22"/>
          <w:szCs w:val="22"/>
          <w:shd w:val="clear" w:color="auto" w:fill="FFFFFF"/>
        </w:rPr>
        <w:t>33a)</w:t>
      </w:r>
      <w:r>
        <w:rPr>
          <w:rFonts w:ascii="Book Antiqua" w:hAnsi="Book Antiqua" w:cs="Book Antiqua"/>
          <w:sz w:val="22"/>
          <w:szCs w:val="22"/>
          <w:shd w:val="clear" w:color="auto" w:fill="FFFFFF"/>
        </w:rPr>
        <w:t xml:space="preserve"> hrozí vznik nevymožiteľného daňového nedoplatku, a to aj dočasného“.</w:t>
      </w:r>
    </w:p>
    <w:p w14:paraId="0CB12D21" w14:textId="77777777" w:rsidR="00DC2B21" w:rsidRDefault="00827388">
      <w:pPr>
        <w:pStyle w:val="Zkladntext1"/>
        <w:spacing w:before="120" w:line="276" w:lineRule="auto"/>
        <w:ind w:left="72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Poznámka pod čiarou k odkazu 33a znie:</w:t>
      </w:r>
    </w:p>
    <w:p w14:paraId="041CFF98" w14:textId="77777777" w:rsidR="00DC2B21" w:rsidRDefault="00827388">
      <w:pPr>
        <w:pStyle w:val="Zkladntext1"/>
        <w:spacing w:before="120" w:line="276" w:lineRule="auto"/>
        <w:ind w:left="72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„</w:t>
      </w:r>
      <w:r>
        <w:rPr>
          <w:rStyle w:val="Odkaznapoznmkupodiarou"/>
          <w:rFonts w:ascii="Book Antiqua" w:hAnsi="Book Antiqua" w:cs="Book Antiqua"/>
          <w:sz w:val="22"/>
          <w:szCs w:val="22"/>
        </w:rPr>
        <w:t xml:space="preserve">33a) </w:t>
      </w:r>
      <w:r>
        <w:rPr>
          <w:rFonts w:ascii="Book Antiqua" w:hAnsi="Book Antiqua" w:cs="Book Antiqua"/>
          <w:sz w:val="22"/>
          <w:szCs w:val="22"/>
        </w:rPr>
        <w:t>Zákon č. .../2025 Z. z. o preukazovaní pôvodu príjmov a majetku a o zmene a doplnení niektorých zákonov.“.</w:t>
      </w:r>
    </w:p>
    <w:p w14:paraId="67860AF6" w14:textId="77777777" w:rsidR="00DC2B21" w:rsidRDefault="00DC2B21">
      <w:pPr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1C5F67AB" w14:textId="77777777" w:rsidR="00DC2B21" w:rsidRDefault="00827388">
      <w:pPr>
        <w:spacing w:before="120" w:line="276" w:lineRule="auto"/>
        <w:jc w:val="center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>Čl. IV</w:t>
      </w:r>
    </w:p>
    <w:p w14:paraId="1318DEF8" w14:textId="77777777" w:rsidR="00DC2B21" w:rsidRDefault="00827388">
      <w:pPr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Zákon č. 312/2020 Z. z. o </w:t>
      </w:r>
      <w:r>
        <w:rPr>
          <w:rFonts w:ascii="Book Antiqua" w:hAnsi="Book Antiqua" w:cs="Book Antiqua"/>
          <w:sz w:val="22"/>
          <w:szCs w:val="22"/>
        </w:rPr>
        <w:t>výkone rozhodnutia o zaistení majetku a správe zaisteného majetku a o zmene a doplnení niektorých zákonov v znení zákona č. 248/2024 Z. z. sa mení a dopĺňa takto:</w:t>
      </w:r>
    </w:p>
    <w:p w14:paraId="3C2E8D63" w14:textId="77777777" w:rsidR="00DC2B21" w:rsidRDefault="00827388">
      <w:pPr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V poznámke pod čiarou k odkazu 1 sa citácia „</w:t>
      </w:r>
      <w:r>
        <w:rPr>
          <w:rFonts w:ascii="Book Antiqua" w:hAnsi="Book Antiqua"/>
          <w:color w:val="000000"/>
          <w:sz w:val="22"/>
          <w:szCs w:val="22"/>
        </w:rPr>
        <w:t>Zákon č. 101/2010 Z.  z. o preukazovaní pôvodu m</w:t>
      </w:r>
      <w:r>
        <w:rPr>
          <w:rFonts w:ascii="Book Antiqua" w:hAnsi="Book Antiqua"/>
          <w:color w:val="000000"/>
          <w:sz w:val="22"/>
          <w:szCs w:val="22"/>
        </w:rPr>
        <w:t>ajetku v znení zákona č. 125/2016 Z. z.“ nahrádza citáciou „</w:t>
      </w:r>
      <w:r>
        <w:rPr>
          <w:rFonts w:ascii="Book Antiqua" w:hAnsi="Book Antiqua" w:cs="Book Antiqua"/>
          <w:sz w:val="22"/>
          <w:szCs w:val="22"/>
        </w:rPr>
        <w:t>Zákon č. .../2025 Z. z. o preukazovaní pôvodu príjmov a majetku a o zmene a doplnení niektorých zákonov.“.</w:t>
      </w:r>
    </w:p>
    <w:p w14:paraId="70C9E224" w14:textId="77777777" w:rsidR="00410690" w:rsidRDefault="00410690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14:paraId="60F2D8C4" w14:textId="1C39CF14" w:rsidR="00DC2B21" w:rsidRDefault="00827388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Čl. V</w:t>
      </w:r>
    </w:p>
    <w:p w14:paraId="5F72D42F" w14:textId="77777777" w:rsidR="00DC2B21" w:rsidRDefault="00827388">
      <w:pPr>
        <w:pStyle w:val="Zkladntext1"/>
        <w:spacing w:before="120" w:line="276" w:lineRule="auto"/>
        <w:ind w:firstLine="708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Tento zákon nadobúda účinnosť 1. januára 2026.</w:t>
      </w:r>
    </w:p>
    <w:sectPr w:rsidR="00DC2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29916" w14:textId="77777777" w:rsidR="00827388" w:rsidRDefault="00827388">
      <w:r>
        <w:separator/>
      </w:r>
    </w:p>
  </w:endnote>
  <w:endnote w:type="continuationSeparator" w:id="0">
    <w:p w14:paraId="1AD5AE68" w14:textId="77777777" w:rsidR="00827388" w:rsidRDefault="0082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2CB85" w14:textId="77777777" w:rsidR="00DF4553" w:rsidRDefault="00DF455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293B4" w14:textId="77777777" w:rsidR="00DF4553" w:rsidRDefault="00DF455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39D9C" w14:textId="77777777" w:rsidR="00DF4553" w:rsidRDefault="00DF45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4DA24" w14:textId="77777777" w:rsidR="00827388" w:rsidRDefault="00827388">
      <w:r>
        <w:separator/>
      </w:r>
    </w:p>
  </w:footnote>
  <w:footnote w:type="continuationSeparator" w:id="0">
    <w:p w14:paraId="05F9F76D" w14:textId="77777777" w:rsidR="00827388" w:rsidRDefault="00827388">
      <w:r>
        <w:continuationSeparator/>
      </w:r>
    </w:p>
  </w:footnote>
  <w:footnote w:id="1">
    <w:p w14:paraId="0F46332E" w14:textId="77777777" w:rsidR="00DC2B21" w:rsidRDefault="00827388">
      <w:pPr>
        <w:pStyle w:val="Textpoznmkypodiarou"/>
        <w:rPr>
          <w:rFonts w:ascii="Book Antiqua" w:hAnsi="Book Antiqua"/>
          <w:sz w:val="18"/>
          <w:szCs w:val="18"/>
        </w:rPr>
      </w:pPr>
      <w:r>
        <w:rPr>
          <w:rStyle w:val="Odkaznapoznmkupodiarou"/>
          <w:rFonts w:ascii="Book Antiqua" w:hAnsi="Book Antiqua" w:cs="Book Antiqua"/>
          <w:sz w:val="18"/>
          <w:szCs w:val="18"/>
        </w:rPr>
        <w:footnoteRef/>
      </w:r>
      <w:r>
        <w:rPr>
          <w:rFonts w:ascii="Book Antiqua" w:hAnsi="Book Antiqua" w:cs="Book Antiqua"/>
          <w:sz w:val="18"/>
          <w:szCs w:val="18"/>
        </w:rPr>
        <w:t xml:space="preserve"> § 2 písm. d), e), t) a x) zákona č. 595/2003 Z. z. o dani z príjmov v znení neskorších predpisov.</w:t>
      </w:r>
    </w:p>
  </w:footnote>
  <w:footnote w:id="2">
    <w:p w14:paraId="1326178C" w14:textId="77777777" w:rsidR="00DC2B21" w:rsidRDefault="00827388">
      <w:pPr>
        <w:pStyle w:val="Textpoznmkypodiarou"/>
        <w:jc w:val="both"/>
      </w:pPr>
      <w:r>
        <w:rPr>
          <w:rStyle w:val="Odkaznapoznmkupodiarou"/>
          <w:rFonts w:ascii="Book Antiqua" w:hAnsi="Book Antiqua"/>
          <w:sz w:val="18"/>
          <w:szCs w:val="18"/>
        </w:rPr>
        <w:footnoteRef/>
      </w:r>
      <w:r>
        <w:rPr>
          <w:rFonts w:ascii="Book Antiqua" w:hAnsi="Book Antiqua"/>
          <w:sz w:val="18"/>
          <w:szCs w:val="18"/>
        </w:rPr>
        <w:t xml:space="preserve">) § 4 ods. 1 </w:t>
      </w:r>
      <w:r>
        <w:rPr>
          <w:rFonts w:ascii="Book Antiqua" w:hAnsi="Book Antiqua" w:cs="Book Antiqua"/>
          <w:sz w:val="18"/>
          <w:szCs w:val="18"/>
        </w:rPr>
        <w:t>zákona č. 563/2009 Z. z. o správe daní (daňový poriadok) a o zmene a doplnení niektorých zákonov v znení neskorších predpisov.</w:t>
      </w:r>
      <w:r>
        <w:t xml:space="preserve"> </w:t>
      </w:r>
    </w:p>
  </w:footnote>
  <w:footnote w:id="3">
    <w:p w14:paraId="3762134D" w14:textId="77777777" w:rsidR="00DC2B21" w:rsidRDefault="00827388">
      <w:pPr>
        <w:pStyle w:val="Textpoznmkypodiarou"/>
        <w:rPr>
          <w:rFonts w:ascii="Book Antiqua" w:hAnsi="Book Antiqua"/>
          <w:sz w:val="18"/>
          <w:szCs w:val="18"/>
        </w:rPr>
      </w:pPr>
      <w:r>
        <w:rPr>
          <w:rStyle w:val="Odkaznapoznmkupodiarou"/>
          <w:rFonts w:ascii="Book Antiqua" w:hAnsi="Book Antiqua" w:cs="Book Antiqua"/>
          <w:sz w:val="18"/>
          <w:szCs w:val="18"/>
        </w:rPr>
        <w:footnoteRef/>
      </w:r>
      <w:r>
        <w:rPr>
          <w:rFonts w:ascii="Book Antiqua" w:hAnsi="Book Antiqua" w:cs="Book Antiqua"/>
          <w:sz w:val="18"/>
          <w:szCs w:val="18"/>
        </w:rPr>
        <w:t>) § 2 písm. c)</w:t>
      </w:r>
      <w:r>
        <w:rPr>
          <w:rFonts w:ascii="Book Antiqua" w:hAnsi="Book Antiqua" w:cs="Book Antiqua"/>
          <w:sz w:val="18"/>
          <w:szCs w:val="18"/>
        </w:rPr>
        <w:t xml:space="preserve"> zákona č. 595/2003 Z. z. v znení neskorších predpisov.</w:t>
      </w:r>
    </w:p>
  </w:footnote>
  <w:footnote w:id="4">
    <w:p w14:paraId="488B48B7" w14:textId="77777777" w:rsidR="00DC2B21" w:rsidRDefault="00827388">
      <w:pPr>
        <w:pStyle w:val="Textpoznmkypodiarou"/>
        <w:rPr>
          <w:rFonts w:ascii="Book Antiqua" w:hAnsi="Book Antiqua"/>
          <w:sz w:val="18"/>
          <w:szCs w:val="18"/>
        </w:rPr>
      </w:pPr>
      <w:r>
        <w:rPr>
          <w:rStyle w:val="Odkaznapoznmkupodiarou"/>
          <w:rFonts w:ascii="Book Antiqua" w:hAnsi="Book Antiqua" w:cs="Book Antiqua"/>
          <w:sz w:val="18"/>
          <w:szCs w:val="18"/>
        </w:rPr>
        <w:footnoteRef/>
      </w:r>
      <w:r>
        <w:rPr>
          <w:rFonts w:ascii="Book Antiqua" w:hAnsi="Book Antiqua" w:cs="Book Antiqua"/>
          <w:sz w:val="18"/>
          <w:szCs w:val="18"/>
        </w:rPr>
        <w:t>) § 2 písm. b) zákona č. 595/2003 Z. z. v znení zákona č. 621/2007 Z. z.</w:t>
      </w:r>
    </w:p>
  </w:footnote>
  <w:footnote w:id="5">
    <w:p w14:paraId="227162DC" w14:textId="77777777" w:rsidR="00DC2B21" w:rsidRDefault="00827388">
      <w:pPr>
        <w:pStyle w:val="Textpoznmkypodiarou"/>
        <w:rPr>
          <w:rFonts w:ascii="Book Antiqua" w:hAnsi="Book Antiqua"/>
          <w:sz w:val="18"/>
          <w:szCs w:val="18"/>
        </w:rPr>
      </w:pPr>
      <w:r>
        <w:rPr>
          <w:rStyle w:val="Odkaznapoznmkupodiarou"/>
          <w:rFonts w:ascii="Book Antiqua" w:hAnsi="Book Antiqua" w:cs="Book Antiqua"/>
          <w:sz w:val="18"/>
          <w:szCs w:val="18"/>
        </w:rPr>
        <w:footnoteRef/>
      </w:r>
      <w:r>
        <w:rPr>
          <w:rFonts w:ascii="Book Antiqua" w:hAnsi="Book Antiqua" w:cs="Book Antiqua"/>
          <w:sz w:val="18"/>
          <w:szCs w:val="18"/>
        </w:rPr>
        <w:t xml:space="preserve">) § 12 zákona č. 595/2003 Z. z. v znení neskorších predpisov. </w:t>
      </w:r>
    </w:p>
  </w:footnote>
  <w:footnote w:id="6">
    <w:p w14:paraId="72EA453F" w14:textId="77777777" w:rsidR="00DC2B21" w:rsidRDefault="00827388">
      <w:pPr>
        <w:pStyle w:val="Textpoznmkypodiarou"/>
        <w:rPr>
          <w:rFonts w:ascii="Book Antiqua" w:hAnsi="Book Antiqua"/>
          <w:sz w:val="18"/>
          <w:szCs w:val="18"/>
        </w:rPr>
      </w:pPr>
      <w:r>
        <w:rPr>
          <w:rStyle w:val="Odkaznapoznmkupodiarou"/>
          <w:rFonts w:ascii="Book Antiqua" w:hAnsi="Book Antiqua"/>
          <w:sz w:val="18"/>
          <w:szCs w:val="18"/>
        </w:rPr>
        <w:footnoteRef/>
      </w:r>
      <w:r>
        <w:rPr>
          <w:rFonts w:ascii="Book Antiqua" w:hAnsi="Book Antiqua"/>
          <w:sz w:val="18"/>
          <w:szCs w:val="18"/>
        </w:rPr>
        <w:t>) § 118 až 121 Občianskeho zákonníka v znení neskorších predp</w:t>
      </w:r>
      <w:r>
        <w:rPr>
          <w:rFonts w:ascii="Book Antiqua" w:hAnsi="Book Antiqua"/>
          <w:sz w:val="18"/>
          <w:szCs w:val="18"/>
        </w:rPr>
        <w:t xml:space="preserve">isov. </w:t>
      </w:r>
    </w:p>
  </w:footnote>
  <w:footnote w:id="7">
    <w:p w14:paraId="206F6BFD" w14:textId="77777777" w:rsidR="00DC2B21" w:rsidRDefault="00827388">
      <w:pPr>
        <w:pStyle w:val="Textpoznmkypodiarou"/>
        <w:jc w:val="both"/>
        <w:rPr>
          <w:rFonts w:ascii="Book Antiqua" w:hAnsi="Book Antiqua"/>
          <w:sz w:val="18"/>
          <w:szCs w:val="18"/>
        </w:rPr>
      </w:pPr>
      <w:r>
        <w:rPr>
          <w:rStyle w:val="Odkaznapoznmkupodiarou"/>
          <w:rFonts w:ascii="Book Antiqua" w:hAnsi="Book Antiqua" w:cs="Book Antiqua"/>
          <w:sz w:val="18"/>
          <w:szCs w:val="18"/>
        </w:rPr>
        <w:footnoteRef/>
      </w:r>
      <w:r>
        <w:rPr>
          <w:rFonts w:ascii="Book Antiqua" w:hAnsi="Book Antiqua" w:cs="Book Antiqua"/>
          <w:sz w:val="18"/>
          <w:szCs w:val="18"/>
        </w:rPr>
        <w:t>) Napríklad zákon č. 54/2019 Z. z. o ochrane oznamovateľov protispoločenskej činnosti a o zmene a doplnení niektorých zákonov v znení zákona č. 189/2023 Z. z.</w:t>
      </w:r>
    </w:p>
  </w:footnote>
  <w:footnote w:id="8">
    <w:p w14:paraId="6D8E842D" w14:textId="77777777" w:rsidR="00DC2B21" w:rsidRDefault="00827388">
      <w:pPr>
        <w:pStyle w:val="Textpoznmkypodiarou"/>
        <w:jc w:val="both"/>
        <w:rPr>
          <w:rFonts w:ascii="Book Antiqua" w:hAnsi="Book Antiqua"/>
          <w:sz w:val="18"/>
          <w:szCs w:val="18"/>
        </w:rPr>
      </w:pPr>
      <w:r>
        <w:rPr>
          <w:rStyle w:val="Odkaznapoznmkupodiarou"/>
          <w:rFonts w:ascii="Book Antiqua" w:hAnsi="Book Antiqua"/>
          <w:sz w:val="18"/>
          <w:szCs w:val="18"/>
        </w:rPr>
        <w:footnoteRef/>
      </w:r>
      <w:r>
        <w:rPr>
          <w:rFonts w:ascii="Book Antiqua" w:hAnsi="Book Antiqua"/>
          <w:sz w:val="18"/>
          <w:szCs w:val="18"/>
        </w:rPr>
        <w:t xml:space="preserve">) § 17 zákona č. 297/2008 Z. z. </w:t>
      </w:r>
      <w:r>
        <w:rPr>
          <w:rFonts w:ascii="Book Antiqua" w:hAnsi="Book Antiqua" w:cs="Segoe UI"/>
          <w:bCs/>
          <w:color w:val="000000"/>
          <w:sz w:val="18"/>
          <w:szCs w:val="18"/>
          <w:shd w:val="clear" w:color="auto" w:fill="FFFFFF"/>
        </w:rPr>
        <w:t xml:space="preserve">o ochrane pred legalizáciou príjmov z trestnej činnosti </w:t>
      </w:r>
      <w:r>
        <w:rPr>
          <w:rFonts w:ascii="Book Antiqua" w:hAnsi="Book Antiqua" w:cs="Segoe UI"/>
          <w:bCs/>
          <w:color w:val="000000"/>
          <w:sz w:val="18"/>
          <w:szCs w:val="18"/>
          <w:shd w:val="clear" w:color="auto" w:fill="FFFFFF"/>
        </w:rPr>
        <w:t>a o ochrane pred financovaním terorizmu a o zmene a doplnení niektorých zákonov v znení neskorších predpisov.</w:t>
      </w:r>
    </w:p>
  </w:footnote>
  <w:footnote w:id="9">
    <w:p w14:paraId="0F71A631" w14:textId="77777777" w:rsidR="00DC2B21" w:rsidRDefault="00827388">
      <w:pPr>
        <w:pStyle w:val="Textpoznmkypodiarou"/>
        <w:rPr>
          <w:rFonts w:ascii="Book Antiqua" w:hAnsi="Book Antiqua"/>
          <w:sz w:val="18"/>
          <w:szCs w:val="18"/>
        </w:rPr>
      </w:pPr>
      <w:r>
        <w:rPr>
          <w:rStyle w:val="Odkaznapoznmkupodiarou"/>
          <w:rFonts w:ascii="Book Antiqua" w:hAnsi="Book Antiqua"/>
          <w:sz w:val="18"/>
          <w:szCs w:val="18"/>
        </w:rPr>
        <w:footnoteRef/>
      </w:r>
      <w:r>
        <w:rPr>
          <w:rFonts w:ascii="Book Antiqua" w:hAnsi="Book Antiqua"/>
          <w:sz w:val="18"/>
          <w:szCs w:val="18"/>
        </w:rPr>
        <w:t>) § 5 ods. 1 písm. o) zákona č. 297/2008 Z. z.</w:t>
      </w:r>
      <w:r>
        <w:rPr>
          <w:rFonts w:ascii="Book Antiqua" w:hAnsi="Book Antiqua" w:cs="Segoe UI"/>
          <w:bCs/>
          <w:color w:val="000000"/>
          <w:sz w:val="18"/>
          <w:szCs w:val="18"/>
          <w:shd w:val="clear" w:color="auto" w:fill="FFFFFF"/>
        </w:rPr>
        <w:t xml:space="preserve"> v znení neskorších predpisov.</w:t>
      </w:r>
    </w:p>
  </w:footnote>
  <w:footnote w:id="10">
    <w:p w14:paraId="1601523C" w14:textId="77777777" w:rsidR="00DC2B21" w:rsidRDefault="00827388">
      <w:pPr>
        <w:pStyle w:val="Textpoznmkypodiarou"/>
        <w:jc w:val="both"/>
        <w:rPr>
          <w:rFonts w:ascii="Book Antiqua" w:hAnsi="Book Antiqua"/>
          <w:sz w:val="18"/>
          <w:szCs w:val="18"/>
        </w:rPr>
      </w:pPr>
      <w:r>
        <w:rPr>
          <w:rStyle w:val="Odkaznapoznmkupodiarou"/>
          <w:rFonts w:ascii="Book Antiqua" w:hAnsi="Book Antiqua" w:cs="Book Antiqua"/>
          <w:sz w:val="18"/>
          <w:szCs w:val="18"/>
        </w:rPr>
        <w:footnoteRef/>
      </w:r>
      <w:r>
        <w:rPr>
          <w:rFonts w:ascii="Book Antiqua" w:hAnsi="Book Antiqua" w:cs="Book Antiqua"/>
          <w:sz w:val="18"/>
          <w:szCs w:val="18"/>
        </w:rPr>
        <w:t>) Napríklad § 2 ods. 1 zákona č. 312/2020 Z. z. o výkone rozhodnuti</w:t>
      </w:r>
      <w:r>
        <w:rPr>
          <w:rFonts w:ascii="Book Antiqua" w:hAnsi="Book Antiqua" w:cs="Book Antiqua"/>
          <w:sz w:val="18"/>
          <w:szCs w:val="18"/>
        </w:rPr>
        <w:t>a o zaistení majetku a správe zaisteného majetku a o zmene a doplnení niektorých zákonov v znení zákona č. 248/2024 Z. z.</w:t>
      </w:r>
    </w:p>
  </w:footnote>
  <w:footnote w:id="11">
    <w:p w14:paraId="4BBC969F" w14:textId="77777777" w:rsidR="00DC2B21" w:rsidRDefault="00827388">
      <w:pPr>
        <w:pStyle w:val="Textpoznmkypodiarou"/>
        <w:rPr>
          <w:rFonts w:ascii="Book Antiqua" w:hAnsi="Book Antiqua"/>
          <w:sz w:val="18"/>
          <w:szCs w:val="18"/>
        </w:rPr>
      </w:pPr>
      <w:r>
        <w:rPr>
          <w:rStyle w:val="Odkaznapoznmkupodiarou"/>
          <w:rFonts w:ascii="Book Antiqua" w:hAnsi="Book Antiqua" w:cs="Book Antiqua"/>
          <w:sz w:val="18"/>
          <w:szCs w:val="18"/>
        </w:rPr>
        <w:footnoteRef/>
      </w:r>
      <w:r>
        <w:rPr>
          <w:rFonts w:ascii="Book Antiqua" w:hAnsi="Book Antiqua" w:cs="Book Antiqua"/>
          <w:sz w:val="18"/>
          <w:szCs w:val="18"/>
        </w:rPr>
        <w:t>) § 40, 41 a 164a zákona č. 563/2009 Z. z. v znení zákona č. .../2025 Z. z.</w:t>
      </w:r>
    </w:p>
  </w:footnote>
  <w:footnote w:id="12">
    <w:p w14:paraId="1CEB2EE6" w14:textId="77777777" w:rsidR="00DC2B21" w:rsidRDefault="00827388">
      <w:pPr>
        <w:pStyle w:val="Textpoznmkypodiarou"/>
        <w:jc w:val="both"/>
        <w:rPr>
          <w:rFonts w:ascii="Book Antiqua" w:hAnsi="Book Antiqua"/>
          <w:sz w:val="18"/>
          <w:szCs w:val="18"/>
        </w:rPr>
      </w:pPr>
      <w:r>
        <w:rPr>
          <w:rStyle w:val="Odkaznapoznmkupodiarou"/>
          <w:rFonts w:ascii="Book Antiqua" w:hAnsi="Book Antiqua" w:cs="Book Antiqua"/>
          <w:sz w:val="18"/>
          <w:szCs w:val="18"/>
        </w:rPr>
        <w:footnoteRef/>
      </w:r>
      <w:r>
        <w:rPr>
          <w:rFonts w:ascii="Book Antiqua" w:hAnsi="Book Antiqua" w:cs="Book Antiqua"/>
          <w:sz w:val="18"/>
          <w:szCs w:val="18"/>
        </w:rPr>
        <w:t>) Zákon č. 312/2020 Z. z. o výkone rozhodnutia o zaisten</w:t>
      </w:r>
      <w:r>
        <w:rPr>
          <w:rFonts w:ascii="Book Antiqua" w:hAnsi="Book Antiqua" w:cs="Book Antiqua"/>
          <w:sz w:val="18"/>
          <w:szCs w:val="18"/>
        </w:rPr>
        <w:t>í majetku a správe zaisteného majetku a o zmene a doplnení niektorých zákonov v znení zákona č. 248/2024 Z. z.</w:t>
      </w:r>
    </w:p>
  </w:footnote>
  <w:footnote w:id="13">
    <w:p w14:paraId="0572FEEE" w14:textId="77777777" w:rsidR="00DC2B21" w:rsidRDefault="00827388">
      <w:pPr>
        <w:pStyle w:val="Textpoznmkypodiarou"/>
        <w:rPr>
          <w:rFonts w:ascii="Book Antiqua" w:hAnsi="Book Antiqua"/>
          <w:sz w:val="18"/>
          <w:szCs w:val="18"/>
        </w:rPr>
      </w:pPr>
      <w:r>
        <w:rPr>
          <w:rStyle w:val="Odkaznapoznmkupodiarou"/>
          <w:rFonts w:ascii="Book Antiqua" w:hAnsi="Book Antiqua" w:cs="Book Antiqua"/>
          <w:sz w:val="18"/>
          <w:szCs w:val="18"/>
        </w:rPr>
        <w:footnoteRef/>
      </w:r>
      <w:r>
        <w:rPr>
          <w:rFonts w:ascii="Book Antiqua" w:hAnsi="Book Antiqua" w:cs="Book Antiqua"/>
          <w:sz w:val="18"/>
          <w:szCs w:val="18"/>
        </w:rPr>
        <w:t>) § 69 zákona č. 563/2009 Z. z. v znení neskorších predpisov.</w:t>
      </w:r>
    </w:p>
  </w:footnote>
  <w:footnote w:id="14">
    <w:p w14:paraId="27AAADFB" w14:textId="77777777" w:rsidR="00DC2B21" w:rsidRDefault="00827388">
      <w:pPr>
        <w:pStyle w:val="Textpoznmkypodiarou"/>
        <w:rPr>
          <w:rFonts w:ascii="Book Antiqua" w:hAnsi="Book Antiqua"/>
          <w:sz w:val="18"/>
          <w:szCs w:val="18"/>
        </w:rPr>
      </w:pPr>
      <w:r>
        <w:rPr>
          <w:rStyle w:val="Odkaznapoznmkupodiarou"/>
          <w:rFonts w:ascii="Book Antiqua" w:hAnsi="Book Antiqua" w:cs="Book Antiqua"/>
          <w:sz w:val="18"/>
          <w:szCs w:val="18"/>
        </w:rPr>
        <w:footnoteRef/>
      </w:r>
      <w:r>
        <w:rPr>
          <w:rFonts w:ascii="Book Antiqua" w:hAnsi="Book Antiqua" w:cs="Book Antiqua"/>
          <w:sz w:val="18"/>
          <w:szCs w:val="18"/>
        </w:rPr>
        <w:t xml:space="preserve">) </w:t>
      </w:r>
      <w:r>
        <w:rPr>
          <w:rFonts w:ascii="Book Antiqua" w:hAnsi="Book Antiqua" w:cs="Book Antiqua"/>
          <w:sz w:val="18"/>
          <w:szCs w:val="18"/>
          <w:shd w:val="clear" w:color="auto" w:fill="FFFFFF"/>
        </w:rPr>
        <w:t>Zákon č. </w:t>
      </w:r>
      <w:hyperlink r:id="rId1" w:tooltip="Odkaz na predpis alebo ustanovenie" w:history="1">
        <w:r w:rsidR="00DC2B21">
          <w:rPr>
            <w:rStyle w:val="Hypertextovprepojenie"/>
            <w:rFonts w:ascii="Book Antiqua" w:hAnsi="Book Antiqua" w:cs="Book Antiqua"/>
            <w:color w:val="auto"/>
            <w:sz w:val="18"/>
            <w:szCs w:val="18"/>
            <w:u w:val="none"/>
            <w:shd w:val="clear" w:color="auto" w:fill="FFFFFF"/>
          </w:rPr>
          <w:t>71/1967 Zb.</w:t>
        </w:r>
      </w:hyperlink>
      <w:r>
        <w:rPr>
          <w:rFonts w:ascii="Book Antiqua" w:hAnsi="Book Antiqua" w:cs="Book Antiqua"/>
          <w:sz w:val="18"/>
          <w:szCs w:val="18"/>
          <w:shd w:val="clear" w:color="auto" w:fill="FFFFFF"/>
        </w:rPr>
        <w:t> o správnom konaní (správny poriadok) v znení neskorších predpisov</w:t>
      </w:r>
      <w:r>
        <w:rPr>
          <w:rFonts w:ascii="Book Antiqua" w:hAnsi="Book Antiqua" w:cs="Book Antiqua"/>
          <w:sz w:val="18"/>
          <w:szCs w:val="18"/>
        </w:rPr>
        <w:t>.</w:t>
      </w:r>
    </w:p>
  </w:footnote>
  <w:footnote w:id="15">
    <w:p w14:paraId="59E12E87" w14:textId="77777777" w:rsidR="00DC2B21" w:rsidRDefault="00827388">
      <w:pPr>
        <w:pStyle w:val="Textpoznmkypodiarou"/>
        <w:rPr>
          <w:rFonts w:ascii="Book Antiqua" w:hAnsi="Book Antiqua" w:cs="Book Antiqua"/>
          <w:sz w:val="18"/>
          <w:szCs w:val="18"/>
        </w:rPr>
      </w:pPr>
      <w:r>
        <w:rPr>
          <w:rStyle w:val="Odkaznapoznmkupodiarou"/>
          <w:rFonts w:ascii="Book Antiqua" w:hAnsi="Book Antiqua" w:cs="Book Antiqua"/>
          <w:sz w:val="18"/>
          <w:szCs w:val="18"/>
        </w:rPr>
        <w:footnoteRef/>
      </w:r>
      <w:r>
        <w:rPr>
          <w:rFonts w:ascii="Book Antiqua" w:hAnsi="Book Antiqua" w:cs="Book Antiqua"/>
          <w:sz w:val="18"/>
          <w:szCs w:val="18"/>
        </w:rPr>
        <w:t>) Zákon č. 595/2003 Z. z. v znení neskorších predpisov.</w:t>
      </w:r>
    </w:p>
    <w:p w14:paraId="2EC2E1A9" w14:textId="77777777" w:rsidR="00DC2B21" w:rsidRDefault="00827388">
      <w:pPr>
        <w:pStyle w:val="Textpoznmkypodiarou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 w:cs="Book Antiqua"/>
          <w:sz w:val="18"/>
          <w:szCs w:val="18"/>
        </w:rPr>
        <w:t xml:space="preserve">Zákon č. 563/2009 Z. z. o správe daní (daňový poriadok) v znení neskorších </w:t>
      </w:r>
      <w:r>
        <w:rPr>
          <w:rFonts w:ascii="Book Antiqua" w:hAnsi="Book Antiqua" w:cs="Book Antiqua"/>
          <w:sz w:val="18"/>
          <w:szCs w:val="18"/>
        </w:rPr>
        <w:t>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5693B" w14:textId="77777777" w:rsidR="00DF4553" w:rsidRDefault="00DF455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26B5E" w14:textId="77777777" w:rsidR="00DF4553" w:rsidRDefault="00DF455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74B25" w14:textId="77777777" w:rsidR="00DF4553" w:rsidRDefault="00DF45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D1E"/>
    <w:multiLevelType w:val="multilevel"/>
    <w:tmpl w:val="04293D1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E121A9"/>
    <w:multiLevelType w:val="multilevel"/>
    <w:tmpl w:val="0DE121A9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00EE"/>
    <w:multiLevelType w:val="multilevel"/>
    <w:tmpl w:val="10E900E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B726EC"/>
    <w:multiLevelType w:val="multilevel"/>
    <w:tmpl w:val="1DB726E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40E5"/>
    <w:multiLevelType w:val="multilevel"/>
    <w:tmpl w:val="238B40E5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A3E6C"/>
    <w:multiLevelType w:val="multilevel"/>
    <w:tmpl w:val="298A3E6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0A785D"/>
    <w:multiLevelType w:val="multilevel"/>
    <w:tmpl w:val="320A785D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F69"/>
    <w:multiLevelType w:val="multilevel"/>
    <w:tmpl w:val="51254F69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432C4"/>
    <w:multiLevelType w:val="multilevel"/>
    <w:tmpl w:val="555432C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72FB6"/>
    <w:multiLevelType w:val="multilevel"/>
    <w:tmpl w:val="57772FB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231E2"/>
    <w:multiLevelType w:val="multilevel"/>
    <w:tmpl w:val="5EA23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EC66E"/>
    <w:multiLevelType w:val="multilevel"/>
    <w:tmpl w:val="5F2EC6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36E10"/>
    <w:multiLevelType w:val="multilevel"/>
    <w:tmpl w:val="62936E1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FB7641"/>
    <w:multiLevelType w:val="multilevel"/>
    <w:tmpl w:val="62FB7641"/>
    <w:lvl w:ilvl="0">
      <w:start w:val="1"/>
      <w:numFmt w:val="lowerLetter"/>
      <w:lvlText w:val="%1)"/>
      <w:lvlJc w:val="left"/>
      <w:pPr>
        <w:ind w:left="1080" w:hanging="360"/>
      </w:pPr>
      <w:rPr>
        <w:rFonts w:ascii="Book Antiqua" w:hAnsi="Book Antiqua" w:cs="Book Antiqua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8A0183"/>
    <w:multiLevelType w:val="multilevel"/>
    <w:tmpl w:val="668A0183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8660AC"/>
    <w:multiLevelType w:val="multilevel"/>
    <w:tmpl w:val="6A8660A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30DCF"/>
    <w:multiLevelType w:val="multilevel"/>
    <w:tmpl w:val="6C530DCF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6E631C"/>
    <w:multiLevelType w:val="multilevel"/>
    <w:tmpl w:val="6D6E631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9A3FE2"/>
    <w:multiLevelType w:val="multilevel"/>
    <w:tmpl w:val="6F9A3FE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93D2E"/>
    <w:multiLevelType w:val="multilevel"/>
    <w:tmpl w:val="75493D2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0"/>
  </w:num>
  <w:num w:numId="6">
    <w:abstractNumId w:val="13"/>
  </w:num>
  <w:num w:numId="7">
    <w:abstractNumId w:val="12"/>
  </w:num>
  <w:num w:numId="8">
    <w:abstractNumId w:val="7"/>
  </w:num>
  <w:num w:numId="9">
    <w:abstractNumId w:val="19"/>
  </w:num>
  <w:num w:numId="10">
    <w:abstractNumId w:val="3"/>
  </w:num>
  <w:num w:numId="11">
    <w:abstractNumId w:val="17"/>
  </w:num>
  <w:num w:numId="12">
    <w:abstractNumId w:val="16"/>
  </w:num>
  <w:num w:numId="13">
    <w:abstractNumId w:val="11"/>
  </w:num>
  <w:num w:numId="14">
    <w:abstractNumId w:val="2"/>
  </w:num>
  <w:num w:numId="15">
    <w:abstractNumId w:val="15"/>
  </w:num>
  <w:num w:numId="16">
    <w:abstractNumId w:val="5"/>
  </w:num>
  <w:num w:numId="17">
    <w:abstractNumId w:val="9"/>
  </w:num>
  <w:num w:numId="18">
    <w:abstractNumId w:val="8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4D"/>
    <w:rsid w:val="00013200"/>
    <w:rsid w:val="00020C32"/>
    <w:rsid w:val="00023F5C"/>
    <w:rsid w:val="000401BA"/>
    <w:rsid w:val="0005569C"/>
    <w:rsid w:val="00060947"/>
    <w:rsid w:val="00090EBA"/>
    <w:rsid w:val="00091F15"/>
    <w:rsid w:val="000A2E76"/>
    <w:rsid w:val="000D45F9"/>
    <w:rsid w:val="00110AD8"/>
    <w:rsid w:val="00114124"/>
    <w:rsid w:val="001475F2"/>
    <w:rsid w:val="0015608D"/>
    <w:rsid w:val="001C44EB"/>
    <w:rsid w:val="00262F1D"/>
    <w:rsid w:val="00271F31"/>
    <w:rsid w:val="0029146A"/>
    <w:rsid w:val="002A3884"/>
    <w:rsid w:val="002A584E"/>
    <w:rsid w:val="002E4434"/>
    <w:rsid w:val="002F1906"/>
    <w:rsid w:val="002F3219"/>
    <w:rsid w:val="00337A38"/>
    <w:rsid w:val="003571CA"/>
    <w:rsid w:val="003833E9"/>
    <w:rsid w:val="0039385C"/>
    <w:rsid w:val="003944F2"/>
    <w:rsid w:val="003E12A0"/>
    <w:rsid w:val="003E2984"/>
    <w:rsid w:val="003F32D6"/>
    <w:rsid w:val="00402F70"/>
    <w:rsid w:val="00410690"/>
    <w:rsid w:val="00432F77"/>
    <w:rsid w:val="00437398"/>
    <w:rsid w:val="00443381"/>
    <w:rsid w:val="00443477"/>
    <w:rsid w:val="00460069"/>
    <w:rsid w:val="004777AA"/>
    <w:rsid w:val="00495237"/>
    <w:rsid w:val="004B23A2"/>
    <w:rsid w:val="004B3C1C"/>
    <w:rsid w:val="004B431C"/>
    <w:rsid w:val="0050379E"/>
    <w:rsid w:val="005246D0"/>
    <w:rsid w:val="005343B3"/>
    <w:rsid w:val="005467D1"/>
    <w:rsid w:val="00555C97"/>
    <w:rsid w:val="005711F4"/>
    <w:rsid w:val="005A13C1"/>
    <w:rsid w:val="005B0199"/>
    <w:rsid w:val="005C2D02"/>
    <w:rsid w:val="005D3C12"/>
    <w:rsid w:val="006206E2"/>
    <w:rsid w:val="00643863"/>
    <w:rsid w:val="00654A6E"/>
    <w:rsid w:val="00693C1E"/>
    <w:rsid w:val="006C6996"/>
    <w:rsid w:val="006C7939"/>
    <w:rsid w:val="006E1C7B"/>
    <w:rsid w:val="006F6F89"/>
    <w:rsid w:val="00705352"/>
    <w:rsid w:val="0070556D"/>
    <w:rsid w:val="00726E6B"/>
    <w:rsid w:val="007616A2"/>
    <w:rsid w:val="007A7C76"/>
    <w:rsid w:val="007B1CB7"/>
    <w:rsid w:val="007B2E3D"/>
    <w:rsid w:val="007D07E6"/>
    <w:rsid w:val="007D5688"/>
    <w:rsid w:val="008124CF"/>
    <w:rsid w:val="00827388"/>
    <w:rsid w:val="0083152B"/>
    <w:rsid w:val="00832C81"/>
    <w:rsid w:val="00850A7F"/>
    <w:rsid w:val="00856FBD"/>
    <w:rsid w:val="008603EA"/>
    <w:rsid w:val="00873642"/>
    <w:rsid w:val="008A4957"/>
    <w:rsid w:val="008C6435"/>
    <w:rsid w:val="0090707B"/>
    <w:rsid w:val="009145F2"/>
    <w:rsid w:val="009168ED"/>
    <w:rsid w:val="0093631F"/>
    <w:rsid w:val="009A58DA"/>
    <w:rsid w:val="009A5956"/>
    <w:rsid w:val="009B40C1"/>
    <w:rsid w:val="009F4547"/>
    <w:rsid w:val="00A11CE5"/>
    <w:rsid w:val="00A20EDE"/>
    <w:rsid w:val="00A44AD5"/>
    <w:rsid w:val="00A57E92"/>
    <w:rsid w:val="00AA091C"/>
    <w:rsid w:val="00AA3246"/>
    <w:rsid w:val="00AA3E4E"/>
    <w:rsid w:val="00AB6D03"/>
    <w:rsid w:val="00AB7AB6"/>
    <w:rsid w:val="00AD086E"/>
    <w:rsid w:val="00B056F8"/>
    <w:rsid w:val="00B12ADD"/>
    <w:rsid w:val="00B139BD"/>
    <w:rsid w:val="00B21C99"/>
    <w:rsid w:val="00B3734D"/>
    <w:rsid w:val="00B44E8A"/>
    <w:rsid w:val="00B4511F"/>
    <w:rsid w:val="00B55A90"/>
    <w:rsid w:val="00BD57E2"/>
    <w:rsid w:val="00C011CC"/>
    <w:rsid w:val="00C11706"/>
    <w:rsid w:val="00C22C92"/>
    <w:rsid w:val="00C238D0"/>
    <w:rsid w:val="00C469D7"/>
    <w:rsid w:val="00C74CD4"/>
    <w:rsid w:val="00D00860"/>
    <w:rsid w:val="00D16248"/>
    <w:rsid w:val="00D16968"/>
    <w:rsid w:val="00D4120E"/>
    <w:rsid w:val="00D67DAA"/>
    <w:rsid w:val="00D70BB4"/>
    <w:rsid w:val="00D803B2"/>
    <w:rsid w:val="00DA41A6"/>
    <w:rsid w:val="00DC2B21"/>
    <w:rsid w:val="00DD3E21"/>
    <w:rsid w:val="00DD724D"/>
    <w:rsid w:val="00DD7D8E"/>
    <w:rsid w:val="00DF0D0D"/>
    <w:rsid w:val="00DF4553"/>
    <w:rsid w:val="00DF5119"/>
    <w:rsid w:val="00E00C5F"/>
    <w:rsid w:val="00E1373D"/>
    <w:rsid w:val="00E31EF8"/>
    <w:rsid w:val="00E55208"/>
    <w:rsid w:val="00E55407"/>
    <w:rsid w:val="00E82F11"/>
    <w:rsid w:val="00ED0A8A"/>
    <w:rsid w:val="00F0230F"/>
    <w:rsid w:val="00F05CA6"/>
    <w:rsid w:val="00F2724D"/>
    <w:rsid w:val="00F27E2D"/>
    <w:rsid w:val="00F45FB2"/>
    <w:rsid w:val="00F85C55"/>
    <w:rsid w:val="00F94737"/>
    <w:rsid w:val="00FA249B"/>
    <w:rsid w:val="00FC33BD"/>
    <w:rsid w:val="00FD0589"/>
    <w:rsid w:val="00FD3164"/>
    <w:rsid w:val="00FD4A13"/>
    <w:rsid w:val="00FD6C83"/>
    <w:rsid w:val="1876112D"/>
    <w:rsid w:val="46D66184"/>
    <w:rsid w:val="7505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60FFA8"/>
  <w15:docId w15:val="{BAD738FB-536A-4A4C-8CE2-89476518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qFormat/>
    <w:pPr>
      <w:suppressAutoHyphens w:val="0"/>
      <w:jc w:val="both"/>
    </w:pPr>
    <w:rPr>
      <w:rFonts w:ascii="Arial Narrow" w:hAnsi="Arial Narrow" w:cs="Arial Narrow"/>
      <w:sz w:val="24"/>
      <w:szCs w:val="24"/>
      <w:lang w:eastAsia="en-US"/>
    </w:rPr>
  </w:style>
  <w:style w:type="character" w:styleId="Odkaznakomentr">
    <w:name w:val="annotation reference"/>
    <w:basedOn w:val="Predvolenpsmoodseku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qFormat/>
    <w:rPr>
      <w:b/>
      <w:bCs/>
    </w:rPr>
  </w:style>
  <w:style w:type="character" w:styleId="Odkaznapoznmkupodiarou">
    <w:name w:val="footnote reference"/>
    <w:basedOn w:val="Predvolenpsmoodseku"/>
    <w:uiPriority w:val="99"/>
    <w:semiHidden/>
    <w:qFormat/>
    <w:rPr>
      <w:rFonts w:eastAsia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styleId="PsacstrojHTML">
    <w:name w:val="HTML Typewriter"/>
    <w:basedOn w:val="Predvolenpsmoodseku"/>
    <w:uiPriority w:val="99"/>
    <w:rPr>
      <w:rFonts w:ascii="Courier New" w:hAnsi="Courier New" w:cs="Courier New"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qFormat/>
    <w:rPr>
      <w:color w:val="0000FF"/>
      <w:u w:val="single"/>
    </w:rPr>
  </w:style>
  <w:style w:type="character" w:customStyle="1" w:styleId="tlid-translation">
    <w:name w:val="tlid-translation"/>
    <w:basedOn w:val="Predvolenpsmoodseku"/>
    <w:uiPriority w:val="99"/>
  </w:style>
  <w:style w:type="character" w:customStyle="1" w:styleId="Ukotveniepoznmkypodiarou">
    <w:name w:val="Ukotvenie poznámky pod čiarou"/>
    <w:uiPriority w:val="99"/>
    <w:rPr>
      <w:vertAlign w:val="superscript"/>
    </w:rPr>
  </w:style>
  <w:style w:type="paragraph" w:customStyle="1" w:styleId="Zkladntext1">
    <w:name w:val="Základný text1"/>
    <w:basedOn w:val="Normlny"/>
    <w:uiPriority w:val="99"/>
    <w:qFormat/>
    <w:pPr>
      <w:suppressAutoHyphens w:val="0"/>
      <w:jc w:val="both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locked/>
    <w:rPr>
      <w:rFonts w:ascii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99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Pozne1mkapode8iarou">
    <w:name w:val="Poznáe1mka pod če8iarou"/>
    <w:basedOn w:val="Normlny"/>
    <w:uiPriority w:val="99"/>
    <w:qFormat/>
    <w:pPr>
      <w:suppressAutoHyphens w:val="0"/>
    </w:pPr>
  </w:style>
  <w:style w:type="paragraph" w:customStyle="1" w:styleId="Nadpis3Podcfloha">
    <w:name w:val="Nadpis 3.Poděcfloha"/>
    <w:basedOn w:val="Normlny"/>
    <w:uiPriority w:val="99"/>
    <w:pPr>
      <w:keepNext/>
      <w:tabs>
        <w:tab w:val="left" w:pos="3687"/>
      </w:tabs>
      <w:suppressAutoHyphens w:val="0"/>
      <w:spacing w:before="120"/>
      <w:ind w:left="2269" w:hanging="851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qFormat/>
    <w:locked/>
    <w:rPr>
      <w:rFonts w:ascii="Arial Narrow" w:hAnsi="Arial Narrow" w:cs="Arial Narrow"/>
      <w:sz w:val="24"/>
      <w:szCs w:val="24"/>
    </w:rPr>
  </w:style>
  <w:style w:type="character" w:customStyle="1" w:styleId="OdsekzoznamuChar">
    <w:name w:val="Odsek zoznamu Char"/>
    <w:link w:val="Odsekzoznamu"/>
    <w:uiPriority w:val="99"/>
    <w:locked/>
    <w:rPr>
      <w:rFonts w:ascii="Calibri" w:hAnsi="Calibri" w:cs="Calibri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locked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locked/>
    <w:rPr>
      <w:rFonts w:ascii="Times New Roman" w:hAnsi="Times New Roman" w:cs="Times New Roman"/>
      <w:b/>
      <w:bCs/>
      <w:sz w:val="20"/>
      <w:szCs w:val="20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F45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4553"/>
    <w:rPr>
      <w:rFonts w:ascii="Times New Roman" w:eastAsia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DF45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455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lov-lex.sk/pravne-predpisy/SK/ZZ/1967/7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8DC1C-83EB-4973-AA67-D252B635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3017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 RADA  SLOVENSKEJ  REPUBLIKY</vt:lpstr>
    </vt:vector>
  </TitlesOfParts>
  <Company>Kancelaria NRSR</Company>
  <LinksUpToDate>false</LinksUpToDate>
  <CharactersWithSpaces>20176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Lukáč, Jozef (asistent)</dc:creator>
  <cp:lastModifiedBy>Klub SLOVENSKO, ZA ĽUDÍ, KÚ</cp:lastModifiedBy>
  <cp:revision>2</cp:revision>
  <dcterms:created xsi:type="dcterms:W3CDTF">2025-01-17T09:28:00Z</dcterms:created>
  <dcterms:modified xsi:type="dcterms:W3CDTF">2025-01-17T09:28:00Z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ED89C5CD1E71459796FA5227506B97B1_12</vt:lpwstr>
  </property>
</Properties>
</file>