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60"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heading=h.wxgwmys5gxm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NÁRODNÁ  RADA  SLOVENSKEJ  REPUBLIKY</w:t>
      </w:r>
    </w:p>
    <w:p w:rsidR="00000000" w:rsidDel="00000000" w:rsidP="00000000" w:rsidRDefault="00000000" w:rsidRPr="00000000" w14:paraId="00000002">
      <w:pPr>
        <w:pStyle w:val="Title"/>
        <w:keepNext w:val="1"/>
        <w:keepLines w:val="1"/>
        <w:spacing w:after="60" w:line="276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in9kqtapa06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IX.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1"/>
        <w:keepLines w:val="1"/>
        <w:spacing w:after="60" w:line="276" w:lineRule="auto"/>
        <w:jc w:val="center"/>
        <w:rPr>
          <w:rFonts w:ascii="Trebuchet MS" w:cs="Trebuchet MS" w:eastAsia="Trebuchet MS" w:hAnsi="Trebuchet MS"/>
          <w:sz w:val="36"/>
          <w:szCs w:val="36"/>
        </w:rPr>
      </w:pPr>
      <w:bookmarkStart w:colFirst="0" w:colLast="0" w:name="_heading=h.ejq9mlha5vj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Návrh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... 2025,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ktorým sa mení zákon č. 300/2005 Z. z. Trestný zákon v znení neskorších predpisov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 a zákona č. 363/2024 Z. z. sa mení takto: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 § 34 ods. 4 tretia veta znie: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„Pri určovaní druhu trestu a jeho výmery za trestné činy podľa štvrtej, piatej hlavy a ôsmej hlavy osobitnej časti súd prihliada aj na to, aby trest zabezpečil rovnako účinnú ochranu finančných záujmov Európskej únie ako finančných záujmov Slovenskej republiky.“.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 § 34 ods. 6 druhá veta znie: „Ak tento zákon neustanovuje inak, súd musí uložiť trest odňatia slobody za trestný čin, pri ktorom rozsah trestného činu, spôsobená škoda alebo získaný majetkový prospech prevyšuje 50 000 eur, a za trestný čin, ktorého horná hranica trestnej sadzby trestu odňatia slobody ustanovená v osobitnej časti zákona prevyšuje osem rokov.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35 ods. 5 posledná veta znie: „V prípade trestných činov, ktorých spáchaním dochádza k poškodzovaniu finančných záujmov Európskej únie, Slovenskej republiky alebo fyzických a právnických osôb súd zváži najmä uloženie zhabania časti majetku tak, aby došlo k odňatiu výnosov z trestnej činnosti.“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40 ods. 3 druhá veta znie: „V prípade prečinov, ktorých spáchaním dochádza k poškodzovaniu finančných záujmov Európskej únie, Slovenskej republiky alebo fyzických osôb a právnických osôb možno upustiť od potrestania páchateľa podľa odseku 1 písm. a) alebo písm. b) len vtedy, ak sú splnené podmienky podľa predchádzajúcej vety a zároveň rozsah prečinu, spôsobená škoda alebo majetkový prospech získaný prečinom neprevyšuje 50 000 eur.“.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49 ods. 1 úvodnej vete sa slovo „tri“ nahrádza slovom „dva“.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49 sa vypúšťa odsek 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Doterajší odsek 3 sa označuje ako odsek 2.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49 ods. 2 sa slová „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Ustanovenia odsekov 1 a 2 sa nepoužijú“ nahrádzajú slovami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Ustanovenie odseku 1 sa nepoužije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51 ods. 1 sa slovo „štyri“ nahrádza slovom „tri“ a slová „§ 49 ods. 3“ sa nahrádzajú slovami „§ 49 ods. 2“.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 87 ods. 1 znie: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„(1) Ak tento zákon neustanovuje inak, trestnosť činu zaniká uplynutím premlčacej doby, ktorá je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tridsať rokov, ak ide o zločin, za ktorý tento zákon dovoľuje uložiť trest odňatia slobody na doživotie,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dvadsať rokov, ak ide o zločin, za ktorý tento zákon v osobitnej časti dovoľuje uložiť trest odňatia slobody s hornou hranicou trestnej sadzby najmenej desať rokov,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desať rokov, ak ide o ostatné zločiny,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päť rokov, ak ide o prečin, za ktorý tento zákon v osobitnej časti dovoľuje uložiť trest odňatia slobody s hornou hranicou trestnej sadzby najmenej tri roky,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tri roky pri ostatných prečinoch.“.</w:t>
      </w:r>
    </w:p>
    <w:p w:rsidR="00000000" w:rsidDel="00000000" w:rsidP="00000000" w:rsidRDefault="00000000" w:rsidRPr="00000000" w14:paraId="0000002E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87 sa vypúšťajú odseky 6 až 8.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Tento zákon nadobúda účinnosť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mája 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link w:val="Nadpis1Char"/>
    <w:uiPriority w:val="9"/>
    <w:qFormat w:val="1"/>
    <w:rsid w:val="00D5761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 w:val="1"/>
    <w:unhideWhenUsed w:val="1"/>
    <w:qFormat w:val="1"/>
    <w:rsid w:val="00D5761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 w:val="1"/>
    <w:unhideWhenUsed w:val="1"/>
    <w:qFormat w:val="1"/>
    <w:rsid w:val="00D57619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 w:val="1"/>
    <w:unhideWhenUsed w:val="1"/>
    <w:qFormat w:val="1"/>
    <w:rsid w:val="00D5761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dpis5">
    <w:name w:val="heading 5"/>
    <w:basedOn w:val="Normlny"/>
    <w:next w:val="Normlny"/>
    <w:link w:val="Nadpis5Char"/>
    <w:uiPriority w:val="9"/>
    <w:semiHidden w:val="1"/>
    <w:unhideWhenUsed w:val="1"/>
    <w:qFormat w:val="1"/>
    <w:rsid w:val="00D57619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dpis6">
    <w:name w:val="heading 6"/>
    <w:basedOn w:val="Normlny"/>
    <w:next w:val="Normlny"/>
    <w:link w:val="Nadpis6Char"/>
    <w:uiPriority w:val="9"/>
    <w:semiHidden w:val="1"/>
    <w:unhideWhenUsed w:val="1"/>
    <w:qFormat w:val="1"/>
    <w:rsid w:val="00D57619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D5761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D5761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D5761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 w:val="1"/>
    <w:rsid w:val="00D57619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adpis1Char" w:customStyle="1">
    <w:name w:val="Nadpis 1 Char"/>
    <w:basedOn w:val="Predvolenpsmoodseku"/>
    <w:link w:val="Nadpis1"/>
    <w:uiPriority w:val="9"/>
    <w:rsid w:val="00D5761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 w:val="1"/>
    <w:rsid w:val="00D5761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D5761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 w:val="1"/>
    <w:rsid w:val="00D5761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D57619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D57619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D57619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D57619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D57619"/>
    <w:rPr>
      <w:rFonts w:cstheme="majorBidi" w:eastAsiaTheme="majorEastAsia"/>
      <w:color w:val="272727" w:themeColor="text1" w:themeTint="0000D8"/>
    </w:rPr>
  </w:style>
  <w:style w:type="character" w:styleId="NzovChar" w:customStyle="1">
    <w:name w:val="Názov Char"/>
    <w:basedOn w:val="Predvolenpsmoodseku"/>
    <w:link w:val="Nzov"/>
    <w:uiPriority w:val="10"/>
    <w:rsid w:val="00D5761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 w:val="1"/>
    <w:pPr>
      <w:spacing w:after="160"/>
    </w:pPr>
    <w:rPr>
      <w:color w:val="595959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D5761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D5761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ciaChar" w:customStyle="1">
    <w:name w:val="Citácia Char"/>
    <w:basedOn w:val="Predvolenpsmoodseku"/>
    <w:link w:val="Citcia"/>
    <w:uiPriority w:val="29"/>
    <w:rsid w:val="00D57619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D57619"/>
    <w:pPr>
      <w:ind w:left="720"/>
      <w:contextualSpacing w:val="1"/>
    </w:pPr>
  </w:style>
  <w:style w:type="character" w:styleId="Intenzvnezvraznenie">
    <w:name w:val="Intense Emphasis"/>
    <w:basedOn w:val="Predvolenpsmoodseku"/>
    <w:uiPriority w:val="21"/>
    <w:qFormat w:val="1"/>
    <w:rsid w:val="00D57619"/>
    <w:rPr>
      <w:i w:val="1"/>
      <w:iCs w:val="1"/>
      <w:color w:val="2f5496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D5761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D57619"/>
    <w:rPr>
      <w:i w:val="1"/>
      <w:iCs w:val="1"/>
      <w:color w:val="2f5496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D57619"/>
    <w:rPr>
      <w:b w:val="1"/>
      <w:bCs w:val="1"/>
      <w:smallCaps w:val="1"/>
      <w:color w:val="2f5496" w:themeColor="accent1" w:themeShade="0000BF"/>
      <w:spacing w:val="5"/>
    </w:rPr>
  </w:style>
  <w:style w:type="character" w:styleId="Hypertextovprepojenie">
    <w:name w:val="Hyperlink"/>
    <w:basedOn w:val="Predvolenpsmoodseku"/>
    <w:uiPriority w:val="99"/>
    <w:unhideWhenUsed w:val="1"/>
    <w:rsid w:val="00D434D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N7YQKJqJXefxqXB3v1E0EUDdQ==">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2025-01-14T12:42:00Z</dcterms:created>
  <dc:creator>Beleš Andrej</dc:creator>
</cp:coreProperties>
</file>