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33AB" w14:textId="04F5DADC" w:rsidR="00C91BD9" w:rsidRPr="00C91BD9" w:rsidRDefault="000E601F" w:rsidP="00C91BD9">
      <w:pPr>
        <w:pStyle w:val="Default"/>
        <w:spacing w:line="276" w:lineRule="auto"/>
        <w:jc w:val="center"/>
        <w:rPr>
          <w:b/>
          <w:bCs/>
        </w:rPr>
      </w:pPr>
      <w:r w:rsidRPr="00D147EE">
        <w:rPr>
          <w:b/>
          <w:bCs/>
        </w:rPr>
        <w:t xml:space="preserve">Návrh </w:t>
      </w:r>
      <w:r w:rsidR="00C91BD9" w:rsidRPr="007410A1">
        <w:rPr>
          <w:b/>
        </w:rPr>
        <w:t xml:space="preserve">na vyslanie príslušníkov ozbrojených síl Slovenskej republiky v rámci </w:t>
      </w:r>
      <w:r w:rsidR="00114DB9">
        <w:rPr>
          <w:b/>
        </w:rPr>
        <w:t xml:space="preserve">Mnohonárodnej brigády NATO </w:t>
      </w:r>
      <w:r w:rsidR="00C91BD9" w:rsidRPr="007410A1">
        <w:rPr>
          <w:b/>
        </w:rPr>
        <w:t>do Lotyšskej republiky, Litovskej republiky, Estónskej republiky a Poľskej republiky</w:t>
      </w:r>
    </w:p>
    <w:p w14:paraId="2D911CD2" w14:textId="77777777" w:rsidR="000E601F" w:rsidRPr="00D147EE" w:rsidRDefault="000E601F" w:rsidP="0000224E">
      <w:pPr>
        <w:pStyle w:val="Default"/>
        <w:rPr>
          <w:b/>
          <w:bCs/>
        </w:rPr>
      </w:pPr>
    </w:p>
    <w:p w14:paraId="330B7EBB" w14:textId="7CD1C44A" w:rsidR="000E601F" w:rsidRPr="0000224E" w:rsidRDefault="000E601F" w:rsidP="000E601F">
      <w:pPr>
        <w:pStyle w:val="Normlnywebov"/>
        <w:numPr>
          <w:ilvl w:val="0"/>
          <w:numId w:val="1"/>
        </w:numPr>
        <w:spacing w:before="0" w:beforeAutospacing="0" w:after="0" w:afterAutospacing="0"/>
        <w:ind w:left="426" w:hanging="426"/>
        <w:jc w:val="both"/>
      </w:pPr>
      <w:r w:rsidRPr="00D147EE">
        <w:rPr>
          <w:u w:val="single"/>
        </w:rPr>
        <w:t>Politické aspekty a</w:t>
      </w:r>
      <w:r w:rsidRPr="00D147EE">
        <w:t> </w:t>
      </w:r>
      <w:r w:rsidRPr="00D147EE">
        <w:rPr>
          <w:u w:val="single"/>
        </w:rPr>
        <w:t>medzinárodné súvislosti návrhu</w:t>
      </w:r>
    </w:p>
    <w:p w14:paraId="166458F3" w14:textId="77777777" w:rsidR="0000224E" w:rsidRDefault="0000224E" w:rsidP="0000224E">
      <w:pPr>
        <w:pStyle w:val="Normlnywebov"/>
        <w:spacing w:before="0" w:beforeAutospacing="0" w:after="0" w:afterAutospacing="0"/>
        <w:ind w:left="426"/>
        <w:jc w:val="both"/>
      </w:pPr>
    </w:p>
    <w:p w14:paraId="3E35DEA5" w14:textId="16D53BA3" w:rsidR="004E2F58" w:rsidRDefault="00C80981" w:rsidP="004E2F58">
      <w:pPr>
        <w:spacing w:after="0" w:line="240" w:lineRule="auto"/>
        <w:ind w:firstLine="708"/>
        <w:jc w:val="both"/>
        <w:rPr>
          <w:rFonts w:ascii="Times New Roman" w:hAnsi="Times New Roman" w:cs="Times New Roman"/>
          <w:sz w:val="24"/>
          <w:szCs w:val="24"/>
        </w:rPr>
      </w:pPr>
      <w:r w:rsidRPr="00F6231B">
        <w:rPr>
          <w:rFonts w:ascii="Times New Roman" w:hAnsi="Times New Roman" w:cs="Times New Roman"/>
          <w:sz w:val="24"/>
          <w:szCs w:val="24"/>
        </w:rPr>
        <w:t>Bezpečnostné hrozby, ktorým dnes členské štáty Organizácie Severoatlantickej zmluvy (ďalej len „NATO“) čelia, kladú vysoké nároky na ich komplexné riešenie. Svojím charakterom si vyžadujú spájať úsilie viacerých štátov NATO, keďže žiadny z týchto štátov nemá dnes schopnosť čeliť týmto hrozbám samostatne. Z pohľadu NATO, teda aj Slovenskej republiky ako jej plnohodnotného člena, je preto príprava na kolektívnu obranu v súčasnosti kľúčovou úlohou.</w:t>
      </w:r>
    </w:p>
    <w:p w14:paraId="17CB40E9" w14:textId="34446079" w:rsidR="00C80981" w:rsidRPr="00F6231B" w:rsidRDefault="00C80981" w:rsidP="000261B7">
      <w:pPr>
        <w:spacing w:after="0" w:line="240" w:lineRule="auto"/>
        <w:ind w:firstLine="708"/>
        <w:jc w:val="both"/>
        <w:rPr>
          <w:rFonts w:ascii="Times New Roman" w:hAnsi="Times New Roman" w:cs="Times New Roman"/>
          <w:sz w:val="24"/>
          <w:szCs w:val="24"/>
        </w:rPr>
      </w:pPr>
      <w:r w:rsidRPr="00F6231B">
        <w:rPr>
          <w:rFonts w:ascii="Times New Roman" w:hAnsi="Times New Roman" w:cs="Times New Roman"/>
          <w:sz w:val="24"/>
          <w:szCs w:val="24"/>
        </w:rPr>
        <w:t xml:space="preserve"> </w:t>
      </w:r>
    </w:p>
    <w:p w14:paraId="6B85FBDD" w14:textId="33AB2DDE" w:rsidR="00C80981" w:rsidRDefault="00C80981" w:rsidP="004E2F58">
      <w:pPr>
        <w:spacing w:after="0" w:line="240" w:lineRule="auto"/>
        <w:ind w:firstLine="708"/>
        <w:jc w:val="both"/>
        <w:rPr>
          <w:rFonts w:ascii="Times New Roman" w:hAnsi="Times New Roman" w:cs="Times New Roman"/>
          <w:sz w:val="24"/>
          <w:szCs w:val="24"/>
        </w:rPr>
      </w:pPr>
      <w:r w:rsidRPr="00F6231B">
        <w:rPr>
          <w:rFonts w:ascii="Times New Roman" w:hAnsi="Times New Roman" w:cs="Times New Roman"/>
          <w:sz w:val="24"/>
          <w:szCs w:val="24"/>
        </w:rPr>
        <w:t xml:space="preserve">Základným princípom je pritom </w:t>
      </w:r>
      <w:bookmarkStart w:id="0" w:name="_Hlk181025026"/>
      <w:r w:rsidRPr="00F6231B">
        <w:rPr>
          <w:rFonts w:ascii="Times New Roman" w:hAnsi="Times New Roman" w:cs="Times New Roman"/>
          <w:sz w:val="24"/>
          <w:szCs w:val="24"/>
        </w:rPr>
        <w:t xml:space="preserve">predchádzanie ozbrojenému konfliktu a s tým súvisiaca ochrana a uistenie členských štátov NATO, ako aj ochrana hodnôt, na ktorých je táto organizácia </w:t>
      </w:r>
      <w:r w:rsidR="00070D42">
        <w:rPr>
          <w:rFonts w:ascii="Times New Roman" w:hAnsi="Times New Roman" w:cs="Times New Roman"/>
          <w:sz w:val="24"/>
          <w:szCs w:val="24"/>
        </w:rPr>
        <w:t>postavená</w:t>
      </w:r>
      <w:r w:rsidRPr="00F6231B">
        <w:rPr>
          <w:rFonts w:ascii="Times New Roman" w:hAnsi="Times New Roman" w:cs="Times New Roman"/>
          <w:sz w:val="24"/>
          <w:szCs w:val="24"/>
        </w:rPr>
        <w:t>, t. j. sloboda jednotlivca, demokracia, ľudské práva a vláda zákona.</w:t>
      </w:r>
    </w:p>
    <w:p w14:paraId="490B73E4" w14:textId="77777777" w:rsidR="004E2F58" w:rsidRPr="00F6231B" w:rsidRDefault="004E2F58" w:rsidP="000261B7">
      <w:pPr>
        <w:spacing w:after="0" w:line="240" w:lineRule="auto"/>
        <w:ind w:firstLine="708"/>
        <w:jc w:val="both"/>
        <w:rPr>
          <w:rFonts w:ascii="Times New Roman" w:hAnsi="Times New Roman" w:cs="Times New Roman"/>
          <w:sz w:val="24"/>
          <w:szCs w:val="24"/>
        </w:rPr>
      </w:pPr>
    </w:p>
    <w:bookmarkEnd w:id="0"/>
    <w:p w14:paraId="21CF2938" w14:textId="02B3547B" w:rsidR="00215AB5" w:rsidRDefault="00070D42" w:rsidP="00DB14F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BE79FE">
        <w:rPr>
          <w:rFonts w:ascii="Times New Roman" w:hAnsi="Times New Roman" w:cs="Times New Roman"/>
          <w:sz w:val="24"/>
          <w:szCs w:val="24"/>
        </w:rPr>
        <w:t xml:space="preserve">dstrašenie </w:t>
      </w:r>
      <w:r>
        <w:rPr>
          <w:rFonts w:ascii="Times New Roman" w:hAnsi="Times New Roman" w:cs="Times New Roman"/>
          <w:sz w:val="24"/>
          <w:szCs w:val="24"/>
        </w:rPr>
        <w:t xml:space="preserve"> je </w:t>
      </w:r>
      <w:r w:rsidRPr="00BE79FE">
        <w:rPr>
          <w:rFonts w:ascii="Times New Roman" w:hAnsi="Times New Roman" w:cs="Times New Roman"/>
          <w:sz w:val="24"/>
          <w:szCs w:val="24"/>
        </w:rPr>
        <w:t xml:space="preserve"> základný</w:t>
      </w:r>
      <w:r>
        <w:rPr>
          <w:rFonts w:ascii="Times New Roman" w:hAnsi="Times New Roman" w:cs="Times New Roman"/>
          <w:sz w:val="24"/>
          <w:szCs w:val="24"/>
        </w:rPr>
        <w:t>m</w:t>
      </w:r>
      <w:r w:rsidRPr="00BE79FE">
        <w:rPr>
          <w:rFonts w:ascii="Times New Roman" w:hAnsi="Times New Roman" w:cs="Times New Roman"/>
          <w:sz w:val="24"/>
          <w:szCs w:val="24"/>
        </w:rPr>
        <w:t xml:space="preserve"> elemento</w:t>
      </w:r>
      <w:r>
        <w:rPr>
          <w:rFonts w:ascii="Times New Roman" w:hAnsi="Times New Roman" w:cs="Times New Roman"/>
          <w:sz w:val="24"/>
          <w:szCs w:val="24"/>
        </w:rPr>
        <w:t>m</w:t>
      </w:r>
      <w:r w:rsidRPr="00BE79FE">
        <w:rPr>
          <w:rFonts w:ascii="Times New Roman" w:hAnsi="Times New Roman" w:cs="Times New Roman"/>
          <w:sz w:val="24"/>
          <w:szCs w:val="24"/>
        </w:rPr>
        <w:t xml:space="preserve"> aliančnej obrannej stratégie. Hlavným nositeľom zmien aliančnej </w:t>
      </w:r>
      <w:r>
        <w:rPr>
          <w:rFonts w:ascii="Times New Roman" w:hAnsi="Times New Roman" w:cs="Times New Roman"/>
          <w:sz w:val="24"/>
          <w:szCs w:val="24"/>
        </w:rPr>
        <w:t xml:space="preserve"> zostavy odstrašenia a </w:t>
      </w:r>
      <w:r w:rsidRPr="00BE79FE">
        <w:rPr>
          <w:rFonts w:ascii="Times New Roman" w:hAnsi="Times New Roman" w:cs="Times New Roman"/>
          <w:sz w:val="24"/>
          <w:szCs w:val="24"/>
        </w:rPr>
        <w:t>obrany je Akčný plán pripravenosti (RAP) schválený na</w:t>
      </w:r>
      <w:r w:rsidR="000261B7">
        <w:rPr>
          <w:rFonts w:ascii="Times New Roman" w:hAnsi="Times New Roman" w:cs="Times New Roman"/>
          <w:sz w:val="24"/>
          <w:szCs w:val="24"/>
        </w:rPr>
        <w:t> </w:t>
      </w:r>
      <w:r>
        <w:rPr>
          <w:rFonts w:ascii="Times New Roman" w:hAnsi="Times New Roman" w:cs="Times New Roman"/>
          <w:sz w:val="24"/>
          <w:szCs w:val="24"/>
        </w:rPr>
        <w:t>samite</w:t>
      </w:r>
      <w:r w:rsidRPr="00BE79FE">
        <w:rPr>
          <w:rFonts w:ascii="Times New Roman" w:hAnsi="Times New Roman" w:cs="Times New Roman"/>
          <w:sz w:val="24"/>
          <w:szCs w:val="24"/>
        </w:rPr>
        <w:t xml:space="preserve"> NATO vo Walese v roku 2014. Jeho cieľom bolo zaistiť pripravenosť </w:t>
      </w:r>
      <w:r>
        <w:rPr>
          <w:rFonts w:ascii="Times New Roman" w:hAnsi="Times New Roman" w:cs="Times New Roman"/>
          <w:sz w:val="24"/>
          <w:szCs w:val="24"/>
        </w:rPr>
        <w:t>Aliancie</w:t>
      </w:r>
      <w:r w:rsidRPr="00BE79FE">
        <w:rPr>
          <w:rFonts w:ascii="Times New Roman" w:hAnsi="Times New Roman" w:cs="Times New Roman"/>
          <w:sz w:val="24"/>
          <w:szCs w:val="24"/>
        </w:rPr>
        <w:t xml:space="preserve"> reagovať rýchlo a účinne na nové bezpečnostné hrozby </w:t>
      </w:r>
      <w:r>
        <w:rPr>
          <w:rFonts w:ascii="Times New Roman" w:hAnsi="Times New Roman" w:cs="Times New Roman"/>
          <w:sz w:val="24"/>
          <w:szCs w:val="24"/>
        </w:rPr>
        <w:t> zo všetkých strategických smerov</w:t>
      </w:r>
      <w:r w:rsidRPr="00BE79FE">
        <w:rPr>
          <w:rFonts w:ascii="Times New Roman" w:hAnsi="Times New Roman" w:cs="Times New Roman"/>
          <w:sz w:val="24"/>
          <w:szCs w:val="24"/>
        </w:rPr>
        <w:t>. Na základe RAP bola následne počas summitu NATO vo Varšave v júli 2016 schválená posilnená zostava odstrašenia</w:t>
      </w:r>
      <w:r w:rsidRPr="000746DD">
        <w:rPr>
          <w:rFonts w:ascii="Times New Roman" w:hAnsi="Times New Roman" w:cs="Times New Roman"/>
          <w:sz w:val="24"/>
          <w:szCs w:val="24"/>
        </w:rPr>
        <w:t xml:space="preserve"> </w:t>
      </w:r>
      <w:r w:rsidRPr="00BE79FE">
        <w:rPr>
          <w:rFonts w:ascii="Times New Roman" w:hAnsi="Times New Roman" w:cs="Times New Roman"/>
          <w:sz w:val="24"/>
          <w:szCs w:val="24"/>
        </w:rPr>
        <w:t>a</w:t>
      </w:r>
      <w:r w:rsidR="000261B7">
        <w:rPr>
          <w:rFonts w:ascii="Times New Roman" w:hAnsi="Times New Roman" w:cs="Times New Roman"/>
          <w:sz w:val="24"/>
          <w:szCs w:val="24"/>
        </w:rPr>
        <w:t> </w:t>
      </w:r>
      <w:r w:rsidRPr="00BE79FE">
        <w:rPr>
          <w:rFonts w:ascii="Times New Roman" w:hAnsi="Times New Roman" w:cs="Times New Roman"/>
          <w:sz w:val="24"/>
          <w:szCs w:val="24"/>
        </w:rPr>
        <w:t>obrany</w:t>
      </w:r>
      <w:r w:rsidR="000261B7">
        <w:rPr>
          <w:rFonts w:ascii="Times New Roman" w:hAnsi="Times New Roman" w:cs="Times New Roman"/>
          <w:sz w:val="24"/>
          <w:szCs w:val="24"/>
        </w:rPr>
        <w:t xml:space="preserve">. </w:t>
      </w:r>
      <w:r w:rsidRPr="00BE79FE">
        <w:rPr>
          <w:rFonts w:ascii="Times New Roman" w:hAnsi="Times New Roman" w:cs="Times New Roman"/>
          <w:sz w:val="24"/>
          <w:szCs w:val="24"/>
        </w:rPr>
        <w:t>Jedným z</w:t>
      </w:r>
      <w:r>
        <w:rPr>
          <w:rFonts w:ascii="Times New Roman" w:hAnsi="Times New Roman" w:cs="Times New Roman"/>
          <w:sz w:val="24"/>
          <w:szCs w:val="24"/>
        </w:rPr>
        <w:t> </w:t>
      </w:r>
      <w:r w:rsidRPr="00BE79FE">
        <w:rPr>
          <w:rFonts w:ascii="Times New Roman" w:hAnsi="Times New Roman" w:cs="Times New Roman"/>
          <w:sz w:val="24"/>
          <w:szCs w:val="24"/>
        </w:rPr>
        <w:t>najzásadnejších rozhodnutí v oblasti posilnenia kolektívnej obrany bolo schválenie posilnenej predsunutej prítomnosti (</w:t>
      </w:r>
      <w:r w:rsidRPr="00BE79FE">
        <w:rPr>
          <w:rFonts w:ascii="Times New Roman" w:hAnsi="Times New Roman" w:cs="Times New Roman"/>
          <w:i/>
          <w:iCs/>
          <w:sz w:val="24"/>
          <w:szCs w:val="24"/>
        </w:rPr>
        <w:t xml:space="preserve">enhanced Forward Presence – ďalej len „eFP“) </w:t>
      </w:r>
      <w:r w:rsidRPr="00BE79FE">
        <w:rPr>
          <w:rFonts w:ascii="Times New Roman" w:hAnsi="Times New Roman" w:cs="Times New Roman"/>
          <w:sz w:val="24"/>
          <w:szCs w:val="24"/>
        </w:rPr>
        <w:t>NATO v Poľsku, Litve, Lotyšsku a Estónsku.</w:t>
      </w:r>
    </w:p>
    <w:p w14:paraId="70C09237" w14:textId="77777777" w:rsidR="004E2F58" w:rsidRDefault="004E2F58" w:rsidP="00DB14FF">
      <w:pPr>
        <w:spacing w:after="0" w:line="240" w:lineRule="auto"/>
        <w:ind w:firstLine="708"/>
        <w:jc w:val="both"/>
        <w:rPr>
          <w:rFonts w:ascii="Times New Roman" w:hAnsi="Times New Roman" w:cs="Times New Roman"/>
          <w:sz w:val="24"/>
          <w:szCs w:val="24"/>
        </w:rPr>
      </w:pPr>
    </w:p>
    <w:p w14:paraId="236D0058" w14:textId="7E382072" w:rsidR="00215AB5" w:rsidRDefault="00215AB5" w:rsidP="004E2F58">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rPr>
        <w:tab/>
        <w:t>Národná rada S</w:t>
      </w:r>
      <w:r w:rsidR="00AF6613">
        <w:rPr>
          <w:rFonts w:ascii="Times New Roman" w:hAnsi="Times New Roman" w:cs="Times New Roman"/>
          <w:sz w:val="24"/>
          <w:szCs w:val="24"/>
        </w:rPr>
        <w:t>lovenskej republiky</w:t>
      </w:r>
      <w:r>
        <w:rPr>
          <w:rFonts w:ascii="Times New Roman" w:hAnsi="Times New Roman" w:cs="Times New Roman"/>
          <w:sz w:val="24"/>
          <w:szCs w:val="24"/>
        </w:rPr>
        <w:t xml:space="preserve"> schválila 4. júna 2020 uznesenie č. 154, ktorým aktualizovala mandát príspevku ozbrojených síl do eFP na </w:t>
      </w:r>
      <w:r w:rsidRPr="008B382D">
        <w:rPr>
          <w:rFonts w:ascii="Times New Roman" w:hAnsi="Times New Roman" w:cs="Times New Roman"/>
          <w:sz w:val="24"/>
          <w:szCs w:val="24"/>
          <w:lang w:eastAsia="sk-SK"/>
        </w:rPr>
        <w:t>152</w:t>
      </w:r>
      <w:r w:rsidRPr="008B382D">
        <w:rPr>
          <w:rFonts w:ascii="Times New Roman" w:hAnsi="Times New Roman" w:cs="Times New Roman"/>
          <w:spacing w:val="76"/>
          <w:sz w:val="24"/>
          <w:szCs w:val="24"/>
          <w:lang w:eastAsia="sk-SK"/>
        </w:rPr>
        <w:t xml:space="preserve"> </w:t>
      </w:r>
      <w:r w:rsidRPr="008B382D">
        <w:rPr>
          <w:rFonts w:ascii="Times New Roman" w:hAnsi="Times New Roman" w:cs="Times New Roman"/>
          <w:sz w:val="24"/>
          <w:szCs w:val="24"/>
          <w:lang w:eastAsia="sk-SK"/>
        </w:rPr>
        <w:t>príslušníkov ozbrojených</w:t>
      </w:r>
      <w:r w:rsidRPr="008B382D">
        <w:rPr>
          <w:rFonts w:ascii="Times New Roman" w:hAnsi="Times New Roman" w:cs="Times New Roman"/>
          <w:spacing w:val="15"/>
          <w:sz w:val="24"/>
          <w:szCs w:val="24"/>
          <w:lang w:eastAsia="sk-SK"/>
        </w:rPr>
        <w:t xml:space="preserve"> </w:t>
      </w:r>
      <w:r w:rsidRPr="008B382D">
        <w:rPr>
          <w:rFonts w:ascii="Times New Roman" w:hAnsi="Times New Roman" w:cs="Times New Roman"/>
          <w:sz w:val="24"/>
          <w:szCs w:val="24"/>
          <w:lang w:eastAsia="sk-SK"/>
        </w:rPr>
        <w:t>síl</w:t>
      </w:r>
      <w:r w:rsidRPr="008B382D">
        <w:rPr>
          <w:rFonts w:ascii="Times New Roman" w:hAnsi="Times New Roman" w:cs="Times New Roman"/>
          <w:spacing w:val="15"/>
          <w:sz w:val="24"/>
          <w:szCs w:val="24"/>
          <w:lang w:eastAsia="sk-SK"/>
        </w:rPr>
        <w:t xml:space="preserve"> </w:t>
      </w:r>
      <w:r w:rsidRPr="008B382D">
        <w:rPr>
          <w:rFonts w:ascii="Times New Roman" w:hAnsi="Times New Roman" w:cs="Times New Roman"/>
          <w:sz w:val="24"/>
          <w:szCs w:val="24"/>
          <w:lang w:eastAsia="sk-SK"/>
        </w:rPr>
        <w:t>S</w:t>
      </w:r>
      <w:r w:rsidR="000319AF">
        <w:rPr>
          <w:rFonts w:ascii="Times New Roman" w:hAnsi="Times New Roman" w:cs="Times New Roman"/>
          <w:sz w:val="24"/>
          <w:szCs w:val="24"/>
          <w:lang w:eastAsia="sk-SK"/>
        </w:rPr>
        <w:t>lovenskej</w:t>
      </w:r>
      <w:r w:rsidR="00AF6613">
        <w:rPr>
          <w:rFonts w:ascii="Times New Roman" w:hAnsi="Times New Roman" w:cs="Times New Roman"/>
          <w:sz w:val="24"/>
          <w:szCs w:val="24"/>
          <w:lang w:eastAsia="sk-SK"/>
        </w:rPr>
        <w:t> </w:t>
      </w:r>
      <w:r w:rsidR="000319AF">
        <w:rPr>
          <w:rFonts w:ascii="Times New Roman" w:hAnsi="Times New Roman" w:cs="Times New Roman"/>
          <w:sz w:val="24"/>
          <w:szCs w:val="24"/>
          <w:lang w:eastAsia="sk-SK"/>
        </w:rPr>
        <w:t>republiky</w:t>
      </w:r>
      <w:r w:rsidRPr="008B382D">
        <w:rPr>
          <w:rFonts w:ascii="Times New Roman" w:hAnsi="Times New Roman" w:cs="Times New Roman"/>
          <w:sz w:val="24"/>
          <w:szCs w:val="24"/>
          <w:lang w:eastAsia="sk-SK"/>
        </w:rPr>
        <w:t xml:space="preserve"> s príspevkom do účelového zoskupenia, so spôsobilosťou</w:t>
      </w:r>
      <w:r w:rsidRPr="008B382D">
        <w:rPr>
          <w:rFonts w:ascii="Times New Roman" w:hAnsi="Times New Roman" w:cs="Times New Roman"/>
          <w:spacing w:val="15"/>
          <w:sz w:val="24"/>
          <w:szCs w:val="24"/>
          <w:lang w:eastAsia="sk-SK"/>
        </w:rPr>
        <w:t xml:space="preserve"> priamej a nepriamej palebnej podpory</w:t>
      </w:r>
      <w:r w:rsidRPr="008B382D">
        <w:rPr>
          <w:rFonts w:ascii="Times New Roman" w:hAnsi="Times New Roman" w:cs="Times New Roman"/>
          <w:sz w:val="24"/>
          <w:szCs w:val="24"/>
          <w:lang w:eastAsia="sk-SK"/>
        </w:rPr>
        <w:t>,</w:t>
      </w:r>
      <w:r w:rsidRPr="008B382D">
        <w:rPr>
          <w:rFonts w:ascii="Times New Roman" w:hAnsi="Times New Roman" w:cs="Times New Roman"/>
          <w:spacing w:val="15"/>
          <w:sz w:val="24"/>
          <w:szCs w:val="24"/>
          <w:lang w:eastAsia="sk-SK"/>
        </w:rPr>
        <w:t xml:space="preserve"> </w:t>
      </w:r>
      <w:r w:rsidRPr="008B382D">
        <w:rPr>
          <w:rFonts w:ascii="Times New Roman" w:hAnsi="Times New Roman" w:cs="Times New Roman"/>
          <w:sz w:val="24"/>
          <w:szCs w:val="24"/>
          <w:lang w:eastAsia="sk-SK"/>
        </w:rPr>
        <w:t>vrátane</w:t>
      </w:r>
      <w:r w:rsidRPr="008B382D">
        <w:rPr>
          <w:rFonts w:ascii="Times New Roman" w:hAnsi="Times New Roman" w:cs="Times New Roman"/>
          <w:spacing w:val="15"/>
          <w:sz w:val="24"/>
          <w:szCs w:val="24"/>
          <w:lang w:eastAsia="sk-SK"/>
        </w:rPr>
        <w:t xml:space="preserve"> </w:t>
      </w:r>
      <w:r w:rsidRPr="008B382D">
        <w:rPr>
          <w:rFonts w:ascii="Times New Roman" w:hAnsi="Times New Roman" w:cs="Times New Roman"/>
          <w:sz w:val="24"/>
          <w:szCs w:val="24"/>
          <w:lang w:eastAsia="sk-SK"/>
        </w:rPr>
        <w:t>prvkov</w:t>
      </w:r>
      <w:r w:rsidRPr="008B382D">
        <w:rPr>
          <w:rFonts w:ascii="Times New Roman" w:hAnsi="Times New Roman" w:cs="Times New Roman"/>
          <w:spacing w:val="15"/>
          <w:sz w:val="24"/>
          <w:szCs w:val="24"/>
          <w:lang w:eastAsia="sk-SK"/>
        </w:rPr>
        <w:t xml:space="preserve"> </w:t>
      </w:r>
      <w:r w:rsidRPr="008B382D">
        <w:rPr>
          <w:rFonts w:ascii="Times New Roman" w:hAnsi="Times New Roman" w:cs="Times New Roman"/>
          <w:sz w:val="24"/>
          <w:szCs w:val="24"/>
          <w:lang w:eastAsia="sk-SK"/>
        </w:rPr>
        <w:t>zabezpečenia, a</w:t>
      </w:r>
      <w:r w:rsidRPr="008B382D">
        <w:rPr>
          <w:rFonts w:ascii="Times New Roman" w:hAnsi="Times New Roman" w:cs="Times New Roman"/>
          <w:spacing w:val="74"/>
          <w:sz w:val="24"/>
          <w:szCs w:val="24"/>
          <w:lang w:eastAsia="sk-SK"/>
        </w:rPr>
        <w:t xml:space="preserve"> </w:t>
      </w:r>
      <w:r w:rsidRPr="008B382D">
        <w:rPr>
          <w:rFonts w:ascii="Times New Roman" w:hAnsi="Times New Roman" w:cs="Times New Roman"/>
          <w:sz w:val="24"/>
          <w:szCs w:val="24"/>
          <w:lang w:eastAsia="sk-SK"/>
        </w:rPr>
        <w:t>to</w:t>
      </w:r>
      <w:r w:rsidRPr="008B382D">
        <w:rPr>
          <w:rFonts w:ascii="Times New Roman" w:hAnsi="Times New Roman" w:cs="Times New Roman"/>
          <w:spacing w:val="74"/>
          <w:sz w:val="24"/>
          <w:szCs w:val="24"/>
          <w:lang w:eastAsia="sk-SK"/>
        </w:rPr>
        <w:t xml:space="preserve"> </w:t>
      </w:r>
      <w:r w:rsidRPr="008B382D">
        <w:rPr>
          <w:rFonts w:ascii="Times New Roman" w:hAnsi="Times New Roman" w:cs="Times New Roman"/>
          <w:sz w:val="24"/>
          <w:szCs w:val="24"/>
          <w:lang w:eastAsia="sk-SK"/>
        </w:rPr>
        <w:t>s dislokáciou vo</w:t>
      </w:r>
      <w:r w:rsidRPr="008B382D">
        <w:rPr>
          <w:rFonts w:ascii="Times New Roman" w:hAnsi="Times New Roman" w:cs="Times New Roman"/>
          <w:spacing w:val="74"/>
          <w:sz w:val="24"/>
          <w:szCs w:val="24"/>
          <w:lang w:eastAsia="sk-SK"/>
        </w:rPr>
        <w:t xml:space="preserve"> </w:t>
      </w:r>
      <w:r w:rsidRPr="008B382D">
        <w:rPr>
          <w:rFonts w:ascii="Times New Roman" w:hAnsi="Times New Roman" w:cs="Times New Roman"/>
          <w:sz w:val="24"/>
          <w:szCs w:val="24"/>
          <w:lang w:eastAsia="sk-SK"/>
        </w:rPr>
        <w:t>vojenskom</w:t>
      </w:r>
      <w:r w:rsidRPr="008B382D">
        <w:rPr>
          <w:rFonts w:ascii="Times New Roman" w:hAnsi="Times New Roman" w:cs="Times New Roman"/>
          <w:spacing w:val="74"/>
          <w:sz w:val="24"/>
          <w:szCs w:val="24"/>
          <w:lang w:eastAsia="sk-SK"/>
        </w:rPr>
        <w:t xml:space="preserve"> </w:t>
      </w:r>
      <w:r w:rsidRPr="008B382D">
        <w:rPr>
          <w:rFonts w:ascii="Times New Roman" w:hAnsi="Times New Roman" w:cs="Times New Roman"/>
          <w:sz w:val="24"/>
          <w:szCs w:val="24"/>
          <w:lang w:eastAsia="sk-SK"/>
        </w:rPr>
        <w:t>výcvikovom</w:t>
      </w:r>
      <w:r w:rsidRPr="008B382D">
        <w:rPr>
          <w:rFonts w:ascii="Times New Roman" w:hAnsi="Times New Roman" w:cs="Times New Roman"/>
          <w:spacing w:val="74"/>
          <w:sz w:val="24"/>
          <w:szCs w:val="24"/>
          <w:lang w:eastAsia="sk-SK"/>
        </w:rPr>
        <w:t xml:space="preserve"> </w:t>
      </w:r>
      <w:r w:rsidRPr="008B382D">
        <w:rPr>
          <w:rFonts w:ascii="Times New Roman" w:hAnsi="Times New Roman" w:cs="Times New Roman"/>
          <w:sz w:val="24"/>
          <w:szCs w:val="24"/>
          <w:lang w:eastAsia="sk-SK"/>
        </w:rPr>
        <w:t>priestor</w:t>
      </w:r>
      <w:r>
        <w:rPr>
          <w:rFonts w:ascii="Times New Roman" w:hAnsi="Times New Roman" w:cs="Times New Roman"/>
          <w:sz w:val="24"/>
          <w:szCs w:val="24"/>
          <w:lang w:eastAsia="sk-SK"/>
        </w:rPr>
        <w:t>e</w:t>
      </w:r>
      <w:r w:rsidRPr="008B382D">
        <w:rPr>
          <w:rFonts w:ascii="Times New Roman" w:hAnsi="Times New Roman" w:cs="Times New Roman"/>
          <w:sz w:val="24"/>
          <w:szCs w:val="24"/>
          <w:lang w:eastAsia="sk-SK"/>
        </w:rPr>
        <w:t xml:space="preserve"> v Ada</w:t>
      </w:r>
      <w:r>
        <w:rPr>
          <w:rFonts w:ascii="Times New Roman" w:hAnsi="Times New Roman" w:cs="Times New Roman"/>
          <w:sz w:val="24"/>
          <w:szCs w:val="24"/>
          <w:lang w:eastAsia="sk-SK"/>
        </w:rPr>
        <w:t>ž</w:t>
      </w:r>
      <w:r w:rsidRPr="008B382D">
        <w:rPr>
          <w:rFonts w:ascii="Times New Roman" w:hAnsi="Times New Roman" w:cs="Times New Roman"/>
          <w:sz w:val="24"/>
          <w:szCs w:val="24"/>
          <w:lang w:eastAsia="sk-SK"/>
        </w:rPr>
        <w:t>i,</w:t>
      </w:r>
      <w:r w:rsidR="000319AF">
        <w:rPr>
          <w:rFonts w:ascii="Times New Roman" w:hAnsi="Times New Roman" w:cs="Times New Roman"/>
          <w:spacing w:val="74"/>
          <w:sz w:val="24"/>
          <w:szCs w:val="24"/>
          <w:lang w:eastAsia="sk-SK"/>
        </w:rPr>
        <w:t xml:space="preserve"> </w:t>
      </w:r>
      <w:r w:rsidRPr="008B382D">
        <w:rPr>
          <w:rFonts w:ascii="Times New Roman" w:hAnsi="Times New Roman" w:cs="Times New Roman"/>
          <w:sz w:val="24"/>
          <w:szCs w:val="24"/>
          <w:lang w:eastAsia="sk-SK"/>
        </w:rPr>
        <w:t>Lotyšská</w:t>
      </w:r>
      <w:r w:rsidRPr="008B382D">
        <w:rPr>
          <w:rFonts w:ascii="Times New Roman" w:hAnsi="Times New Roman" w:cs="Times New Roman"/>
          <w:spacing w:val="74"/>
          <w:sz w:val="24"/>
          <w:szCs w:val="24"/>
          <w:lang w:eastAsia="sk-SK"/>
        </w:rPr>
        <w:t xml:space="preserve"> </w:t>
      </w:r>
      <w:r w:rsidRPr="008B382D">
        <w:rPr>
          <w:rFonts w:ascii="Times New Roman" w:hAnsi="Times New Roman" w:cs="Times New Roman"/>
          <w:sz w:val="24"/>
          <w:szCs w:val="24"/>
          <w:lang w:eastAsia="sk-SK"/>
        </w:rPr>
        <w:t>republika do ukončenia eFP.</w:t>
      </w:r>
    </w:p>
    <w:p w14:paraId="55EBFF03" w14:textId="77777777" w:rsidR="004E2F58" w:rsidRPr="00C80981" w:rsidRDefault="004E2F58" w:rsidP="00DB14FF">
      <w:pPr>
        <w:spacing w:after="0" w:line="240" w:lineRule="auto"/>
        <w:jc w:val="both"/>
        <w:rPr>
          <w:rFonts w:ascii="Times New Roman" w:hAnsi="Times New Roman" w:cs="Times New Roman"/>
          <w:sz w:val="24"/>
          <w:szCs w:val="24"/>
        </w:rPr>
      </w:pPr>
    </w:p>
    <w:p w14:paraId="182E3AC9" w14:textId="6B514B02" w:rsidR="003766FD" w:rsidRDefault="00A57CCF" w:rsidP="004E2F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E45B10">
        <w:rPr>
          <w:rFonts w:ascii="Times New Roman" w:hAnsi="Times New Roman" w:cs="Times New Roman"/>
          <w:sz w:val="24"/>
          <w:szCs w:val="24"/>
        </w:rPr>
        <w:t>o februári 2022, spojenci rozhodli o vybudovaní ďalších štyroch </w:t>
      </w:r>
      <w:r w:rsidR="00E45B10" w:rsidRPr="00BE79FE">
        <w:rPr>
          <w:rFonts w:ascii="Times New Roman" w:hAnsi="Times New Roman" w:cs="Times New Roman"/>
          <w:sz w:val="24"/>
          <w:szCs w:val="24"/>
        </w:rPr>
        <w:t>mnoho</w:t>
      </w:r>
      <w:r w:rsidR="00E45B10">
        <w:rPr>
          <w:rFonts w:ascii="Times New Roman" w:hAnsi="Times New Roman" w:cs="Times New Roman"/>
          <w:sz w:val="24"/>
          <w:szCs w:val="24"/>
        </w:rPr>
        <w:t>národných bojových</w:t>
      </w:r>
      <w:r w:rsidR="00E45B10" w:rsidRPr="00BE79FE">
        <w:rPr>
          <w:rFonts w:ascii="Times New Roman" w:hAnsi="Times New Roman" w:cs="Times New Roman"/>
          <w:sz w:val="24"/>
          <w:szCs w:val="24"/>
        </w:rPr>
        <w:t xml:space="preserve"> </w:t>
      </w:r>
      <w:r w:rsidR="00E45B10">
        <w:rPr>
          <w:rFonts w:ascii="Times New Roman" w:hAnsi="Times New Roman" w:cs="Times New Roman"/>
          <w:sz w:val="24"/>
          <w:szCs w:val="24"/>
        </w:rPr>
        <w:t xml:space="preserve">skupín </w:t>
      </w:r>
      <w:r w:rsidR="00E45B10" w:rsidRPr="00042F93">
        <w:rPr>
          <w:rFonts w:ascii="Times New Roman" w:hAnsi="Times New Roman" w:cs="Times New Roman"/>
          <w:sz w:val="24"/>
          <w:szCs w:val="24"/>
        </w:rPr>
        <w:t>v</w:t>
      </w:r>
      <w:r w:rsidR="00E45B10">
        <w:t xml:space="preserve"> </w:t>
      </w:r>
      <w:r w:rsidR="00E45B10" w:rsidRPr="00042F93">
        <w:rPr>
          <w:rFonts w:ascii="Times New Roman" w:hAnsi="Times New Roman" w:cs="Times New Roman"/>
          <w:sz w:val="24"/>
          <w:szCs w:val="24"/>
        </w:rPr>
        <w:t>Slovenskej republike, Maďarsku, Rumunsku a</w:t>
      </w:r>
      <w:r w:rsidR="00E45B10">
        <w:rPr>
          <w:rFonts w:ascii="Times New Roman" w:hAnsi="Times New Roman" w:cs="Times New Roman"/>
          <w:sz w:val="24"/>
          <w:szCs w:val="24"/>
        </w:rPr>
        <w:t> </w:t>
      </w:r>
      <w:r w:rsidR="00E45B10" w:rsidRPr="00042F93">
        <w:rPr>
          <w:rFonts w:ascii="Times New Roman" w:hAnsi="Times New Roman" w:cs="Times New Roman"/>
          <w:sz w:val="24"/>
          <w:szCs w:val="24"/>
        </w:rPr>
        <w:t>Bulharsku</w:t>
      </w:r>
      <w:r w:rsidR="00E45B10">
        <w:rPr>
          <w:rFonts w:ascii="Times New Roman" w:hAnsi="Times New Roman" w:cs="Times New Roman"/>
          <w:sz w:val="24"/>
          <w:szCs w:val="24"/>
        </w:rPr>
        <w:t xml:space="preserve">. </w:t>
      </w:r>
    </w:p>
    <w:p w14:paraId="5CFA96B0" w14:textId="77777777" w:rsidR="004E2F58" w:rsidRDefault="004E2F58" w:rsidP="000261B7">
      <w:pPr>
        <w:spacing w:after="0" w:line="240" w:lineRule="auto"/>
        <w:ind w:firstLine="708"/>
        <w:jc w:val="both"/>
        <w:rPr>
          <w:rFonts w:ascii="Times New Roman" w:hAnsi="Times New Roman" w:cs="Times New Roman"/>
          <w:sz w:val="24"/>
          <w:szCs w:val="24"/>
        </w:rPr>
      </w:pPr>
    </w:p>
    <w:p w14:paraId="32559EDB" w14:textId="34BC9F44" w:rsidR="000261B7" w:rsidRDefault="00777A23" w:rsidP="000022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stretnutí hláv štátov a vlád v Madride v 2022 bolo </w:t>
      </w:r>
      <w:r w:rsidR="000261B7">
        <w:rPr>
          <w:rFonts w:ascii="Times New Roman" w:hAnsi="Times New Roman" w:cs="Times New Roman"/>
          <w:sz w:val="24"/>
          <w:szCs w:val="24"/>
        </w:rPr>
        <w:t xml:space="preserve">prijaté rozhodnutie, že tieto skupiny v prípade potreby budú navýšené do veľkosti brigády. Sumárne sa všetky tieto jednotky označujú ako predsunuté pozemné sily NATO </w:t>
      </w:r>
      <w:r w:rsidR="000261B7">
        <w:rPr>
          <w:rFonts w:ascii="Times New Roman" w:hAnsi="Times New Roman" w:cs="Times New Roman"/>
          <w:color w:val="000000"/>
          <w:sz w:val="24"/>
          <w:szCs w:val="24"/>
        </w:rPr>
        <w:t>(</w:t>
      </w:r>
      <w:r w:rsidR="000261B7" w:rsidRPr="001721FA">
        <w:rPr>
          <w:rFonts w:ascii="Times New Roman" w:hAnsi="Times New Roman" w:cs="Times New Roman"/>
          <w:i/>
          <w:iCs/>
          <w:color w:val="000000"/>
          <w:sz w:val="24"/>
          <w:szCs w:val="24"/>
        </w:rPr>
        <w:t>Forward Land Forces</w:t>
      </w:r>
      <w:r w:rsidR="000261B7">
        <w:rPr>
          <w:rFonts w:ascii="Times New Roman" w:hAnsi="Times New Roman" w:cs="Times New Roman"/>
          <w:color w:val="000000"/>
          <w:sz w:val="24"/>
          <w:szCs w:val="24"/>
        </w:rPr>
        <w:t xml:space="preserve"> ďalej len „FLF“). </w:t>
      </w:r>
      <w:r w:rsidR="000261B7" w:rsidRPr="00926B60">
        <w:rPr>
          <w:rFonts w:ascii="Times New Roman" w:hAnsi="Times New Roman" w:cs="Times New Roman"/>
          <w:sz w:val="24"/>
          <w:szCs w:val="24"/>
          <w:lang w:eastAsia="sk-SK"/>
        </w:rPr>
        <w:t>Z uvedeného dôvodu sa bojová skupina</w:t>
      </w:r>
      <w:r w:rsidR="000261B7" w:rsidRPr="00926B60">
        <w:rPr>
          <w:rFonts w:ascii="Times New Roman" w:hAnsi="Times New Roman" w:cs="Times New Roman"/>
          <w:sz w:val="24"/>
          <w:szCs w:val="24"/>
        </w:rPr>
        <w:t xml:space="preserve"> eFP BG LVA transformuje na </w:t>
      </w:r>
      <w:r w:rsidR="000261B7">
        <w:rPr>
          <w:rFonts w:ascii="Times New Roman" w:hAnsi="Times New Roman" w:cs="Times New Roman"/>
          <w:sz w:val="24"/>
          <w:szCs w:val="24"/>
        </w:rPr>
        <w:t>Mnohonárodnú brigádu – Lotyšsko</w:t>
      </w:r>
      <w:r w:rsidR="000261B7" w:rsidRPr="00926B60">
        <w:rPr>
          <w:rFonts w:ascii="Times New Roman" w:hAnsi="Times New Roman" w:cs="Times New Roman"/>
          <w:sz w:val="24"/>
          <w:szCs w:val="24"/>
        </w:rPr>
        <w:t xml:space="preserve"> </w:t>
      </w:r>
      <w:r w:rsidR="000261B7">
        <w:rPr>
          <w:rFonts w:ascii="Times New Roman" w:hAnsi="Times New Roman" w:cs="Times New Roman"/>
          <w:sz w:val="24"/>
          <w:szCs w:val="24"/>
        </w:rPr>
        <w:t>(</w:t>
      </w:r>
      <w:r w:rsidR="000261B7" w:rsidRPr="00926B60">
        <w:rPr>
          <w:rFonts w:ascii="Times New Roman" w:hAnsi="Times New Roman" w:cs="Times New Roman"/>
          <w:i/>
          <w:iCs/>
          <w:sz w:val="24"/>
          <w:szCs w:val="24"/>
        </w:rPr>
        <w:t>Multinational Brigade Latvia</w:t>
      </w:r>
      <w:r w:rsidR="000261B7">
        <w:rPr>
          <w:rFonts w:ascii="Times New Roman" w:hAnsi="Times New Roman" w:cs="Times New Roman"/>
          <w:i/>
          <w:iCs/>
          <w:sz w:val="24"/>
          <w:szCs w:val="24"/>
        </w:rPr>
        <w:t xml:space="preserve"> - </w:t>
      </w:r>
      <w:r w:rsidR="000261B7" w:rsidRPr="003766FD">
        <w:rPr>
          <w:rFonts w:ascii="Times New Roman" w:hAnsi="Times New Roman" w:cs="Times New Roman"/>
          <w:sz w:val="24"/>
          <w:szCs w:val="24"/>
        </w:rPr>
        <w:t xml:space="preserve"> </w:t>
      </w:r>
      <w:r w:rsidR="000261B7" w:rsidRPr="00926B60">
        <w:rPr>
          <w:rFonts w:ascii="Times New Roman" w:hAnsi="Times New Roman" w:cs="Times New Roman"/>
          <w:sz w:val="24"/>
          <w:szCs w:val="24"/>
        </w:rPr>
        <w:t>MNB-L)</w:t>
      </w:r>
      <w:r w:rsidR="000261B7">
        <w:rPr>
          <w:rFonts w:ascii="Times New Roman" w:hAnsi="Times New Roman" w:cs="Times New Roman"/>
          <w:sz w:val="24"/>
          <w:szCs w:val="24"/>
        </w:rPr>
        <w:t xml:space="preserve"> v rámci FLF</w:t>
      </w:r>
      <w:r w:rsidR="000261B7" w:rsidRPr="00926B60">
        <w:rPr>
          <w:rFonts w:ascii="Times New Roman" w:hAnsi="Times New Roman" w:cs="Times New Roman"/>
          <w:sz w:val="24"/>
          <w:szCs w:val="24"/>
        </w:rPr>
        <w:t>.</w:t>
      </w:r>
    </w:p>
    <w:p w14:paraId="4336D078" w14:textId="77777777" w:rsidR="00DB14FF" w:rsidRDefault="00DB14FF" w:rsidP="00DB14FF">
      <w:pPr>
        <w:spacing w:after="0" w:line="240" w:lineRule="auto"/>
        <w:jc w:val="both"/>
        <w:rPr>
          <w:rFonts w:ascii="Times New Roman" w:hAnsi="Times New Roman" w:cs="Times New Roman"/>
          <w:sz w:val="24"/>
          <w:szCs w:val="24"/>
        </w:rPr>
      </w:pPr>
    </w:p>
    <w:p w14:paraId="0EB2171E" w14:textId="1741E428" w:rsidR="00777A23" w:rsidRDefault="00777A23" w:rsidP="004E2F58">
      <w:pPr>
        <w:spacing w:after="0" w:line="240" w:lineRule="auto"/>
        <w:ind w:firstLine="708"/>
        <w:jc w:val="both"/>
        <w:rPr>
          <w:rFonts w:ascii="Times New Roman" w:hAnsi="Times New Roman" w:cs="Times New Roman"/>
          <w:sz w:val="24"/>
          <w:szCs w:val="24"/>
        </w:rPr>
      </w:pPr>
      <w:r w:rsidRPr="00042F93">
        <w:rPr>
          <w:rFonts w:ascii="Times New Roman" w:hAnsi="Times New Roman" w:cs="Times New Roman"/>
          <w:sz w:val="24"/>
          <w:szCs w:val="24"/>
        </w:rPr>
        <w:t xml:space="preserve">Uvedené jednotky </w:t>
      </w:r>
      <w:r w:rsidR="003766FD">
        <w:rPr>
          <w:rFonts w:ascii="Times New Roman" w:hAnsi="Times New Roman" w:cs="Times New Roman"/>
          <w:sz w:val="24"/>
          <w:szCs w:val="24"/>
        </w:rPr>
        <w:t>majú</w:t>
      </w:r>
      <w:r w:rsidRPr="00042F93">
        <w:rPr>
          <w:rFonts w:ascii="Times New Roman" w:hAnsi="Times New Roman" w:cs="Times New Roman"/>
          <w:sz w:val="24"/>
          <w:szCs w:val="24"/>
        </w:rPr>
        <w:t xml:space="preserve"> možnosť rýchleho posilnenia</w:t>
      </w:r>
      <w:r w:rsidRPr="006B0994">
        <w:rPr>
          <w:rFonts w:ascii="Times New Roman" w:hAnsi="Times New Roman" w:cs="Times New Roman"/>
          <w:sz w:val="24"/>
          <w:szCs w:val="24"/>
        </w:rPr>
        <w:t xml:space="preserve"> </w:t>
      </w:r>
      <w:r w:rsidRPr="00042F93">
        <w:rPr>
          <w:rFonts w:ascii="Times New Roman" w:hAnsi="Times New Roman" w:cs="Times New Roman"/>
          <w:sz w:val="24"/>
          <w:szCs w:val="24"/>
        </w:rPr>
        <w:t>jednotkami vysokej pripravenosti</w:t>
      </w:r>
      <w:r w:rsidR="000261B7">
        <w:rPr>
          <w:rFonts w:ascii="Times New Roman" w:hAnsi="Times New Roman" w:cs="Times New Roman"/>
          <w:sz w:val="24"/>
          <w:szCs w:val="24"/>
        </w:rPr>
        <w:t>;</w:t>
      </w:r>
      <w:r w:rsidRPr="00042F93">
        <w:rPr>
          <w:rFonts w:ascii="Times New Roman" w:hAnsi="Times New Roman" w:cs="Times New Roman"/>
          <w:sz w:val="24"/>
          <w:szCs w:val="24"/>
        </w:rPr>
        <w:t xml:space="preserve"> predpripravené zásoby výstroje a výzbroje </w:t>
      </w:r>
      <w:r>
        <w:rPr>
          <w:rFonts w:ascii="Times New Roman" w:hAnsi="Times New Roman" w:cs="Times New Roman"/>
          <w:sz w:val="24"/>
          <w:szCs w:val="24"/>
        </w:rPr>
        <w:t>na východnom krídle Aliancie</w:t>
      </w:r>
      <w:r w:rsidR="000261B7">
        <w:rPr>
          <w:rFonts w:ascii="Times New Roman" w:hAnsi="Times New Roman" w:cs="Times New Roman"/>
          <w:sz w:val="24"/>
          <w:szCs w:val="24"/>
        </w:rPr>
        <w:t>;</w:t>
      </w:r>
      <w:r>
        <w:rPr>
          <w:rFonts w:ascii="Times New Roman" w:hAnsi="Times New Roman" w:cs="Times New Roman"/>
          <w:sz w:val="24"/>
          <w:szCs w:val="24"/>
        </w:rPr>
        <w:t xml:space="preserve"> </w:t>
      </w:r>
      <w:r w:rsidRPr="00042F93">
        <w:rPr>
          <w:rFonts w:ascii="Times New Roman" w:hAnsi="Times New Roman" w:cs="Times New Roman"/>
          <w:sz w:val="24"/>
          <w:szCs w:val="24"/>
        </w:rPr>
        <w:t>a posilnený systém velenia a riadenia (vrátane</w:t>
      </w:r>
      <w:r w:rsidR="000261B7">
        <w:rPr>
          <w:rFonts w:ascii="Times New Roman" w:hAnsi="Times New Roman" w:cs="Times New Roman"/>
          <w:sz w:val="24"/>
          <w:szCs w:val="24"/>
        </w:rPr>
        <w:t xml:space="preserve"> vopred určenej</w:t>
      </w:r>
      <w:r w:rsidRPr="00042F93">
        <w:rPr>
          <w:rFonts w:ascii="Times New Roman" w:hAnsi="Times New Roman" w:cs="Times New Roman"/>
          <w:sz w:val="24"/>
          <w:szCs w:val="24"/>
        </w:rPr>
        <w:t xml:space="preserve"> divíznej úrovne). Súčasťou nasadenia týchto zoskupení </w:t>
      </w:r>
      <w:r w:rsidR="000261B7">
        <w:rPr>
          <w:rFonts w:ascii="Times New Roman" w:hAnsi="Times New Roman" w:cs="Times New Roman"/>
          <w:sz w:val="24"/>
          <w:szCs w:val="24"/>
        </w:rPr>
        <w:t>má byť aj plán vykonávať</w:t>
      </w:r>
      <w:r w:rsidRPr="00042F93">
        <w:rPr>
          <w:rFonts w:ascii="Times New Roman" w:hAnsi="Times New Roman" w:cs="Times New Roman"/>
          <w:sz w:val="24"/>
          <w:szCs w:val="24"/>
        </w:rPr>
        <w:t xml:space="preserve"> robustné cvičenia s cieľom zvýšiť </w:t>
      </w:r>
      <w:r w:rsidR="003766FD">
        <w:rPr>
          <w:rFonts w:ascii="Times New Roman" w:hAnsi="Times New Roman" w:cs="Times New Roman"/>
          <w:sz w:val="24"/>
          <w:szCs w:val="24"/>
        </w:rPr>
        <w:t xml:space="preserve">ich </w:t>
      </w:r>
      <w:r w:rsidRPr="00042F93">
        <w:rPr>
          <w:rFonts w:ascii="Times New Roman" w:hAnsi="Times New Roman" w:cs="Times New Roman"/>
          <w:sz w:val="24"/>
          <w:szCs w:val="24"/>
        </w:rPr>
        <w:t>pripravenosť</w:t>
      </w:r>
      <w:r w:rsidR="000261B7">
        <w:rPr>
          <w:rFonts w:ascii="Times New Roman" w:hAnsi="Times New Roman" w:cs="Times New Roman"/>
          <w:sz w:val="24"/>
          <w:szCs w:val="24"/>
        </w:rPr>
        <w:t xml:space="preserve"> a interoperabilitu</w:t>
      </w:r>
      <w:r w:rsidRPr="00042F93">
        <w:rPr>
          <w:rFonts w:ascii="Times New Roman" w:hAnsi="Times New Roman" w:cs="Times New Roman"/>
          <w:sz w:val="24"/>
          <w:szCs w:val="24"/>
        </w:rPr>
        <w:t>.</w:t>
      </w:r>
      <w:r>
        <w:rPr>
          <w:rFonts w:ascii="Times New Roman" w:hAnsi="Times New Roman" w:cs="Times New Roman"/>
          <w:sz w:val="24"/>
          <w:szCs w:val="24"/>
        </w:rPr>
        <w:t xml:space="preserve"> Tieto jednotky sú prejavom odhodlanosti a pripravenosti Aliancie chrániť obyvateľstvo ako aj suverenitu a územnú celistvosť členských štátov Aliancie. Ich cieľom je efektívne prispievať k aktivitám odstrašenia a obrany Aliancie. Samit Aliancie vo Vilniuse v roku 2023 potvrdil dané rozhodnutia.</w:t>
      </w:r>
    </w:p>
    <w:p w14:paraId="3A4F1192" w14:textId="77777777" w:rsidR="004E2F58" w:rsidRPr="00042F93" w:rsidRDefault="004E2F58" w:rsidP="000261B7">
      <w:pPr>
        <w:spacing w:after="0" w:line="240" w:lineRule="auto"/>
        <w:ind w:firstLine="708"/>
        <w:jc w:val="both"/>
        <w:rPr>
          <w:rFonts w:ascii="Times New Roman" w:hAnsi="Times New Roman" w:cs="Times New Roman"/>
          <w:sz w:val="24"/>
          <w:szCs w:val="24"/>
        </w:rPr>
      </w:pPr>
    </w:p>
    <w:p w14:paraId="0E1C4998" w14:textId="3EB759C9" w:rsidR="00C80981" w:rsidRPr="008179A3" w:rsidRDefault="00D23352" w:rsidP="000261B7">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Predsunuté </w:t>
      </w:r>
      <w:r w:rsidR="00973623">
        <w:rPr>
          <w:rFonts w:ascii="Times New Roman" w:hAnsi="Times New Roman" w:cs="Times New Roman"/>
          <w:color w:val="000000"/>
          <w:sz w:val="24"/>
          <w:szCs w:val="24"/>
        </w:rPr>
        <w:t xml:space="preserve">pozemné </w:t>
      </w:r>
      <w:r>
        <w:rPr>
          <w:rFonts w:ascii="Times New Roman" w:hAnsi="Times New Roman" w:cs="Times New Roman"/>
          <w:color w:val="000000"/>
          <w:sz w:val="24"/>
          <w:szCs w:val="24"/>
        </w:rPr>
        <w:t xml:space="preserve">sily NATO </w:t>
      </w:r>
      <w:r w:rsidR="00C80981" w:rsidRPr="008179A3">
        <w:rPr>
          <w:rFonts w:ascii="Times New Roman" w:hAnsi="Times New Roman" w:cs="Times New Roman"/>
          <w:color w:val="000000"/>
          <w:sz w:val="24"/>
          <w:szCs w:val="24"/>
        </w:rPr>
        <w:t xml:space="preserve">tvoria </w:t>
      </w:r>
      <w:r w:rsidR="00070D42">
        <w:rPr>
          <w:rFonts w:ascii="Times New Roman" w:hAnsi="Times New Roman" w:cs="Times New Roman"/>
          <w:color w:val="000000"/>
          <w:sz w:val="24"/>
          <w:szCs w:val="24"/>
        </w:rPr>
        <w:t>aliančné</w:t>
      </w:r>
      <w:r w:rsidR="00070D42" w:rsidRPr="008179A3">
        <w:rPr>
          <w:rFonts w:ascii="Times New Roman" w:hAnsi="Times New Roman" w:cs="Times New Roman"/>
          <w:color w:val="000000"/>
          <w:sz w:val="24"/>
          <w:szCs w:val="24"/>
        </w:rPr>
        <w:t xml:space="preserve"> </w:t>
      </w:r>
      <w:r w:rsidR="00C80981" w:rsidRPr="008179A3">
        <w:rPr>
          <w:rFonts w:ascii="Times New Roman" w:hAnsi="Times New Roman" w:cs="Times New Roman"/>
          <w:color w:val="000000"/>
          <w:sz w:val="24"/>
          <w:szCs w:val="24"/>
        </w:rPr>
        <w:t xml:space="preserve">sily s neustálou prítomnosťou, vedené rámcovými krajinami a ostatnými prispievajúcimi spojencami na dobrovoľnej, rotačnej a udržateľnej báze, ktoré sú schopné zabezpečovať úlohy v zhode a koordinovane s ozbrojenými silami </w:t>
      </w:r>
      <w:r w:rsidR="003766FD">
        <w:rPr>
          <w:rFonts w:ascii="Times New Roman" w:hAnsi="Times New Roman" w:cs="Times New Roman"/>
          <w:color w:val="000000"/>
          <w:sz w:val="24"/>
          <w:szCs w:val="24"/>
        </w:rPr>
        <w:t xml:space="preserve">hostiteľských členských </w:t>
      </w:r>
      <w:r w:rsidR="00C80981" w:rsidRPr="008179A3">
        <w:rPr>
          <w:rFonts w:ascii="Times New Roman" w:hAnsi="Times New Roman" w:cs="Times New Roman"/>
          <w:color w:val="000000"/>
          <w:sz w:val="24"/>
          <w:szCs w:val="24"/>
        </w:rPr>
        <w:t>štátov.</w:t>
      </w:r>
    </w:p>
    <w:p w14:paraId="59632D81" w14:textId="77777777" w:rsidR="000E601F" w:rsidRPr="00D147EE" w:rsidRDefault="000E601F" w:rsidP="00926B60">
      <w:pPr>
        <w:pStyle w:val="Normlnywebov"/>
        <w:spacing w:before="0" w:beforeAutospacing="0" w:after="0" w:afterAutospacing="0"/>
        <w:ind w:firstLine="426"/>
        <w:jc w:val="both"/>
      </w:pPr>
    </w:p>
    <w:p w14:paraId="4CD591BE" w14:textId="6351859A" w:rsidR="000E601F" w:rsidRPr="00092603" w:rsidRDefault="000E601F" w:rsidP="00926B60">
      <w:pPr>
        <w:pStyle w:val="Normlnywebov"/>
        <w:numPr>
          <w:ilvl w:val="0"/>
          <w:numId w:val="1"/>
        </w:numPr>
        <w:spacing w:before="0" w:beforeAutospacing="0" w:after="0" w:afterAutospacing="0"/>
        <w:ind w:left="426" w:hanging="426"/>
        <w:jc w:val="both"/>
      </w:pPr>
      <w:r w:rsidRPr="00D147EE">
        <w:rPr>
          <w:u w:val="single"/>
        </w:rPr>
        <w:t>Vojensko-odborné aspekty návrhu</w:t>
      </w:r>
    </w:p>
    <w:p w14:paraId="497F4BAC" w14:textId="3386E073" w:rsidR="00092603" w:rsidRDefault="00092603" w:rsidP="00926B60">
      <w:pPr>
        <w:pStyle w:val="Normlnywebov"/>
        <w:spacing w:before="0" w:beforeAutospacing="0" w:after="0" w:afterAutospacing="0"/>
        <w:ind w:left="426"/>
        <w:jc w:val="both"/>
        <w:rPr>
          <w:u w:val="single"/>
        </w:rPr>
      </w:pPr>
    </w:p>
    <w:p w14:paraId="2363EE7F" w14:textId="7E6232F4" w:rsidR="0063799C" w:rsidRDefault="00926B60" w:rsidP="0000224E">
      <w:pPr>
        <w:spacing w:after="0" w:line="240" w:lineRule="auto"/>
        <w:ind w:firstLine="708"/>
        <w:jc w:val="both"/>
        <w:rPr>
          <w:rFonts w:ascii="Times New Roman" w:hAnsi="Times New Roman" w:cs="Times New Roman"/>
          <w:sz w:val="24"/>
          <w:szCs w:val="24"/>
        </w:rPr>
      </w:pPr>
      <w:r w:rsidRPr="00926B60">
        <w:rPr>
          <w:rFonts w:ascii="Times New Roman" w:hAnsi="Times New Roman" w:cs="Times New Roman"/>
          <w:sz w:val="24"/>
          <w:szCs w:val="24"/>
          <w:lang w:eastAsia="sk-SK"/>
        </w:rPr>
        <w:t>Počas samitu hláv štátov a predsedov vlád členských krajín NATO v</w:t>
      </w:r>
      <w:r w:rsidR="000261B7">
        <w:rPr>
          <w:rFonts w:ascii="Times New Roman" w:hAnsi="Times New Roman" w:cs="Times New Roman"/>
          <w:sz w:val="24"/>
          <w:szCs w:val="24"/>
          <w:lang w:eastAsia="sk-SK"/>
        </w:rPr>
        <w:t> </w:t>
      </w:r>
      <w:r w:rsidRPr="00926B60">
        <w:rPr>
          <w:rFonts w:ascii="Times New Roman" w:hAnsi="Times New Roman" w:cs="Times New Roman"/>
          <w:sz w:val="24"/>
          <w:szCs w:val="24"/>
          <w:lang w:eastAsia="sk-SK"/>
        </w:rPr>
        <w:t>Madride</w:t>
      </w:r>
      <w:r w:rsidR="000261B7">
        <w:rPr>
          <w:rFonts w:ascii="Times New Roman" w:hAnsi="Times New Roman" w:cs="Times New Roman"/>
          <w:sz w:val="24"/>
          <w:szCs w:val="24"/>
          <w:lang w:eastAsia="sk-SK"/>
        </w:rPr>
        <w:t xml:space="preserve"> 2022</w:t>
      </w:r>
      <w:r w:rsidRPr="00926B60">
        <w:rPr>
          <w:rFonts w:ascii="Times New Roman" w:hAnsi="Times New Roman" w:cs="Times New Roman"/>
          <w:sz w:val="24"/>
          <w:szCs w:val="24"/>
          <w:lang w:eastAsia="sk-SK"/>
        </w:rPr>
        <w:t xml:space="preserve"> bol odsúhlasený prechod zo súčasných bojových skupín NATO dislokovaných na východnom krídle NATO na pozemné zoskupenia</w:t>
      </w:r>
      <w:r w:rsidR="000261B7">
        <w:rPr>
          <w:rFonts w:ascii="Times New Roman" w:hAnsi="Times New Roman" w:cs="Times New Roman"/>
          <w:sz w:val="24"/>
          <w:szCs w:val="24"/>
          <w:lang w:eastAsia="sk-SK"/>
        </w:rPr>
        <w:t xml:space="preserve"> do veľkosti brigády</w:t>
      </w:r>
      <w:r w:rsidRPr="00926B60">
        <w:rPr>
          <w:rFonts w:ascii="Times New Roman" w:hAnsi="Times New Roman" w:cs="Times New Roman"/>
          <w:sz w:val="24"/>
          <w:szCs w:val="24"/>
          <w:lang w:eastAsia="sk-SK"/>
        </w:rPr>
        <w:t>. Z uvedeného dôvodu sa bojová skupina</w:t>
      </w:r>
      <w:r w:rsidRPr="00926B60">
        <w:rPr>
          <w:rFonts w:ascii="Times New Roman" w:hAnsi="Times New Roman" w:cs="Times New Roman"/>
          <w:sz w:val="24"/>
          <w:szCs w:val="24"/>
        </w:rPr>
        <w:t xml:space="preserve"> eFP BG LVA transformuje na </w:t>
      </w:r>
      <w:r w:rsidR="003766FD">
        <w:rPr>
          <w:rFonts w:ascii="Times New Roman" w:hAnsi="Times New Roman" w:cs="Times New Roman"/>
          <w:sz w:val="24"/>
          <w:szCs w:val="24"/>
        </w:rPr>
        <w:t>Mnohonárodnú brigádu – Lotyšsko</w:t>
      </w:r>
      <w:r w:rsidR="003766FD" w:rsidRPr="00926B60">
        <w:rPr>
          <w:rFonts w:ascii="Times New Roman" w:hAnsi="Times New Roman" w:cs="Times New Roman"/>
          <w:sz w:val="24"/>
          <w:szCs w:val="24"/>
        </w:rPr>
        <w:t xml:space="preserve"> </w:t>
      </w:r>
      <w:r w:rsidR="003766FD">
        <w:rPr>
          <w:rFonts w:ascii="Times New Roman" w:hAnsi="Times New Roman" w:cs="Times New Roman"/>
          <w:sz w:val="24"/>
          <w:szCs w:val="24"/>
        </w:rPr>
        <w:t>(</w:t>
      </w:r>
      <w:r w:rsidRPr="00926B60">
        <w:rPr>
          <w:rFonts w:ascii="Times New Roman" w:hAnsi="Times New Roman" w:cs="Times New Roman"/>
          <w:i/>
          <w:iCs/>
          <w:sz w:val="24"/>
          <w:szCs w:val="24"/>
        </w:rPr>
        <w:t>Multinational Brigade Latvia</w:t>
      </w:r>
      <w:r w:rsidR="003766FD">
        <w:rPr>
          <w:rFonts w:ascii="Times New Roman" w:hAnsi="Times New Roman" w:cs="Times New Roman"/>
          <w:i/>
          <w:iCs/>
          <w:sz w:val="24"/>
          <w:szCs w:val="24"/>
        </w:rPr>
        <w:t xml:space="preserve"> - </w:t>
      </w:r>
      <w:r w:rsidR="003766FD" w:rsidRPr="003766FD">
        <w:rPr>
          <w:rFonts w:ascii="Times New Roman" w:hAnsi="Times New Roman" w:cs="Times New Roman"/>
          <w:sz w:val="24"/>
          <w:szCs w:val="24"/>
        </w:rPr>
        <w:t xml:space="preserve"> </w:t>
      </w:r>
      <w:r w:rsidR="003766FD" w:rsidRPr="00926B60">
        <w:rPr>
          <w:rFonts w:ascii="Times New Roman" w:hAnsi="Times New Roman" w:cs="Times New Roman"/>
          <w:sz w:val="24"/>
          <w:szCs w:val="24"/>
        </w:rPr>
        <w:t>MNB-L</w:t>
      </w:r>
      <w:r w:rsidRPr="00926B60">
        <w:rPr>
          <w:rFonts w:ascii="Times New Roman" w:hAnsi="Times New Roman" w:cs="Times New Roman"/>
          <w:sz w:val="24"/>
          <w:szCs w:val="24"/>
        </w:rPr>
        <w:t>)</w:t>
      </w:r>
      <w:r w:rsidR="000261B7">
        <w:rPr>
          <w:rFonts w:ascii="Times New Roman" w:hAnsi="Times New Roman" w:cs="Times New Roman"/>
          <w:sz w:val="24"/>
          <w:szCs w:val="24"/>
        </w:rPr>
        <w:t xml:space="preserve"> v rámci FLF</w:t>
      </w:r>
      <w:r w:rsidRPr="00926B60">
        <w:rPr>
          <w:rFonts w:ascii="Times New Roman" w:hAnsi="Times New Roman" w:cs="Times New Roman"/>
          <w:sz w:val="24"/>
          <w:szCs w:val="24"/>
        </w:rPr>
        <w:t xml:space="preserve">. </w:t>
      </w:r>
      <w:r w:rsidR="000261B7">
        <w:rPr>
          <w:rFonts w:ascii="Times New Roman" w:hAnsi="Times New Roman" w:cs="Times New Roman"/>
          <w:sz w:val="24"/>
          <w:szCs w:val="24"/>
        </w:rPr>
        <w:t>Kanada potvrdila svoj zámer pôsobiť ako rámcová krajina v rámci MNB-L, a teda jednotky aj naďalej zostávajú pod jej velením a riadením</w:t>
      </w:r>
      <w:r w:rsidRPr="00926B60">
        <w:rPr>
          <w:rFonts w:ascii="Times New Roman" w:hAnsi="Times New Roman" w:cs="Times New Roman"/>
          <w:sz w:val="24"/>
          <w:szCs w:val="24"/>
        </w:rPr>
        <w:t>.</w:t>
      </w:r>
    </w:p>
    <w:p w14:paraId="23EDF169" w14:textId="5A2DA01A" w:rsidR="0063799C" w:rsidRDefault="00926B60" w:rsidP="00B87E48">
      <w:pPr>
        <w:spacing w:after="0" w:line="240" w:lineRule="auto"/>
        <w:ind w:firstLine="425"/>
        <w:jc w:val="both"/>
        <w:rPr>
          <w:rFonts w:ascii="Times New Roman" w:hAnsi="Times New Roman" w:cs="Times New Roman"/>
          <w:sz w:val="24"/>
          <w:szCs w:val="24"/>
        </w:rPr>
      </w:pPr>
      <w:r w:rsidRPr="00926B60">
        <w:rPr>
          <w:rFonts w:ascii="Times New Roman" w:hAnsi="Times New Roman" w:cs="Times New Roman"/>
          <w:sz w:val="24"/>
          <w:szCs w:val="24"/>
        </w:rPr>
        <w:t xml:space="preserve"> </w:t>
      </w:r>
    </w:p>
    <w:p w14:paraId="1743322E" w14:textId="11597C1D" w:rsidR="00B87E48" w:rsidRDefault="00926B60" w:rsidP="0000224E">
      <w:pPr>
        <w:spacing w:after="0" w:line="240" w:lineRule="auto"/>
        <w:ind w:firstLine="644"/>
        <w:jc w:val="both"/>
        <w:rPr>
          <w:rFonts w:ascii="Times New Roman" w:hAnsi="Times New Roman" w:cs="Times New Roman"/>
          <w:b/>
          <w:color w:val="000000"/>
          <w:sz w:val="24"/>
          <w:szCs w:val="24"/>
          <w:u w:val="single"/>
        </w:rPr>
      </w:pPr>
      <w:r w:rsidRPr="00926B60">
        <w:rPr>
          <w:rFonts w:ascii="Times New Roman" w:hAnsi="Times New Roman" w:cs="Times New Roman"/>
          <w:sz w:val="24"/>
          <w:szCs w:val="24"/>
        </w:rPr>
        <w:t xml:space="preserve">Z tohto dôvodu </w:t>
      </w:r>
      <w:r w:rsidRPr="00926B60">
        <w:rPr>
          <w:rFonts w:ascii="Times New Roman" w:hAnsi="Times New Roman" w:cs="Times New Roman"/>
          <w:sz w:val="24"/>
          <w:szCs w:val="24"/>
          <w:lang w:eastAsia="sk-SK"/>
        </w:rPr>
        <w:t>sa</w:t>
      </w:r>
      <w:r w:rsidRPr="00926B60">
        <w:rPr>
          <w:rFonts w:ascii="Times New Roman" w:hAnsi="Times New Roman" w:cs="Times New Roman"/>
          <w:spacing w:val="20"/>
          <w:sz w:val="24"/>
          <w:szCs w:val="24"/>
          <w:lang w:eastAsia="sk-SK"/>
        </w:rPr>
        <w:t xml:space="preserve"> </w:t>
      </w:r>
      <w:r w:rsidRPr="00926B60">
        <w:rPr>
          <w:rFonts w:ascii="Times New Roman" w:hAnsi="Times New Roman" w:cs="Times New Roman"/>
          <w:sz w:val="24"/>
          <w:szCs w:val="24"/>
          <w:lang w:eastAsia="sk-SK"/>
        </w:rPr>
        <w:t>predmetným materiálom navrhuje</w:t>
      </w:r>
      <w:r w:rsidR="0063799C">
        <w:rPr>
          <w:rFonts w:ascii="Times New Roman" w:hAnsi="Times New Roman" w:cs="Times New Roman"/>
          <w:sz w:val="24"/>
          <w:szCs w:val="24"/>
          <w:lang w:eastAsia="sk-SK"/>
        </w:rPr>
        <w:t xml:space="preserve"> </w:t>
      </w:r>
      <w:r w:rsidRPr="00926B60">
        <w:rPr>
          <w:rFonts w:ascii="Times New Roman" w:hAnsi="Times New Roman"/>
          <w:sz w:val="24"/>
          <w:szCs w:val="24"/>
          <w:lang w:eastAsia="sk-SK"/>
        </w:rPr>
        <w:t>vyslať</w:t>
      </w:r>
      <w:r w:rsidR="005C5ABC">
        <w:rPr>
          <w:rFonts w:ascii="Times New Roman" w:hAnsi="Times New Roman"/>
          <w:spacing w:val="148"/>
          <w:sz w:val="24"/>
          <w:szCs w:val="24"/>
          <w:lang w:eastAsia="sk-SK"/>
        </w:rPr>
        <w:t xml:space="preserve"> </w:t>
      </w:r>
      <w:r w:rsidRPr="00926B60">
        <w:rPr>
          <w:rFonts w:ascii="Times New Roman" w:hAnsi="Times New Roman"/>
          <w:sz w:val="24"/>
          <w:szCs w:val="24"/>
          <w:lang w:eastAsia="sk-SK"/>
        </w:rPr>
        <w:t>v rámci</w:t>
      </w:r>
      <w:r w:rsidR="005C5ABC">
        <w:rPr>
          <w:rFonts w:ascii="Times New Roman" w:hAnsi="Times New Roman"/>
          <w:spacing w:val="148"/>
          <w:sz w:val="24"/>
          <w:szCs w:val="24"/>
          <w:lang w:eastAsia="sk-SK"/>
        </w:rPr>
        <w:t xml:space="preserve"> </w:t>
      </w:r>
      <w:r w:rsidR="000261B7">
        <w:rPr>
          <w:rFonts w:ascii="Times New Roman" w:hAnsi="Times New Roman" w:cs="Times New Roman"/>
          <w:sz w:val="24"/>
          <w:szCs w:val="24"/>
        </w:rPr>
        <w:t>p</w:t>
      </w:r>
      <w:r w:rsidR="0063799C">
        <w:rPr>
          <w:rFonts w:ascii="Times New Roman" w:hAnsi="Times New Roman" w:cs="Times New Roman"/>
          <w:sz w:val="24"/>
          <w:szCs w:val="24"/>
        </w:rPr>
        <w:t>redsunut</w:t>
      </w:r>
      <w:r w:rsidR="0063799C">
        <w:rPr>
          <w:rFonts w:ascii="Times New Roman" w:hAnsi="Times New Roman"/>
          <w:sz w:val="24"/>
          <w:szCs w:val="24"/>
        </w:rPr>
        <w:t>ých</w:t>
      </w:r>
      <w:r w:rsidR="000261B7">
        <w:rPr>
          <w:rFonts w:ascii="Times New Roman" w:hAnsi="Times New Roman"/>
          <w:sz w:val="24"/>
          <w:szCs w:val="24"/>
        </w:rPr>
        <w:t xml:space="preserve"> pozemných</w:t>
      </w:r>
      <w:r w:rsidR="0063799C">
        <w:rPr>
          <w:rFonts w:ascii="Times New Roman" w:hAnsi="Times New Roman" w:cs="Times New Roman"/>
          <w:sz w:val="24"/>
          <w:szCs w:val="24"/>
        </w:rPr>
        <w:t xml:space="preserve"> s</w:t>
      </w:r>
      <w:r w:rsidR="0063799C">
        <w:rPr>
          <w:rFonts w:ascii="Times New Roman" w:hAnsi="Times New Roman"/>
          <w:sz w:val="24"/>
          <w:szCs w:val="24"/>
        </w:rPr>
        <w:t>í</w:t>
      </w:r>
      <w:r w:rsidR="0063799C">
        <w:rPr>
          <w:rFonts w:ascii="Times New Roman" w:hAnsi="Times New Roman" w:cs="Times New Roman"/>
          <w:sz w:val="24"/>
          <w:szCs w:val="24"/>
        </w:rPr>
        <w:t>l NATO</w:t>
      </w:r>
      <w:r w:rsidRPr="00926B60">
        <w:rPr>
          <w:rFonts w:ascii="Times New Roman" w:hAnsi="Times New Roman"/>
          <w:spacing w:val="20"/>
          <w:sz w:val="24"/>
          <w:szCs w:val="24"/>
          <w:lang w:eastAsia="sk-SK"/>
        </w:rPr>
        <w:t xml:space="preserve"> </w:t>
      </w:r>
      <w:r w:rsidRPr="00926B60">
        <w:rPr>
          <w:rFonts w:ascii="Times New Roman" w:hAnsi="Times New Roman"/>
          <w:sz w:val="24"/>
          <w:szCs w:val="24"/>
          <w:lang w:eastAsia="sk-SK"/>
        </w:rPr>
        <w:t>do Lotyšskej</w:t>
      </w:r>
      <w:r w:rsidR="0063799C">
        <w:rPr>
          <w:rFonts w:ascii="Times New Roman" w:hAnsi="Times New Roman"/>
          <w:spacing w:val="148"/>
          <w:sz w:val="24"/>
          <w:szCs w:val="24"/>
          <w:lang w:eastAsia="sk-SK"/>
        </w:rPr>
        <w:t xml:space="preserve"> </w:t>
      </w:r>
      <w:r w:rsidRPr="00926B60">
        <w:rPr>
          <w:rFonts w:ascii="Times New Roman" w:hAnsi="Times New Roman"/>
          <w:sz w:val="24"/>
          <w:szCs w:val="24"/>
          <w:lang w:eastAsia="sk-SK"/>
        </w:rPr>
        <w:t xml:space="preserve">republiky </w:t>
      </w:r>
      <w:r w:rsidRPr="00926B60">
        <w:rPr>
          <w:rFonts w:ascii="Times New Roman" w:hAnsi="Times New Roman"/>
          <w:bCs/>
          <w:sz w:val="24"/>
          <w:szCs w:val="24"/>
          <w:lang w:eastAsia="sk-SK"/>
        </w:rPr>
        <w:t>účelové zoskupenie do 155</w:t>
      </w:r>
      <w:r w:rsidRPr="00926B60">
        <w:rPr>
          <w:rFonts w:ascii="Times New Roman" w:hAnsi="Times New Roman"/>
          <w:bCs/>
          <w:spacing w:val="9"/>
          <w:sz w:val="24"/>
          <w:szCs w:val="24"/>
          <w:lang w:eastAsia="sk-SK"/>
        </w:rPr>
        <w:t xml:space="preserve"> </w:t>
      </w:r>
      <w:r w:rsidRPr="00926B60">
        <w:rPr>
          <w:rFonts w:ascii="Times New Roman" w:hAnsi="Times New Roman"/>
          <w:bCs/>
          <w:sz w:val="24"/>
          <w:szCs w:val="24"/>
          <w:lang w:eastAsia="sk-SK"/>
        </w:rPr>
        <w:t>príslušníkov</w:t>
      </w:r>
      <w:r w:rsidRPr="00926B60">
        <w:rPr>
          <w:rFonts w:ascii="Times New Roman" w:hAnsi="Times New Roman"/>
          <w:bCs/>
          <w:spacing w:val="9"/>
          <w:sz w:val="24"/>
          <w:szCs w:val="24"/>
          <w:lang w:eastAsia="sk-SK"/>
        </w:rPr>
        <w:t xml:space="preserve"> </w:t>
      </w:r>
      <w:r w:rsidRPr="00926B60">
        <w:rPr>
          <w:rFonts w:ascii="Times New Roman" w:hAnsi="Times New Roman"/>
          <w:bCs/>
          <w:sz w:val="24"/>
          <w:szCs w:val="24"/>
          <w:lang w:eastAsia="sk-SK"/>
        </w:rPr>
        <w:t>ozbrojených síl S</w:t>
      </w:r>
      <w:r w:rsidR="00332C0E">
        <w:rPr>
          <w:rFonts w:ascii="Times New Roman" w:hAnsi="Times New Roman"/>
          <w:bCs/>
          <w:sz w:val="24"/>
          <w:szCs w:val="24"/>
          <w:lang w:eastAsia="sk-SK"/>
        </w:rPr>
        <w:t>lovenskej republiky</w:t>
      </w:r>
      <w:r w:rsidRPr="00926B60">
        <w:rPr>
          <w:rFonts w:ascii="Times New Roman" w:hAnsi="Times New Roman"/>
          <w:bCs/>
          <w:sz w:val="24"/>
          <w:szCs w:val="24"/>
          <w:lang w:eastAsia="sk-SK"/>
        </w:rPr>
        <w:t xml:space="preserve"> pod operačným velením a riadením </w:t>
      </w:r>
      <w:r w:rsidR="00864C4D">
        <w:rPr>
          <w:rFonts w:ascii="Times New Roman" w:hAnsi="Times New Roman"/>
          <w:bCs/>
          <w:sz w:val="24"/>
          <w:szCs w:val="24"/>
          <w:lang w:eastAsia="sk-SK"/>
        </w:rPr>
        <w:t>Najvyššieho veliteľa spojeneckých síl</w:t>
      </w:r>
      <w:r w:rsidR="00250841">
        <w:rPr>
          <w:rFonts w:ascii="Times New Roman" w:hAnsi="Times New Roman"/>
          <w:bCs/>
          <w:sz w:val="24"/>
          <w:szCs w:val="24"/>
          <w:lang w:eastAsia="sk-SK"/>
        </w:rPr>
        <w:t xml:space="preserve"> v Európe</w:t>
      </w:r>
      <w:r w:rsidR="0063799C">
        <w:rPr>
          <w:rFonts w:ascii="Times New Roman" w:hAnsi="Times New Roman"/>
          <w:bCs/>
          <w:sz w:val="24"/>
          <w:szCs w:val="24"/>
          <w:lang w:eastAsia="sk-SK"/>
        </w:rPr>
        <w:t xml:space="preserve"> </w:t>
      </w:r>
      <w:r w:rsidRPr="00926B60">
        <w:rPr>
          <w:rFonts w:ascii="Times New Roman" w:hAnsi="Times New Roman"/>
          <w:sz w:val="24"/>
          <w:szCs w:val="24"/>
          <w:lang w:eastAsia="sk-SK"/>
        </w:rPr>
        <w:t>s možnosťou vykonávať výcvikové a súčinnostné aktivity v Litovskej republike, Estónskej</w:t>
      </w:r>
      <w:r w:rsidRPr="00926B60">
        <w:rPr>
          <w:rFonts w:ascii="Times New Roman" w:hAnsi="Times New Roman"/>
          <w:spacing w:val="9"/>
          <w:sz w:val="24"/>
          <w:szCs w:val="24"/>
          <w:lang w:eastAsia="sk-SK"/>
        </w:rPr>
        <w:t xml:space="preserve"> </w:t>
      </w:r>
      <w:r w:rsidRPr="00926B60">
        <w:rPr>
          <w:rFonts w:ascii="Times New Roman" w:hAnsi="Times New Roman"/>
          <w:sz w:val="24"/>
          <w:szCs w:val="24"/>
          <w:lang w:eastAsia="sk-SK"/>
        </w:rPr>
        <w:t>republike</w:t>
      </w:r>
      <w:r w:rsidRPr="00926B60">
        <w:rPr>
          <w:rFonts w:ascii="Times New Roman" w:hAnsi="Times New Roman"/>
          <w:spacing w:val="9"/>
          <w:sz w:val="24"/>
          <w:szCs w:val="24"/>
          <w:lang w:eastAsia="sk-SK"/>
        </w:rPr>
        <w:t xml:space="preserve"> </w:t>
      </w:r>
      <w:r w:rsidRPr="00926B60">
        <w:rPr>
          <w:rFonts w:ascii="Times New Roman" w:hAnsi="Times New Roman"/>
          <w:sz w:val="24"/>
          <w:szCs w:val="24"/>
          <w:lang w:eastAsia="sk-SK"/>
        </w:rPr>
        <w:t>a Poľskej</w:t>
      </w:r>
      <w:r w:rsidRPr="00926B60">
        <w:rPr>
          <w:rFonts w:ascii="Times New Roman" w:hAnsi="Times New Roman"/>
          <w:spacing w:val="9"/>
          <w:sz w:val="24"/>
          <w:szCs w:val="24"/>
          <w:lang w:eastAsia="sk-SK"/>
        </w:rPr>
        <w:t xml:space="preserve"> </w:t>
      </w:r>
      <w:r w:rsidRPr="00926B60">
        <w:rPr>
          <w:rFonts w:ascii="Times New Roman" w:hAnsi="Times New Roman"/>
          <w:sz w:val="24"/>
          <w:szCs w:val="24"/>
          <w:lang w:eastAsia="sk-SK"/>
        </w:rPr>
        <w:t xml:space="preserve">republike. </w:t>
      </w:r>
      <w:r w:rsidRPr="00926B60">
        <w:rPr>
          <w:rFonts w:ascii="Times New Roman" w:hAnsi="Times New Roman"/>
          <w:bCs/>
          <w:sz w:val="24"/>
          <w:szCs w:val="24"/>
          <w:lang w:eastAsia="sk-SK"/>
        </w:rPr>
        <w:t>Zoskupenie bude plniť úlohy rámci zostavy MNB-L.</w:t>
      </w:r>
      <w:r w:rsidR="00DB14FF">
        <w:rPr>
          <w:rFonts w:ascii="Times New Roman" w:hAnsi="Times New Roman"/>
          <w:bCs/>
          <w:sz w:val="24"/>
          <w:szCs w:val="24"/>
          <w:lang w:eastAsia="sk-SK"/>
        </w:rPr>
        <w:t xml:space="preserve"> </w:t>
      </w:r>
      <w:r w:rsidR="00B87E48" w:rsidRPr="00DB14FF">
        <w:rPr>
          <w:rFonts w:ascii="Times New Roman" w:hAnsi="Times New Roman" w:cs="Times New Roman"/>
          <w:bCs/>
          <w:color w:val="000000"/>
          <w:sz w:val="24"/>
          <w:szCs w:val="24"/>
        </w:rPr>
        <w:t>Príslušníci ozbrojených síl S</w:t>
      </w:r>
      <w:r w:rsidR="00332C0E">
        <w:rPr>
          <w:rFonts w:ascii="Times New Roman" w:hAnsi="Times New Roman" w:cs="Times New Roman"/>
          <w:bCs/>
          <w:color w:val="000000"/>
          <w:sz w:val="24"/>
          <w:szCs w:val="24"/>
        </w:rPr>
        <w:t>lovenskej republiky</w:t>
      </w:r>
      <w:r w:rsidR="00B87E48" w:rsidRPr="00DB14FF">
        <w:rPr>
          <w:rFonts w:ascii="Times New Roman" w:hAnsi="Times New Roman" w:cs="Times New Roman"/>
          <w:bCs/>
          <w:color w:val="000000"/>
          <w:sz w:val="24"/>
          <w:szCs w:val="24"/>
        </w:rPr>
        <w:t xml:space="preserve"> </w:t>
      </w:r>
      <w:r w:rsidR="00DB14FF" w:rsidRPr="00DB14FF">
        <w:rPr>
          <w:rFonts w:ascii="Times New Roman" w:hAnsi="Times New Roman" w:cs="Times New Roman"/>
          <w:bCs/>
          <w:color w:val="000000"/>
          <w:sz w:val="24"/>
          <w:szCs w:val="24"/>
        </w:rPr>
        <w:t xml:space="preserve">sa </w:t>
      </w:r>
      <w:r w:rsidR="00B87E48" w:rsidRPr="00DB14FF">
        <w:rPr>
          <w:rFonts w:ascii="Times New Roman" w:hAnsi="Times New Roman" w:cs="Times New Roman"/>
          <w:bCs/>
          <w:color w:val="000000"/>
          <w:sz w:val="24"/>
          <w:szCs w:val="24"/>
        </w:rPr>
        <w:t xml:space="preserve">v rámci </w:t>
      </w:r>
      <w:r w:rsidR="00DB14FF" w:rsidRPr="00DB14FF">
        <w:rPr>
          <w:rFonts w:ascii="Times New Roman" w:hAnsi="Times New Roman" w:cs="Times New Roman"/>
          <w:bCs/>
          <w:color w:val="000000"/>
          <w:sz w:val="24"/>
          <w:szCs w:val="24"/>
        </w:rPr>
        <w:t>FLF</w:t>
      </w:r>
      <w:r w:rsidR="00B87E48" w:rsidRPr="00DB14FF">
        <w:rPr>
          <w:rFonts w:ascii="Times New Roman" w:hAnsi="Times New Roman" w:cs="Times New Roman"/>
          <w:bCs/>
          <w:color w:val="000000"/>
          <w:sz w:val="24"/>
          <w:szCs w:val="24"/>
        </w:rPr>
        <w:t xml:space="preserve"> vysielajú:</w:t>
      </w:r>
    </w:p>
    <w:p w14:paraId="05E9D964" w14:textId="77777777" w:rsidR="00DB14FF" w:rsidRPr="00DB14FF" w:rsidRDefault="00DB14FF" w:rsidP="00DB14FF">
      <w:pPr>
        <w:spacing w:after="0" w:line="240" w:lineRule="auto"/>
        <w:ind w:firstLine="425"/>
        <w:jc w:val="both"/>
        <w:rPr>
          <w:rFonts w:ascii="Times New Roman" w:hAnsi="Times New Roman"/>
          <w:bCs/>
          <w:sz w:val="24"/>
          <w:szCs w:val="24"/>
          <w:lang w:eastAsia="sk-SK"/>
        </w:rPr>
      </w:pPr>
    </w:p>
    <w:p w14:paraId="07E8BB26" w14:textId="4C64B593" w:rsidR="00B87E48" w:rsidRPr="007410A1" w:rsidRDefault="0041016C" w:rsidP="00DB14FF">
      <w:pPr>
        <w:pStyle w:val="Normlnywebov"/>
        <w:numPr>
          <w:ilvl w:val="0"/>
          <w:numId w:val="10"/>
        </w:numPr>
        <w:spacing w:before="0" w:beforeAutospacing="0" w:after="0" w:afterAutospacing="0"/>
        <w:jc w:val="both"/>
        <w:rPr>
          <w:color w:val="000000"/>
        </w:rPr>
      </w:pPr>
      <w:r>
        <w:rPr>
          <w:color w:val="000000"/>
        </w:rPr>
        <w:t>na účely</w:t>
      </w:r>
      <w:r w:rsidR="00B87E48" w:rsidRPr="007410A1">
        <w:rPr>
          <w:color w:val="000000"/>
        </w:rPr>
        <w:t xml:space="preserve"> preukázania pripravenosti členských štátov NATO reagovať na prípadné bezpečnostné hrozby v súlade s čl. 5 Severoatlantickej zmluvy;  </w:t>
      </w:r>
    </w:p>
    <w:p w14:paraId="06604945" w14:textId="0165A14C" w:rsidR="00B87E48" w:rsidRPr="007410A1" w:rsidRDefault="00B87E48" w:rsidP="00DB14FF">
      <w:pPr>
        <w:pStyle w:val="Normlnywebov"/>
        <w:numPr>
          <w:ilvl w:val="0"/>
          <w:numId w:val="10"/>
        </w:numPr>
        <w:spacing w:before="0" w:beforeAutospacing="0" w:after="0" w:afterAutospacing="0"/>
        <w:jc w:val="both"/>
        <w:rPr>
          <w:color w:val="000000"/>
        </w:rPr>
      </w:pPr>
      <w:r w:rsidRPr="007410A1">
        <w:rPr>
          <w:color w:val="000000"/>
        </w:rPr>
        <w:t>do miesta pôsobenia na území Lotyšskej republiky s dislokáciou vo výcvikovom priestore Ada</w:t>
      </w:r>
      <w:r w:rsidR="00DB14FF">
        <w:rPr>
          <w:color w:val="000000"/>
        </w:rPr>
        <w:t>ž</w:t>
      </w:r>
      <w:r w:rsidRPr="007410A1">
        <w:rPr>
          <w:color w:val="000000"/>
        </w:rPr>
        <w:t xml:space="preserve">i v rámci </w:t>
      </w:r>
      <w:r>
        <w:rPr>
          <w:color w:val="000000"/>
        </w:rPr>
        <w:t>mnohonárodnej brigády</w:t>
      </w:r>
      <w:r w:rsidRPr="007410A1">
        <w:rPr>
          <w:color w:val="000000"/>
        </w:rPr>
        <w:t xml:space="preserve"> pod velením veliteľa bojovej </w:t>
      </w:r>
      <w:r>
        <w:rPr>
          <w:color w:val="000000"/>
        </w:rPr>
        <w:t>brigády</w:t>
      </w:r>
      <w:r w:rsidRPr="007410A1">
        <w:rPr>
          <w:color w:val="000000"/>
        </w:rPr>
        <w:t xml:space="preserve"> s možnosťou ich pôsobenia na celom území Lotyšskej republiky, ako aj na</w:t>
      </w:r>
      <w:r>
        <w:rPr>
          <w:color w:val="000000"/>
        </w:rPr>
        <w:t> </w:t>
      </w:r>
      <w:r w:rsidRPr="007410A1">
        <w:rPr>
          <w:color w:val="000000"/>
        </w:rPr>
        <w:t xml:space="preserve">územiach Litovskej republiky, Estónskej republiky a Poľskej republiky;  </w:t>
      </w:r>
    </w:p>
    <w:p w14:paraId="36E792D7" w14:textId="51501082" w:rsidR="00B87E48" w:rsidRPr="00DB14FF" w:rsidRDefault="00B87E48" w:rsidP="00DB14FF">
      <w:pPr>
        <w:pStyle w:val="Normlnywebov"/>
        <w:numPr>
          <w:ilvl w:val="0"/>
          <w:numId w:val="10"/>
        </w:numPr>
        <w:spacing w:before="0" w:beforeAutospacing="0" w:after="0" w:afterAutospacing="0"/>
        <w:jc w:val="both"/>
        <w:rPr>
          <w:bCs/>
          <w:color w:val="000000"/>
        </w:rPr>
      </w:pPr>
      <w:r w:rsidRPr="00DB14FF">
        <w:rPr>
          <w:bCs/>
          <w:color w:val="000000"/>
        </w:rPr>
        <w:t xml:space="preserve">v termíne od </w:t>
      </w:r>
      <w:r w:rsidR="00DB14FF" w:rsidRPr="00DB14FF">
        <w:rPr>
          <w:bCs/>
          <w:color w:val="000000"/>
        </w:rPr>
        <w:t>schválenia mandátu</w:t>
      </w:r>
      <w:r w:rsidRPr="00DB14FF">
        <w:rPr>
          <w:bCs/>
          <w:color w:val="000000"/>
        </w:rPr>
        <w:t xml:space="preserve"> do ukončenia FLF;</w:t>
      </w:r>
    </w:p>
    <w:p w14:paraId="35866A50" w14:textId="1840BCA4" w:rsidR="00B87E48" w:rsidRPr="007410A1" w:rsidRDefault="00B87E48" w:rsidP="00DB14FF">
      <w:pPr>
        <w:pStyle w:val="Normlnywebov"/>
        <w:numPr>
          <w:ilvl w:val="0"/>
          <w:numId w:val="10"/>
        </w:numPr>
        <w:spacing w:before="0" w:beforeAutospacing="0" w:after="0" w:afterAutospacing="0"/>
        <w:jc w:val="both"/>
        <w:rPr>
          <w:color w:val="000000"/>
        </w:rPr>
      </w:pPr>
      <w:r w:rsidRPr="007410A1">
        <w:rPr>
          <w:color w:val="000000"/>
        </w:rPr>
        <w:t>so zotrvaním pod národným velením S</w:t>
      </w:r>
      <w:r w:rsidR="00332C0E">
        <w:rPr>
          <w:color w:val="000000"/>
        </w:rPr>
        <w:t>lovenskej republiky</w:t>
      </w:r>
      <w:r w:rsidRPr="007410A1">
        <w:rPr>
          <w:color w:val="000000"/>
        </w:rPr>
        <w:t xml:space="preserve">, t. j. pod velením </w:t>
      </w:r>
      <w:r w:rsidR="00332C0E">
        <w:rPr>
          <w:color w:val="000000"/>
        </w:rPr>
        <w:br/>
      </w:r>
      <w:r w:rsidRPr="007410A1">
        <w:rPr>
          <w:color w:val="000000"/>
        </w:rPr>
        <w:t>tzv. národných autorít v súlade s právnym poriadkom S</w:t>
      </w:r>
      <w:r w:rsidR="00B15D87">
        <w:rPr>
          <w:color w:val="000000"/>
        </w:rPr>
        <w:t>lovenskej republiky</w:t>
      </w:r>
      <w:r w:rsidRPr="007410A1">
        <w:rPr>
          <w:color w:val="00B050"/>
        </w:rPr>
        <w:t xml:space="preserve"> </w:t>
      </w:r>
      <w:r w:rsidRPr="007410A1">
        <w:rPr>
          <w:color w:val="000000"/>
        </w:rPr>
        <w:t>a plnením úloh pod taktickým riadením veliteľ</w:t>
      </w:r>
      <w:r>
        <w:rPr>
          <w:color w:val="000000"/>
        </w:rPr>
        <w:t xml:space="preserve">a mnohonárodnej </w:t>
      </w:r>
      <w:r w:rsidR="00DB14FF">
        <w:rPr>
          <w:color w:val="000000"/>
        </w:rPr>
        <w:t>brigády</w:t>
      </w:r>
      <w:r w:rsidRPr="007410A1">
        <w:rPr>
          <w:color w:val="000000"/>
        </w:rPr>
        <w:t>;</w:t>
      </w:r>
    </w:p>
    <w:p w14:paraId="00A9504A" w14:textId="55539909" w:rsidR="00B87E48" w:rsidRPr="007410A1" w:rsidRDefault="00B87E48" w:rsidP="00DB14FF">
      <w:pPr>
        <w:pStyle w:val="Normlnywebov"/>
        <w:numPr>
          <w:ilvl w:val="0"/>
          <w:numId w:val="10"/>
        </w:numPr>
        <w:spacing w:before="0" w:beforeAutospacing="0" w:after="0" w:afterAutospacing="0"/>
        <w:jc w:val="both"/>
        <w:rPr>
          <w:color w:val="000000"/>
        </w:rPr>
      </w:pPr>
      <w:r w:rsidRPr="007410A1">
        <w:rPr>
          <w:color w:val="000000"/>
        </w:rPr>
        <w:t>s tým, že spolupráca s príslušnými orgánmi NATO, ako aj zahraničnými partnermi v oblastiach riadenia, činnosti</w:t>
      </w:r>
      <w:r w:rsidRPr="007410A1">
        <w:rPr>
          <w:color w:val="00B050"/>
        </w:rPr>
        <w:t xml:space="preserve"> </w:t>
      </w:r>
      <w:r w:rsidRPr="007410A1">
        <w:rPr>
          <w:color w:val="000000"/>
        </w:rPr>
        <w:t xml:space="preserve"> a zabezpečenia príslušníkov ozbrojených síl S</w:t>
      </w:r>
      <w:r w:rsidR="00B15D87">
        <w:rPr>
          <w:color w:val="000000"/>
        </w:rPr>
        <w:t>lovenskej republiky</w:t>
      </w:r>
      <w:r w:rsidRPr="007410A1">
        <w:rPr>
          <w:color w:val="000000"/>
        </w:rPr>
        <w:t xml:space="preserve"> počas ich pôsobenia mimo územia S</w:t>
      </w:r>
      <w:r w:rsidR="00332C0E">
        <w:rPr>
          <w:color w:val="000000"/>
        </w:rPr>
        <w:t>lovenskej republiky</w:t>
      </w:r>
      <w:r w:rsidRPr="007410A1">
        <w:rPr>
          <w:color w:val="000000"/>
        </w:rPr>
        <w:t xml:space="preserve"> bude v súlade s týmto návrhom  zabezpečená prostredníctvom Ministerstva obrany S</w:t>
      </w:r>
      <w:r w:rsidR="00332C0E">
        <w:rPr>
          <w:color w:val="000000"/>
        </w:rPr>
        <w:t>lovenskej republiky</w:t>
      </w:r>
      <w:r w:rsidRPr="007410A1">
        <w:rPr>
          <w:color w:val="000000"/>
        </w:rPr>
        <w:t xml:space="preserve"> a ozbrojených síl S</w:t>
      </w:r>
      <w:r w:rsidR="00332C0E">
        <w:rPr>
          <w:color w:val="000000"/>
        </w:rPr>
        <w:t>lovenskej republiky</w:t>
      </w:r>
      <w:r w:rsidRPr="007410A1">
        <w:rPr>
          <w:color w:val="000000"/>
        </w:rPr>
        <w:t>.</w:t>
      </w:r>
    </w:p>
    <w:p w14:paraId="5ADEC033" w14:textId="05FBAF2F" w:rsidR="0063799C" w:rsidRPr="00926B60" w:rsidRDefault="0063799C" w:rsidP="00DB14FF">
      <w:pPr>
        <w:spacing w:after="0" w:line="240" w:lineRule="auto"/>
        <w:jc w:val="both"/>
        <w:rPr>
          <w:rFonts w:ascii="Times New Roman" w:hAnsi="Times New Roman"/>
          <w:sz w:val="24"/>
          <w:szCs w:val="24"/>
          <w:lang w:eastAsia="sk-SK"/>
        </w:rPr>
      </w:pPr>
    </w:p>
    <w:p w14:paraId="5D61D27F" w14:textId="392C8487" w:rsidR="00926B60" w:rsidRPr="00926B60" w:rsidRDefault="00926B60" w:rsidP="0000224E">
      <w:pPr>
        <w:pStyle w:val="CharCharCharCharCharCharCharCharCharCharCharCharChar"/>
        <w:spacing w:after="0" w:line="240" w:lineRule="auto"/>
        <w:jc w:val="both"/>
        <w:rPr>
          <w:rFonts w:ascii="Times New Roman" w:hAnsi="Times New Roman"/>
          <w:sz w:val="24"/>
          <w:szCs w:val="24"/>
          <w:lang w:val="sk-SK" w:eastAsia="sk-SK"/>
        </w:rPr>
      </w:pPr>
      <w:r w:rsidRPr="00926B60">
        <w:rPr>
          <w:rFonts w:ascii="Times New Roman" w:hAnsi="Times New Roman"/>
          <w:sz w:val="24"/>
          <w:szCs w:val="24"/>
          <w:lang w:val="sk-SK" w:eastAsia="sk-SK"/>
        </w:rPr>
        <w:t>Účelové zoskupenie ozbrojených</w:t>
      </w:r>
      <w:r w:rsidRPr="00926B60">
        <w:rPr>
          <w:rFonts w:ascii="Times New Roman" w:hAnsi="Times New Roman"/>
          <w:spacing w:val="7"/>
          <w:sz w:val="24"/>
          <w:szCs w:val="24"/>
          <w:lang w:val="sk-SK" w:eastAsia="sk-SK"/>
        </w:rPr>
        <w:t xml:space="preserve"> </w:t>
      </w:r>
      <w:r w:rsidRPr="00926B60">
        <w:rPr>
          <w:rFonts w:ascii="Times New Roman" w:hAnsi="Times New Roman"/>
          <w:sz w:val="24"/>
          <w:szCs w:val="24"/>
          <w:lang w:val="sk-SK" w:eastAsia="sk-SK"/>
        </w:rPr>
        <w:t>síl</w:t>
      </w:r>
      <w:r w:rsidRPr="00926B60">
        <w:rPr>
          <w:rFonts w:ascii="Times New Roman" w:hAnsi="Times New Roman"/>
          <w:spacing w:val="7"/>
          <w:sz w:val="24"/>
          <w:szCs w:val="24"/>
          <w:lang w:val="sk-SK" w:eastAsia="sk-SK"/>
        </w:rPr>
        <w:t xml:space="preserve"> </w:t>
      </w:r>
      <w:r w:rsidRPr="00926B60">
        <w:rPr>
          <w:rFonts w:ascii="Times New Roman" w:hAnsi="Times New Roman"/>
          <w:sz w:val="24"/>
          <w:szCs w:val="24"/>
          <w:lang w:val="sk-SK" w:eastAsia="sk-SK"/>
        </w:rPr>
        <w:t>S</w:t>
      </w:r>
      <w:r w:rsidR="00332C0E">
        <w:rPr>
          <w:rFonts w:ascii="Times New Roman" w:hAnsi="Times New Roman"/>
          <w:sz w:val="24"/>
          <w:szCs w:val="24"/>
          <w:lang w:val="sk-SK" w:eastAsia="sk-SK"/>
        </w:rPr>
        <w:t>lovenskej republiky</w:t>
      </w:r>
      <w:r w:rsidRPr="00926B60">
        <w:rPr>
          <w:rFonts w:ascii="Times New Roman" w:hAnsi="Times New Roman"/>
          <w:spacing w:val="7"/>
          <w:sz w:val="24"/>
          <w:szCs w:val="24"/>
          <w:lang w:val="sk-SK" w:eastAsia="sk-SK"/>
        </w:rPr>
        <w:t xml:space="preserve"> </w:t>
      </w:r>
      <w:r w:rsidRPr="00926B60">
        <w:rPr>
          <w:rFonts w:ascii="Times New Roman" w:hAnsi="Times New Roman"/>
          <w:sz w:val="24"/>
          <w:szCs w:val="24"/>
          <w:lang w:val="sk-SK" w:eastAsia="sk-SK"/>
        </w:rPr>
        <w:t>pozostáva z:</w:t>
      </w:r>
    </w:p>
    <w:p w14:paraId="0CD54B74" w14:textId="77777777" w:rsidR="00926B60" w:rsidRPr="00926B60" w:rsidRDefault="00926B60" w:rsidP="00B87E48">
      <w:pPr>
        <w:pStyle w:val="CharCharCharCharCharCharCharCharCharCharCharCharChar"/>
        <w:numPr>
          <w:ilvl w:val="0"/>
          <w:numId w:val="4"/>
        </w:numPr>
        <w:spacing w:after="0" w:line="240" w:lineRule="auto"/>
        <w:ind w:left="1134" w:hanging="357"/>
        <w:jc w:val="both"/>
        <w:rPr>
          <w:rFonts w:ascii="Times New Roman" w:hAnsi="Times New Roman"/>
          <w:sz w:val="24"/>
          <w:szCs w:val="24"/>
          <w:lang w:val="sk-SK" w:eastAsia="sk-SK"/>
        </w:rPr>
      </w:pPr>
      <w:r w:rsidRPr="00926B60">
        <w:rPr>
          <w:rFonts w:ascii="Times New Roman" w:hAnsi="Times New Roman"/>
          <w:bCs/>
          <w:sz w:val="24"/>
          <w:szCs w:val="24"/>
          <w:lang w:val="sk-SK" w:eastAsia="sk-SK"/>
        </w:rPr>
        <w:t xml:space="preserve">národného veliteľského a podporného prvku </w:t>
      </w:r>
      <w:r w:rsidRPr="00926B60">
        <w:rPr>
          <w:rFonts w:ascii="Times New Roman" w:hAnsi="Times New Roman"/>
          <w:sz w:val="24"/>
          <w:szCs w:val="24"/>
          <w:lang w:val="sk-SK" w:eastAsia="sk-SK"/>
        </w:rPr>
        <w:t>v počte do 30 PrV,</w:t>
      </w:r>
    </w:p>
    <w:p w14:paraId="6DBC482D" w14:textId="77777777" w:rsidR="00926B60" w:rsidRPr="00926B60" w:rsidRDefault="00926B60" w:rsidP="00B87E48">
      <w:pPr>
        <w:pStyle w:val="CharCharCharCharCharCharCharCharCharCharCharCharChar"/>
        <w:numPr>
          <w:ilvl w:val="0"/>
          <w:numId w:val="4"/>
        </w:numPr>
        <w:spacing w:after="0" w:line="240" w:lineRule="auto"/>
        <w:ind w:left="1134" w:hanging="357"/>
        <w:jc w:val="both"/>
        <w:rPr>
          <w:rFonts w:ascii="Times New Roman" w:hAnsi="Times New Roman"/>
          <w:sz w:val="24"/>
          <w:szCs w:val="24"/>
          <w:lang w:val="sk-SK" w:eastAsia="sk-SK"/>
        </w:rPr>
      </w:pPr>
      <w:r w:rsidRPr="00926B60">
        <w:rPr>
          <w:rFonts w:ascii="Times New Roman" w:hAnsi="Times New Roman"/>
          <w:bCs/>
          <w:sz w:val="24"/>
          <w:szCs w:val="24"/>
          <w:lang w:val="sk-SK" w:eastAsia="sk-SK"/>
        </w:rPr>
        <w:t>vojenského personálu vo veliteľských štruktúrach</w:t>
      </w:r>
      <w:r w:rsidRPr="00926B60">
        <w:rPr>
          <w:rFonts w:ascii="Times New Roman" w:hAnsi="Times New Roman"/>
          <w:sz w:val="24"/>
          <w:szCs w:val="24"/>
          <w:lang w:val="sk-SK" w:eastAsia="sk-SK"/>
        </w:rPr>
        <w:t xml:space="preserve"> </w:t>
      </w:r>
      <w:r w:rsidRPr="00926B60">
        <w:rPr>
          <w:rFonts w:ascii="Times New Roman" w:hAnsi="Times New Roman"/>
          <w:bCs/>
          <w:sz w:val="24"/>
          <w:szCs w:val="24"/>
          <w:lang w:val="sk-SK" w:eastAsia="sk-SK"/>
        </w:rPr>
        <w:t>MNB-L</w:t>
      </w:r>
      <w:r w:rsidRPr="00926B60">
        <w:rPr>
          <w:rFonts w:ascii="Times New Roman" w:hAnsi="Times New Roman"/>
          <w:sz w:val="24"/>
          <w:szCs w:val="24"/>
          <w:lang w:val="sk-SK" w:eastAsia="sk-SK"/>
        </w:rPr>
        <w:t xml:space="preserve"> v počte do 10 PrV,</w:t>
      </w:r>
    </w:p>
    <w:p w14:paraId="384504BC" w14:textId="617A95B3" w:rsidR="000E601F" w:rsidRPr="00926B60" w:rsidRDefault="00926B60" w:rsidP="00B87E48">
      <w:pPr>
        <w:pStyle w:val="CharCharCharCharCharCharCharCharCharCharCharCharChar"/>
        <w:numPr>
          <w:ilvl w:val="0"/>
          <w:numId w:val="4"/>
        </w:numPr>
        <w:spacing w:after="0" w:line="240" w:lineRule="auto"/>
        <w:ind w:left="1134" w:hanging="357"/>
        <w:jc w:val="both"/>
        <w:rPr>
          <w:rFonts w:ascii="Times New Roman" w:hAnsi="Times New Roman"/>
          <w:sz w:val="24"/>
          <w:szCs w:val="24"/>
          <w:lang w:val="sk-SK" w:eastAsia="sk-SK"/>
        </w:rPr>
      </w:pPr>
      <w:r w:rsidRPr="00926B60">
        <w:rPr>
          <w:rFonts w:ascii="Times New Roman" w:hAnsi="Times New Roman"/>
          <w:bCs/>
          <w:sz w:val="24"/>
          <w:szCs w:val="24"/>
          <w:lang w:val="sk-SK" w:eastAsia="sk-SK"/>
        </w:rPr>
        <w:t xml:space="preserve">jednotky do veľkosti ekvivalentu pozemnej roty/batérie určenej na zabezpečenie </w:t>
      </w:r>
      <w:r w:rsidR="009514BE">
        <w:rPr>
          <w:rFonts w:ascii="Times New Roman" w:hAnsi="Times New Roman"/>
          <w:bCs/>
          <w:sz w:val="24"/>
          <w:szCs w:val="24"/>
          <w:lang w:val="sk-SK" w:eastAsia="sk-SK"/>
        </w:rPr>
        <w:t xml:space="preserve">bojovej </w:t>
      </w:r>
      <w:r w:rsidRPr="00926B60">
        <w:rPr>
          <w:rFonts w:ascii="Times New Roman" w:hAnsi="Times New Roman"/>
          <w:bCs/>
          <w:sz w:val="24"/>
          <w:szCs w:val="24"/>
          <w:lang w:val="sk-SK" w:eastAsia="sk-SK"/>
        </w:rPr>
        <w:t>spôsobilost</w:t>
      </w:r>
      <w:r w:rsidR="009514BE">
        <w:rPr>
          <w:rFonts w:ascii="Times New Roman" w:hAnsi="Times New Roman"/>
          <w:bCs/>
          <w:sz w:val="24"/>
          <w:szCs w:val="24"/>
          <w:lang w:val="sk-SK" w:eastAsia="sk-SK"/>
        </w:rPr>
        <w:t>i,</w:t>
      </w:r>
      <w:r w:rsidRPr="00926B60">
        <w:rPr>
          <w:rFonts w:ascii="Times New Roman" w:hAnsi="Times New Roman"/>
          <w:bCs/>
          <w:sz w:val="24"/>
          <w:szCs w:val="24"/>
          <w:lang w:val="sk-SK" w:eastAsia="sk-SK"/>
        </w:rPr>
        <w:t xml:space="preserve"> bojovej </w:t>
      </w:r>
      <w:r w:rsidR="00077B00">
        <w:rPr>
          <w:rFonts w:ascii="Times New Roman" w:hAnsi="Times New Roman"/>
          <w:bCs/>
          <w:sz w:val="24"/>
          <w:szCs w:val="24"/>
          <w:lang w:val="sk-SK" w:eastAsia="sk-SK"/>
        </w:rPr>
        <w:t xml:space="preserve">podpory </w:t>
      </w:r>
      <w:r w:rsidRPr="00926B60">
        <w:rPr>
          <w:rFonts w:ascii="Times New Roman" w:hAnsi="Times New Roman"/>
          <w:bCs/>
          <w:sz w:val="24"/>
          <w:szCs w:val="24"/>
          <w:lang w:val="sk-SK" w:eastAsia="sk-SK"/>
        </w:rPr>
        <w:t>a bojového zabezpečenia v počte do 110 PrV</w:t>
      </w:r>
      <w:r w:rsidRPr="00926B60">
        <w:rPr>
          <w:rFonts w:ascii="Times New Roman" w:hAnsi="Times New Roman"/>
          <w:sz w:val="24"/>
          <w:szCs w:val="24"/>
          <w:lang w:val="sk-SK" w:eastAsia="sk-SK"/>
        </w:rPr>
        <w:t>,</w:t>
      </w:r>
    </w:p>
    <w:p w14:paraId="7A84F9DA" w14:textId="2D4220CE" w:rsidR="001349B1" w:rsidRPr="00B87E48" w:rsidRDefault="00C0227A" w:rsidP="00B87E48">
      <w:pPr>
        <w:pStyle w:val="Normlnywebov"/>
        <w:numPr>
          <w:ilvl w:val="0"/>
          <w:numId w:val="4"/>
        </w:numPr>
        <w:spacing w:before="0" w:beforeAutospacing="0" w:after="0" w:afterAutospacing="0"/>
        <w:ind w:left="1134"/>
        <w:jc w:val="both"/>
        <w:rPr>
          <w:u w:val="single"/>
        </w:rPr>
      </w:pPr>
      <w:r w:rsidRPr="00926B60">
        <w:rPr>
          <w:bCs/>
        </w:rPr>
        <w:t>tímu Vojenskej</w:t>
      </w:r>
      <w:r w:rsidRPr="00926B60">
        <w:rPr>
          <w:bCs/>
          <w:spacing w:val="41"/>
        </w:rPr>
        <w:t xml:space="preserve"> </w:t>
      </w:r>
      <w:r w:rsidRPr="00926B60">
        <w:rPr>
          <w:bCs/>
        </w:rPr>
        <w:t xml:space="preserve">polície </w:t>
      </w:r>
      <w:r w:rsidRPr="00926B60">
        <w:t>v počte do 5 PrV</w:t>
      </w:r>
      <w:r w:rsidR="001349B1" w:rsidRPr="00926B60">
        <w:t xml:space="preserve"> na plnenie úloh v rámci medzinárodnej jednotky (</w:t>
      </w:r>
      <w:r w:rsidR="001349B1" w:rsidRPr="00B87E48">
        <w:rPr>
          <w:i/>
          <w:iCs/>
        </w:rPr>
        <w:t>Military Police Co-ordination Centre</w:t>
      </w:r>
      <w:r w:rsidR="001349B1" w:rsidRPr="00926B60">
        <w:t xml:space="preserve">) s cieľom plnenia opatrení pre udržanie poriadku a bezpečnosti vo všetkých vojenských zariadeniach </w:t>
      </w:r>
      <w:r w:rsidR="00B15D87">
        <w:br/>
      </w:r>
      <w:r w:rsidR="001349B1" w:rsidRPr="00926B60">
        <w:t>a koordináciu úloh s miestnou civilnou políciou v priestore plnenia úloh príslušníkov ozbrojených síl S</w:t>
      </w:r>
      <w:r w:rsidR="00B15D87">
        <w:t>lovenskej republiky</w:t>
      </w:r>
      <w:r w:rsidR="001349B1" w:rsidRPr="00926B60">
        <w:t>. Zároveň budú zabezpečovať podporu pre plnenie úloh príslušníkov ozbrojených síl S</w:t>
      </w:r>
      <w:r w:rsidR="00B15D87">
        <w:t>lovenskej republiky</w:t>
      </w:r>
      <w:r w:rsidR="001349B1" w:rsidRPr="00926B60">
        <w:t xml:space="preserve"> v rámci operácie FLF Lotyšsko.</w:t>
      </w:r>
    </w:p>
    <w:p w14:paraId="5FF7ADE6" w14:textId="6E13D88A" w:rsidR="0063799C" w:rsidRPr="0063799C" w:rsidRDefault="0063799C" w:rsidP="00B87E48">
      <w:pPr>
        <w:spacing w:after="0" w:line="240" w:lineRule="auto"/>
        <w:ind w:firstLine="426"/>
        <w:jc w:val="both"/>
        <w:rPr>
          <w:rFonts w:ascii="Times New Roman" w:hAnsi="Times New Roman" w:cs="Times New Roman"/>
          <w:color w:val="000000"/>
          <w:sz w:val="24"/>
          <w:szCs w:val="24"/>
          <w:lang w:eastAsia="sk-SK"/>
        </w:rPr>
      </w:pPr>
      <w:r w:rsidRPr="00B87E48">
        <w:rPr>
          <w:rFonts w:ascii="Times New Roman" w:hAnsi="Times New Roman" w:cs="Times New Roman"/>
          <w:color w:val="000000"/>
          <w:sz w:val="24"/>
          <w:szCs w:val="24"/>
          <w:lang w:eastAsia="sk-SK"/>
        </w:rPr>
        <w:lastRenderedPageBreak/>
        <w:t>Zoznam vysielanej techniky:</w:t>
      </w:r>
    </w:p>
    <w:p w14:paraId="3BD741EC" w14:textId="77777777" w:rsidR="0063799C" w:rsidRPr="00B87E48" w:rsidRDefault="0063799C" w:rsidP="00B87E48">
      <w:pPr>
        <w:pStyle w:val="Odsekzoznamu"/>
        <w:numPr>
          <w:ilvl w:val="0"/>
          <w:numId w:val="7"/>
        </w:numPr>
        <w:jc w:val="both"/>
        <w:rPr>
          <w:color w:val="000000"/>
          <w:sz w:val="24"/>
          <w:szCs w:val="24"/>
          <w:lang w:eastAsia="sk-SK"/>
        </w:rPr>
      </w:pPr>
      <w:r w:rsidRPr="00B87E48">
        <w:rPr>
          <w:color w:val="000000"/>
          <w:sz w:val="24"/>
          <w:szCs w:val="24"/>
          <w:lang w:eastAsia="sk-SK"/>
        </w:rPr>
        <w:t>do 56 ks kolesovej techniky</w:t>
      </w:r>
    </w:p>
    <w:p w14:paraId="08CA48D9" w14:textId="77777777" w:rsidR="0063799C" w:rsidRPr="0063799C" w:rsidRDefault="0063799C" w:rsidP="00B87E48">
      <w:pPr>
        <w:spacing w:after="0" w:line="240" w:lineRule="auto"/>
        <w:ind w:firstLine="426"/>
        <w:jc w:val="both"/>
        <w:rPr>
          <w:rFonts w:ascii="Times New Roman" w:hAnsi="Times New Roman" w:cs="Times New Roman"/>
          <w:color w:val="000000"/>
          <w:sz w:val="24"/>
          <w:szCs w:val="24"/>
          <w:lang w:eastAsia="sk-SK"/>
        </w:rPr>
      </w:pPr>
      <w:r w:rsidRPr="00B87E48">
        <w:rPr>
          <w:rFonts w:ascii="Times New Roman" w:hAnsi="Times New Roman" w:cs="Times New Roman"/>
          <w:color w:val="000000"/>
          <w:sz w:val="24"/>
          <w:szCs w:val="24"/>
          <w:lang w:eastAsia="sk-SK"/>
        </w:rPr>
        <w:t>Zoznam materiálu:</w:t>
      </w:r>
    </w:p>
    <w:p w14:paraId="5359573E" w14:textId="5817EB8C" w:rsidR="0063799C" w:rsidRPr="00B87E48" w:rsidRDefault="0063799C" w:rsidP="0000224E">
      <w:pPr>
        <w:pStyle w:val="Odsekzoznamu"/>
        <w:numPr>
          <w:ilvl w:val="0"/>
          <w:numId w:val="8"/>
        </w:numPr>
        <w:ind w:left="1134" w:hanging="283"/>
        <w:jc w:val="both"/>
        <w:rPr>
          <w:color w:val="000000"/>
          <w:sz w:val="24"/>
          <w:szCs w:val="24"/>
          <w:lang w:eastAsia="sk-SK"/>
        </w:rPr>
      </w:pPr>
      <w:r w:rsidRPr="00B87E48">
        <w:rPr>
          <w:color w:val="000000"/>
          <w:sz w:val="24"/>
          <w:szCs w:val="24"/>
          <w:lang w:eastAsia="sk-SK"/>
        </w:rPr>
        <w:t>prístroje diaľkovej RCHBO detekcie</w:t>
      </w:r>
    </w:p>
    <w:p w14:paraId="2574B805" w14:textId="28B43400" w:rsidR="0063799C" w:rsidRPr="00B87E48" w:rsidRDefault="0063799C" w:rsidP="0000224E">
      <w:pPr>
        <w:pStyle w:val="Odsekzoznamu"/>
        <w:numPr>
          <w:ilvl w:val="0"/>
          <w:numId w:val="8"/>
        </w:numPr>
        <w:ind w:left="1134" w:hanging="283"/>
        <w:jc w:val="both"/>
        <w:rPr>
          <w:color w:val="000000"/>
          <w:sz w:val="24"/>
          <w:szCs w:val="24"/>
          <w:lang w:eastAsia="sk-SK"/>
        </w:rPr>
      </w:pPr>
      <w:r w:rsidRPr="00B87E48">
        <w:rPr>
          <w:color w:val="000000"/>
          <w:sz w:val="24"/>
          <w:szCs w:val="24"/>
          <w:lang w:eastAsia="sk-SK"/>
        </w:rPr>
        <w:t>do 55 ks kontajnerov</w:t>
      </w:r>
    </w:p>
    <w:p w14:paraId="09C47122" w14:textId="77777777" w:rsidR="0063799C" w:rsidRPr="00B87E48" w:rsidRDefault="0063799C" w:rsidP="0000224E">
      <w:pPr>
        <w:pStyle w:val="Odsekzoznamu"/>
        <w:numPr>
          <w:ilvl w:val="0"/>
          <w:numId w:val="8"/>
        </w:numPr>
        <w:ind w:left="1134" w:hanging="283"/>
        <w:rPr>
          <w:color w:val="000000"/>
          <w:sz w:val="24"/>
          <w:szCs w:val="24"/>
          <w:lang w:eastAsia="sk-SK"/>
        </w:rPr>
      </w:pPr>
      <w:r w:rsidRPr="00B87E48">
        <w:rPr>
          <w:color w:val="000000"/>
          <w:sz w:val="24"/>
          <w:szCs w:val="24"/>
          <w:lang w:eastAsia="sk-SK"/>
        </w:rPr>
        <w:t xml:space="preserve">do 5 ks ďalekohľadov </w:t>
      </w:r>
    </w:p>
    <w:p w14:paraId="1965EC8C" w14:textId="77777777" w:rsidR="0063799C" w:rsidRPr="0063799C" w:rsidRDefault="0063799C" w:rsidP="00B87E48">
      <w:pPr>
        <w:spacing w:after="0" w:line="240" w:lineRule="auto"/>
        <w:ind w:firstLine="426"/>
        <w:jc w:val="both"/>
        <w:rPr>
          <w:rFonts w:ascii="Times New Roman" w:hAnsi="Times New Roman" w:cs="Times New Roman"/>
          <w:color w:val="000000"/>
          <w:sz w:val="24"/>
          <w:szCs w:val="24"/>
          <w:lang w:eastAsia="sk-SK"/>
        </w:rPr>
      </w:pPr>
      <w:r w:rsidRPr="00B87E48">
        <w:rPr>
          <w:rFonts w:ascii="Times New Roman" w:hAnsi="Times New Roman" w:cs="Times New Roman"/>
          <w:color w:val="000000"/>
          <w:sz w:val="24"/>
          <w:szCs w:val="24"/>
          <w:lang w:eastAsia="sk-SK"/>
        </w:rPr>
        <w:t>Zoznam vysielanej munície:</w:t>
      </w:r>
    </w:p>
    <w:p w14:paraId="76308276" w14:textId="065DB22D" w:rsidR="0063799C" w:rsidRPr="00B87E48" w:rsidRDefault="0063799C" w:rsidP="00B87E48">
      <w:pPr>
        <w:pStyle w:val="Odsekzoznamu"/>
        <w:numPr>
          <w:ilvl w:val="0"/>
          <w:numId w:val="9"/>
        </w:numPr>
        <w:jc w:val="both"/>
        <w:rPr>
          <w:color w:val="000000"/>
          <w:sz w:val="24"/>
          <w:szCs w:val="24"/>
          <w:lang w:eastAsia="sk-SK"/>
        </w:rPr>
      </w:pPr>
      <w:r w:rsidRPr="00B87E48">
        <w:rPr>
          <w:color w:val="000000"/>
          <w:sz w:val="24"/>
          <w:szCs w:val="24"/>
          <w:lang w:eastAsia="sk-SK"/>
        </w:rPr>
        <w:t>výcviková munícia a munícia na zabezpečenie zásob (</w:t>
      </w:r>
      <w:r w:rsidR="007A45C9">
        <w:rPr>
          <w:color w:val="000000"/>
          <w:sz w:val="24"/>
          <w:szCs w:val="24"/>
          <w:lang w:eastAsia="sk-SK"/>
        </w:rPr>
        <w:t>30</w:t>
      </w:r>
      <w:r w:rsidRPr="00B87E48">
        <w:rPr>
          <w:color w:val="000000"/>
          <w:sz w:val="24"/>
          <w:szCs w:val="24"/>
          <w:lang w:eastAsia="sk-SK"/>
        </w:rPr>
        <w:t xml:space="preserve"> DOS)</w:t>
      </w:r>
    </w:p>
    <w:p w14:paraId="1914B932" w14:textId="77777777" w:rsidR="0063799C" w:rsidRPr="0063799C" w:rsidRDefault="0063799C" w:rsidP="00B87E48">
      <w:pPr>
        <w:spacing w:after="0" w:line="240" w:lineRule="auto"/>
        <w:ind w:firstLine="426"/>
        <w:jc w:val="both"/>
        <w:rPr>
          <w:rFonts w:ascii="Times New Roman" w:hAnsi="Times New Roman" w:cs="Times New Roman"/>
          <w:color w:val="000000"/>
          <w:sz w:val="24"/>
          <w:szCs w:val="24"/>
          <w:lang w:eastAsia="sk-SK"/>
        </w:rPr>
      </w:pPr>
      <w:r w:rsidRPr="00B87E48">
        <w:rPr>
          <w:rFonts w:ascii="Times New Roman" w:hAnsi="Times New Roman" w:cs="Times New Roman"/>
          <w:color w:val="000000"/>
          <w:sz w:val="24"/>
          <w:szCs w:val="24"/>
          <w:lang w:eastAsia="sk-SK"/>
        </w:rPr>
        <w:t>Zoznam vysielaných zbraní:</w:t>
      </w:r>
    </w:p>
    <w:p w14:paraId="4B116092" w14:textId="77777777" w:rsidR="0063799C" w:rsidRPr="00B87E48" w:rsidRDefault="0063799C" w:rsidP="00B87E48">
      <w:pPr>
        <w:pStyle w:val="Odsekzoznamu"/>
        <w:numPr>
          <w:ilvl w:val="0"/>
          <w:numId w:val="9"/>
        </w:numPr>
        <w:jc w:val="both"/>
        <w:rPr>
          <w:color w:val="000000"/>
          <w:sz w:val="24"/>
          <w:szCs w:val="24"/>
          <w:lang w:eastAsia="sk-SK"/>
        </w:rPr>
      </w:pPr>
      <w:r w:rsidRPr="00B87E48">
        <w:rPr>
          <w:color w:val="000000"/>
          <w:sz w:val="24"/>
          <w:szCs w:val="24"/>
          <w:lang w:eastAsia="sk-SK"/>
        </w:rPr>
        <w:t>do 310 ks ručných zbraní.</w:t>
      </w:r>
    </w:p>
    <w:p w14:paraId="064A003C" w14:textId="77777777" w:rsidR="0063799C" w:rsidRPr="00926B60" w:rsidRDefault="0063799C" w:rsidP="00B87E48">
      <w:pPr>
        <w:pStyle w:val="Normlnywebov"/>
        <w:spacing w:before="0" w:beforeAutospacing="0" w:after="120" w:afterAutospacing="0"/>
        <w:jc w:val="both"/>
        <w:rPr>
          <w:u w:val="single"/>
        </w:rPr>
      </w:pPr>
    </w:p>
    <w:p w14:paraId="40C01AE5" w14:textId="2FE3B5D5" w:rsidR="00766CA8" w:rsidRPr="00F34F5C" w:rsidRDefault="000E601F" w:rsidP="00926B60">
      <w:pPr>
        <w:pStyle w:val="Normlnywebov"/>
        <w:numPr>
          <w:ilvl w:val="0"/>
          <w:numId w:val="1"/>
        </w:numPr>
        <w:spacing w:before="0" w:beforeAutospacing="0" w:after="120" w:afterAutospacing="0"/>
        <w:ind w:left="426" w:hanging="426"/>
        <w:jc w:val="both"/>
      </w:pPr>
      <w:r w:rsidRPr="00D147EE">
        <w:rPr>
          <w:u w:val="single"/>
        </w:rPr>
        <w:t>Právne aspekty návrhu</w:t>
      </w:r>
    </w:p>
    <w:p w14:paraId="24D48AD3" w14:textId="0247F828" w:rsidR="00766CA8" w:rsidRDefault="00766CA8" w:rsidP="00926B60">
      <w:pPr>
        <w:pStyle w:val="Normlnywebov"/>
        <w:spacing w:before="120" w:beforeAutospacing="0" w:after="120" w:afterAutospacing="0"/>
        <w:ind w:firstLine="708"/>
        <w:jc w:val="both"/>
        <w:rPr>
          <w:color w:val="000000"/>
        </w:rPr>
      </w:pPr>
      <w:r w:rsidRPr="001375EF">
        <w:rPr>
          <w:color w:val="000000"/>
        </w:rPr>
        <w:t>Pr</w:t>
      </w:r>
      <w:r w:rsidR="005F37B7">
        <w:rPr>
          <w:color w:val="000000"/>
        </w:rPr>
        <w:t>ostredníctvom</w:t>
      </w:r>
      <w:r w:rsidRPr="001375EF">
        <w:rPr>
          <w:color w:val="000000"/>
        </w:rPr>
        <w:t xml:space="preserve"> materiál</w:t>
      </w:r>
      <w:r w:rsidR="005F37B7">
        <w:rPr>
          <w:color w:val="000000"/>
        </w:rPr>
        <w:t>u</w:t>
      </w:r>
      <w:r w:rsidRPr="001375EF">
        <w:rPr>
          <w:color w:val="000000"/>
        </w:rPr>
        <w:t xml:space="preserve"> sa navrhuje </w:t>
      </w:r>
      <w:r w:rsidR="00B87E48">
        <w:rPr>
          <w:color w:val="000000"/>
        </w:rPr>
        <w:t>zabezpečenie</w:t>
      </w:r>
      <w:r w:rsidR="00B87E48" w:rsidRPr="001375EF">
        <w:rPr>
          <w:color w:val="000000"/>
        </w:rPr>
        <w:t xml:space="preserve"> </w:t>
      </w:r>
      <w:r w:rsidRPr="001375EF">
        <w:rPr>
          <w:color w:val="000000"/>
        </w:rPr>
        <w:t>príspevku S</w:t>
      </w:r>
      <w:r w:rsidR="00E37ABA">
        <w:rPr>
          <w:color w:val="000000"/>
        </w:rPr>
        <w:t>lovenskej republiky</w:t>
      </w:r>
      <w:r w:rsidRPr="001375EF">
        <w:rPr>
          <w:color w:val="000000"/>
        </w:rPr>
        <w:t xml:space="preserve"> </w:t>
      </w:r>
      <w:r w:rsidR="00E37ABA">
        <w:rPr>
          <w:color w:val="000000"/>
        </w:rPr>
        <w:br/>
      </w:r>
      <w:r w:rsidRPr="001375EF">
        <w:rPr>
          <w:color w:val="000000"/>
        </w:rPr>
        <w:t xml:space="preserve">v rámci </w:t>
      </w:r>
      <w:r w:rsidR="007D6E6C">
        <w:rPr>
          <w:color w:val="000000"/>
        </w:rPr>
        <w:t>FLF</w:t>
      </w:r>
      <w:r w:rsidR="001375EF" w:rsidRPr="001375EF">
        <w:rPr>
          <w:color w:val="000000"/>
        </w:rPr>
        <w:t xml:space="preserve">. </w:t>
      </w:r>
      <w:r w:rsidRPr="001375EF">
        <w:rPr>
          <w:color w:val="000000"/>
        </w:rPr>
        <w:t>O každej zmene mandátu rozhoduje  v súlade s § 12 ods. 5 zákona č. 321/2002 Z. z. o ozbrojených silách  S</w:t>
      </w:r>
      <w:r w:rsidR="00136E56">
        <w:rPr>
          <w:color w:val="000000"/>
        </w:rPr>
        <w:t>lovenskej republiky</w:t>
      </w:r>
      <w:r w:rsidRPr="001375EF">
        <w:rPr>
          <w:color w:val="000000"/>
        </w:rPr>
        <w:t xml:space="preserve"> v znení neskorších predpisov ústavný orgán S</w:t>
      </w:r>
      <w:r w:rsidR="00E37ABA">
        <w:rPr>
          <w:color w:val="000000"/>
        </w:rPr>
        <w:t>lovenskej republiky</w:t>
      </w:r>
      <w:r w:rsidRPr="001375EF">
        <w:rPr>
          <w:color w:val="000000"/>
        </w:rPr>
        <w:t>, ktorý o tomto mandáte rozhodol, t. j. v danom prípade Národná rada S</w:t>
      </w:r>
      <w:r w:rsidR="00250841">
        <w:rPr>
          <w:color w:val="000000"/>
        </w:rPr>
        <w:t>lovenskej republiky</w:t>
      </w:r>
      <w:r w:rsidRPr="001375EF">
        <w:rPr>
          <w:color w:val="000000"/>
        </w:rPr>
        <w:t>.</w:t>
      </w:r>
    </w:p>
    <w:p w14:paraId="1E0AD032" w14:textId="73F806ED" w:rsidR="00BA14D9" w:rsidRPr="00BA14D9" w:rsidRDefault="00BA14D9" w:rsidP="00926B60">
      <w:pPr>
        <w:pStyle w:val="Normlnywebov"/>
        <w:spacing w:before="0" w:beforeAutospacing="0" w:after="120" w:afterAutospacing="0"/>
        <w:ind w:firstLine="426"/>
        <w:jc w:val="both"/>
      </w:pPr>
      <w:r w:rsidRPr="00B04ACE">
        <w:t>Materiál sa pre</w:t>
      </w:r>
      <w:r>
        <w:t>dkladá v súlade s čl. 86 písm. l</w:t>
      </w:r>
      <w:r w:rsidRPr="00B04ACE">
        <w:t xml:space="preserve">) Ústavy Slovenskej republiky, na základe ktorého podlieha súhlasu Národnej rady Slovenskej republiky každé vyslanie príslušníkov ozbrojených síl Slovenskej republiky na plnenie úloh mimo územia Slovenskej republiky, </w:t>
      </w:r>
      <w:r w:rsidR="00DF6250">
        <w:br/>
      </w:r>
      <w:r w:rsidRPr="00B04ACE">
        <w:t xml:space="preserve">ak toto vyslanie nepatrí podľa Ústavy Slovenskej republiky do vymedzenej právomoci vlády Slovenskej republiky. </w:t>
      </w:r>
    </w:p>
    <w:p w14:paraId="1D0F2BAC" w14:textId="17BC8FE9" w:rsidR="008E1BD7" w:rsidRDefault="00FC2EE6" w:rsidP="00926B60">
      <w:pPr>
        <w:pStyle w:val="Normlnywebov"/>
        <w:spacing w:before="120" w:beforeAutospacing="0" w:after="120" w:afterAutospacing="0"/>
        <w:ind w:firstLine="708"/>
        <w:jc w:val="both"/>
      </w:pPr>
      <w:r>
        <w:rPr>
          <w:color w:val="000000"/>
        </w:rPr>
        <w:t>N</w:t>
      </w:r>
      <w:r w:rsidR="00766CA8" w:rsidRPr="001375EF">
        <w:rPr>
          <w:color w:val="000000"/>
        </w:rPr>
        <w:t>ávrh umožňuje vyslať príslušníkov ozbrojených síl S</w:t>
      </w:r>
      <w:r w:rsidR="00250841">
        <w:rPr>
          <w:color w:val="000000"/>
        </w:rPr>
        <w:t>lovenskej republiky</w:t>
      </w:r>
      <w:r w:rsidR="00766CA8" w:rsidRPr="001375EF">
        <w:rPr>
          <w:color w:val="000000"/>
        </w:rPr>
        <w:t xml:space="preserve"> na plnenie úloh ďalšej spolupráce ozbrojených síl so zahraničnými ozbrojenými silami v súlade s medzinárodným právom podľa § 12 ods. ods. 1 písm. g) zákona č. 321/2002 Z. z. o ozbrojených silách  S</w:t>
      </w:r>
      <w:r w:rsidR="00250841">
        <w:rPr>
          <w:color w:val="000000"/>
        </w:rPr>
        <w:t>lovenskej republiky</w:t>
      </w:r>
      <w:r w:rsidR="00766CA8" w:rsidRPr="001375EF">
        <w:rPr>
          <w:color w:val="000000"/>
        </w:rPr>
        <w:t xml:space="preserve"> v znení neskorších predpisov, a to v termíne </w:t>
      </w:r>
      <w:r w:rsidR="00766CA8" w:rsidRPr="001375EF">
        <w:t xml:space="preserve">od </w:t>
      </w:r>
      <w:r w:rsidR="00DB14FF">
        <w:t>schválenia</w:t>
      </w:r>
      <w:r w:rsidR="00250841">
        <w:t> </w:t>
      </w:r>
      <w:r w:rsidR="00DB14FF">
        <w:t>mandátu</w:t>
      </w:r>
      <w:r w:rsidR="00766CA8" w:rsidRPr="001375EF">
        <w:t xml:space="preserve"> do ukončenia</w:t>
      </w:r>
      <w:r w:rsidR="001375EF" w:rsidRPr="001375EF">
        <w:t xml:space="preserve"> pôsobenia</w:t>
      </w:r>
      <w:r w:rsidR="00766CA8" w:rsidRPr="001375EF">
        <w:t xml:space="preserve"> </w:t>
      </w:r>
      <w:r w:rsidR="007D6E6C">
        <w:t>FLF</w:t>
      </w:r>
      <w:r w:rsidR="00766CA8" w:rsidRPr="001375EF">
        <w:rPr>
          <w:color w:val="000000"/>
        </w:rPr>
        <w:t>.</w:t>
      </w:r>
      <w:r w:rsidR="008E1BD7" w:rsidRPr="008E1BD7">
        <w:t xml:space="preserve"> </w:t>
      </w:r>
    </w:p>
    <w:p w14:paraId="08DE8D02" w14:textId="1B1E9298" w:rsidR="00766CA8" w:rsidRPr="001375EF" w:rsidRDefault="008E1BD7" w:rsidP="00926B60">
      <w:pPr>
        <w:pStyle w:val="Normlnywebov"/>
        <w:spacing w:before="120" w:beforeAutospacing="0" w:after="120" w:afterAutospacing="0"/>
        <w:ind w:firstLine="708"/>
        <w:jc w:val="both"/>
        <w:rPr>
          <w:color w:val="000000"/>
        </w:rPr>
      </w:pPr>
      <w:r w:rsidRPr="003E4179">
        <w:t>Z dôvodu zabezpečenia pravidelných rotácii personálu sa predloženým návrhom, umožňuje súčasné pôsobenie oboch rotáci</w:t>
      </w:r>
      <w:r w:rsidR="00AA41CD">
        <w:t>í</w:t>
      </w:r>
      <w:r w:rsidRPr="003E4179">
        <w:t xml:space="preserve"> tohto personálu</w:t>
      </w:r>
      <w:r w:rsidR="00DB14FF" w:rsidRPr="00DB14FF">
        <w:t xml:space="preserve"> </w:t>
      </w:r>
      <w:r w:rsidR="00DB14FF" w:rsidRPr="003E4179">
        <w:t>v</w:t>
      </w:r>
      <w:r w:rsidR="00DB14FF">
        <w:t>o FLF</w:t>
      </w:r>
      <w:r w:rsidRPr="003E4179">
        <w:t>, čím sa zabezpečuje proces obmeny príslušného personálu a odovzdanie a preberanie funkci</w:t>
      </w:r>
      <w:r w:rsidR="00AA41CD">
        <w:t>í</w:t>
      </w:r>
      <w:r w:rsidRPr="003E4179">
        <w:t>, a to v trvaní do 14 dní.</w:t>
      </w:r>
    </w:p>
    <w:p w14:paraId="552A6B7C" w14:textId="456E360A" w:rsidR="00766CA8" w:rsidRPr="00BA14D9" w:rsidRDefault="00766CA8" w:rsidP="00926B60">
      <w:pPr>
        <w:pStyle w:val="Normlnywebov"/>
        <w:spacing w:before="0" w:beforeAutospacing="0" w:after="120" w:afterAutospacing="0"/>
        <w:ind w:firstLine="708"/>
        <w:jc w:val="both"/>
        <w:rPr>
          <w:color w:val="000000"/>
        </w:rPr>
      </w:pPr>
      <w:r w:rsidRPr="00BA14D9">
        <w:rPr>
          <w:color w:val="000000"/>
        </w:rPr>
        <w:t>Pôsobenie príslušníkov ozbrojených síl S</w:t>
      </w:r>
      <w:r w:rsidR="00E37ABA">
        <w:rPr>
          <w:color w:val="000000"/>
        </w:rPr>
        <w:t>lovenskej republiky</w:t>
      </w:r>
      <w:r w:rsidRPr="00BA14D9">
        <w:rPr>
          <w:color w:val="000000"/>
        </w:rPr>
        <w:t xml:space="preserve"> v rámci kolektívnej obrany členských štátov NATO na základe čl. 5 Severoatlantickej zmluvy je podmienené osobitným rozhodnutím ústavného orgánu S</w:t>
      </w:r>
      <w:r w:rsidR="00250841">
        <w:rPr>
          <w:color w:val="000000"/>
        </w:rPr>
        <w:t>lovenskej republiky</w:t>
      </w:r>
      <w:r w:rsidRPr="00BA14D9">
        <w:rPr>
          <w:color w:val="000000"/>
        </w:rPr>
        <w:t xml:space="preserve"> za podmienok stanovených právnym poriadkom S</w:t>
      </w:r>
      <w:r w:rsidR="00250841">
        <w:rPr>
          <w:color w:val="000000"/>
        </w:rPr>
        <w:t>lovenskej republiky</w:t>
      </w:r>
      <w:r w:rsidRPr="00BA14D9">
        <w:rPr>
          <w:color w:val="000000"/>
        </w:rPr>
        <w:t xml:space="preserve"> a medzinárodným právom. </w:t>
      </w:r>
    </w:p>
    <w:p w14:paraId="23E1B326" w14:textId="3E27812A" w:rsidR="00766CA8" w:rsidRDefault="00766CA8" w:rsidP="00926B60">
      <w:pPr>
        <w:pStyle w:val="Normlnywebov"/>
        <w:spacing w:before="0" w:beforeAutospacing="0" w:after="120" w:afterAutospacing="0"/>
        <w:ind w:firstLine="708"/>
        <w:jc w:val="both"/>
      </w:pPr>
      <w:r w:rsidRPr="00BA14D9">
        <w:t>Status príslušníkov ozbrojených síl S</w:t>
      </w:r>
      <w:r w:rsidR="00250841">
        <w:t>lovenskej republiky</w:t>
      </w:r>
      <w:r w:rsidRPr="00BA14D9">
        <w:t xml:space="preserve"> na území štátov vyslania sa riadi Zmluvou medzi štátmi, ktoré sú zmluvnými stranami Severoatlantickej zmluvy, vzťahujúcou sa na status ich ozbrojených síl, uzatvorenou v Londýne 19. júna 1951 a bilaterálnymi medzinárodnými zmluvami alebo medzinárodnými zmluvnými dokumentmi. Konkrétne podmienky pôsobenia príslušníkov ozbrojených síl S</w:t>
      </w:r>
      <w:r w:rsidR="00250841">
        <w:t>lovenskej republiky</w:t>
      </w:r>
      <w:r w:rsidRPr="00BA14D9">
        <w:t xml:space="preserve"> v mieste ich vyslania budú upravené osobitnými medzinárodnými zmluvnými dokumentmi.</w:t>
      </w:r>
    </w:p>
    <w:p w14:paraId="68AE4E18" w14:textId="01F6DD18" w:rsidR="00926B60" w:rsidRDefault="00926B60" w:rsidP="00926B60">
      <w:pPr>
        <w:pStyle w:val="Normlnywebov"/>
        <w:spacing w:before="0" w:beforeAutospacing="0" w:after="120" w:afterAutospacing="0"/>
        <w:ind w:firstLine="708"/>
        <w:jc w:val="both"/>
      </w:pPr>
    </w:p>
    <w:p w14:paraId="61F9DD84" w14:textId="77777777" w:rsidR="00DF6250" w:rsidRDefault="00DF6250" w:rsidP="00DB14FF">
      <w:pPr>
        <w:pStyle w:val="Normlnywebov"/>
        <w:spacing w:before="0" w:beforeAutospacing="0" w:after="120" w:afterAutospacing="0"/>
        <w:ind w:firstLine="708"/>
        <w:jc w:val="both"/>
        <w:rPr>
          <w:b/>
          <w:color w:val="000000"/>
          <w:u w:val="single"/>
        </w:rPr>
      </w:pPr>
    </w:p>
    <w:sectPr w:rsidR="00DF62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0B3D" w14:textId="77777777" w:rsidR="00363721" w:rsidRDefault="00363721" w:rsidP="00EB3FC4">
      <w:pPr>
        <w:spacing w:after="0" w:line="240" w:lineRule="auto"/>
      </w:pPr>
      <w:r>
        <w:separator/>
      </w:r>
    </w:p>
  </w:endnote>
  <w:endnote w:type="continuationSeparator" w:id="0">
    <w:p w14:paraId="58583A27" w14:textId="77777777" w:rsidR="00363721" w:rsidRDefault="00363721" w:rsidP="00EB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libri Light">
    <w:altName w:val="Calibri"/>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552546"/>
      <w:docPartObj>
        <w:docPartGallery w:val="Page Numbers (Bottom of Page)"/>
        <w:docPartUnique/>
      </w:docPartObj>
    </w:sdtPr>
    <w:sdtEndPr/>
    <w:sdtContent>
      <w:p w14:paraId="2C4B7BC8" w14:textId="77777777" w:rsidR="00EB3FC4" w:rsidRDefault="00EB3FC4">
        <w:pPr>
          <w:pStyle w:val="Pta"/>
          <w:jc w:val="right"/>
        </w:pPr>
        <w:r>
          <w:fldChar w:fldCharType="begin"/>
        </w:r>
        <w:r>
          <w:instrText>PAGE   \* MERGEFORMAT</w:instrText>
        </w:r>
        <w:r>
          <w:fldChar w:fldCharType="separate"/>
        </w:r>
        <w:r w:rsidR="007A7F45">
          <w:rPr>
            <w:noProof/>
          </w:rPr>
          <w:t>4</w:t>
        </w:r>
        <w:r>
          <w:fldChar w:fldCharType="end"/>
        </w:r>
      </w:p>
    </w:sdtContent>
  </w:sdt>
  <w:p w14:paraId="66D8792D" w14:textId="77777777" w:rsidR="00EB3FC4" w:rsidRDefault="00EB3F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F83A" w14:textId="77777777" w:rsidR="00363721" w:rsidRDefault="00363721" w:rsidP="00EB3FC4">
      <w:pPr>
        <w:spacing w:after="0" w:line="240" w:lineRule="auto"/>
      </w:pPr>
      <w:r>
        <w:separator/>
      </w:r>
    </w:p>
  </w:footnote>
  <w:footnote w:type="continuationSeparator" w:id="0">
    <w:p w14:paraId="34A6C4EE" w14:textId="77777777" w:rsidR="00363721" w:rsidRDefault="00363721" w:rsidP="00EB3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7A8"/>
    <w:multiLevelType w:val="hybridMultilevel"/>
    <w:tmpl w:val="94ECC644"/>
    <w:lvl w:ilvl="0" w:tplc="7C149EF6">
      <w:start w:val="1"/>
      <w:numFmt w:val="lowerLetter"/>
      <w:lvlText w:val="%1)"/>
      <w:lvlJc w:val="left"/>
      <w:pPr>
        <w:ind w:left="1004" w:hanging="360"/>
      </w:pPr>
      <w:rPr>
        <w:rFonts w:cs="Times New Roman" w:hint="default"/>
        <w:b w:val="0"/>
        <w:rtl w:val="0"/>
        <w:cs w:val="0"/>
      </w:rPr>
    </w:lvl>
    <w:lvl w:ilvl="1" w:tplc="D130B1CA">
      <w:start w:val="1"/>
      <w:numFmt w:val="lowerLetter"/>
      <w:lvlText w:val="%2."/>
      <w:lvlJc w:val="left"/>
      <w:pPr>
        <w:ind w:left="1724" w:hanging="360"/>
      </w:pPr>
      <w:rPr>
        <w:rFonts w:cs="Times New Roman"/>
        <w:rtl w:val="0"/>
        <w:cs w:val="0"/>
      </w:rPr>
    </w:lvl>
    <w:lvl w:ilvl="2" w:tplc="4830DD04">
      <w:start w:val="1"/>
      <w:numFmt w:val="lowerRoman"/>
      <w:lvlText w:val="%3."/>
      <w:lvlJc w:val="right"/>
      <w:pPr>
        <w:ind w:left="2444" w:hanging="180"/>
      </w:pPr>
      <w:rPr>
        <w:rFonts w:cs="Times New Roman"/>
        <w:rtl w:val="0"/>
        <w:cs w:val="0"/>
      </w:rPr>
    </w:lvl>
    <w:lvl w:ilvl="3" w:tplc="6EE6C816">
      <w:start w:val="1"/>
      <w:numFmt w:val="decimal"/>
      <w:lvlText w:val="%4."/>
      <w:lvlJc w:val="left"/>
      <w:pPr>
        <w:ind w:left="3164" w:hanging="360"/>
      </w:pPr>
      <w:rPr>
        <w:rFonts w:cs="Times New Roman"/>
        <w:rtl w:val="0"/>
        <w:cs w:val="0"/>
      </w:rPr>
    </w:lvl>
    <w:lvl w:ilvl="4" w:tplc="8794CA70">
      <w:start w:val="1"/>
      <w:numFmt w:val="lowerLetter"/>
      <w:lvlText w:val="%5."/>
      <w:lvlJc w:val="left"/>
      <w:pPr>
        <w:ind w:left="3884" w:hanging="360"/>
      </w:pPr>
      <w:rPr>
        <w:rFonts w:cs="Times New Roman"/>
        <w:rtl w:val="0"/>
        <w:cs w:val="0"/>
      </w:rPr>
    </w:lvl>
    <w:lvl w:ilvl="5" w:tplc="A7341674">
      <w:start w:val="1"/>
      <w:numFmt w:val="lowerRoman"/>
      <w:lvlText w:val="%6."/>
      <w:lvlJc w:val="right"/>
      <w:pPr>
        <w:ind w:left="4604" w:hanging="180"/>
      </w:pPr>
      <w:rPr>
        <w:rFonts w:cs="Times New Roman"/>
        <w:rtl w:val="0"/>
        <w:cs w:val="0"/>
      </w:rPr>
    </w:lvl>
    <w:lvl w:ilvl="6" w:tplc="A55C6DEA">
      <w:start w:val="1"/>
      <w:numFmt w:val="decimal"/>
      <w:lvlText w:val="%7."/>
      <w:lvlJc w:val="left"/>
      <w:pPr>
        <w:ind w:left="5324" w:hanging="360"/>
      </w:pPr>
      <w:rPr>
        <w:rFonts w:cs="Times New Roman"/>
        <w:rtl w:val="0"/>
        <w:cs w:val="0"/>
      </w:rPr>
    </w:lvl>
    <w:lvl w:ilvl="7" w:tplc="35BCDA00">
      <w:start w:val="1"/>
      <w:numFmt w:val="lowerLetter"/>
      <w:lvlText w:val="%8."/>
      <w:lvlJc w:val="left"/>
      <w:pPr>
        <w:ind w:left="6044" w:hanging="360"/>
      </w:pPr>
      <w:rPr>
        <w:rFonts w:cs="Times New Roman"/>
        <w:rtl w:val="0"/>
        <w:cs w:val="0"/>
      </w:rPr>
    </w:lvl>
    <w:lvl w:ilvl="8" w:tplc="CFBAAC6E">
      <w:start w:val="1"/>
      <w:numFmt w:val="lowerRoman"/>
      <w:lvlText w:val="%9."/>
      <w:lvlJc w:val="right"/>
      <w:pPr>
        <w:ind w:left="6764" w:hanging="180"/>
      </w:pPr>
      <w:rPr>
        <w:rFonts w:cs="Times New Roman"/>
        <w:rtl w:val="0"/>
        <w:cs w:val="0"/>
      </w:rPr>
    </w:lvl>
  </w:abstractNum>
  <w:abstractNum w:abstractNumId="1" w15:restartNumberingAfterBreak="0">
    <w:nsid w:val="12980DE8"/>
    <w:multiLevelType w:val="hybridMultilevel"/>
    <w:tmpl w:val="442C9DAE"/>
    <w:lvl w:ilvl="0" w:tplc="BD469EFA">
      <w:start w:val="1"/>
      <w:numFmt w:val="bullet"/>
      <w:lvlText w:val=""/>
      <w:lvlJc w:val="left"/>
      <w:pPr>
        <w:ind w:left="1146" w:hanging="360"/>
      </w:pPr>
      <w:rPr>
        <w:rFonts w:ascii="Symbol" w:hAnsi="Symbol" w:hint="default"/>
        <w:sz w:val="22"/>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22902F80"/>
    <w:multiLevelType w:val="hybridMultilevel"/>
    <w:tmpl w:val="DBF4CD8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4461F36"/>
    <w:multiLevelType w:val="hybridMultilevel"/>
    <w:tmpl w:val="D9BCA438"/>
    <w:lvl w:ilvl="0" w:tplc="20888318">
      <w:start w:val="1"/>
      <w:numFmt w:val="bullet"/>
      <w:lvlText w:val="-"/>
      <w:lvlJc w:val="left"/>
      <w:pPr>
        <w:ind w:left="1146" w:hanging="360"/>
      </w:pPr>
      <w:rPr>
        <w:rFonts w:ascii="Times New Roman" w:eastAsiaTheme="minorEastAsia"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36941A69"/>
    <w:multiLevelType w:val="hybridMultilevel"/>
    <w:tmpl w:val="C33EDA0E"/>
    <w:lvl w:ilvl="0" w:tplc="94E223E0">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A0267A2"/>
    <w:multiLevelType w:val="hybridMultilevel"/>
    <w:tmpl w:val="F9C23C72"/>
    <w:lvl w:ilvl="0" w:tplc="5E2C3DC4">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F506CB"/>
    <w:multiLevelType w:val="hybridMultilevel"/>
    <w:tmpl w:val="A9220706"/>
    <w:lvl w:ilvl="0" w:tplc="B59819EA">
      <w:start w:val="1"/>
      <w:numFmt w:val="decimal"/>
      <w:lvlText w:val="%1."/>
      <w:lvlJc w:val="left"/>
      <w:pPr>
        <w:ind w:left="720" w:hanging="360"/>
      </w:pPr>
      <w:rPr>
        <w:b w:val="0"/>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4D04BE"/>
    <w:multiLevelType w:val="hybridMultilevel"/>
    <w:tmpl w:val="21728766"/>
    <w:lvl w:ilvl="0" w:tplc="20888318">
      <w:start w:val="1"/>
      <w:numFmt w:val="bullet"/>
      <w:lvlText w:val="-"/>
      <w:lvlJc w:val="left"/>
      <w:pPr>
        <w:ind w:left="1146" w:hanging="360"/>
      </w:pPr>
      <w:rPr>
        <w:rFonts w:ascii="Times New Roman" w:eastAsiaTheme="minorEastAsia"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77F831FB"/>
    <w:multiLevelType w:val="hybridMultilevel"/>
    <w:tmpl w:val="29CE24EC"/>
    <w:lvl w:ilvl="0" w:tplc="8F82D7BE">
      <w:start w:val="1"/>
      <w:numFmt w:val="bullet"/>
      <w:lvlText w:val="-"/>
      <w:lvlJc w:val="left"/>
      <w:pPr>
        <w:ind w:left="720" w:hanging="360"/>
      </w:pPr>
      <w:rPr>
        <w:rFonts w:ascii="Times New Roman" w:eastAsia="Times New Roman" w:hAnsi="Times New Roman"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9CF4FF6"/>
    <w:multiLevelType w:val="hybridMultilevel"/>
    <w:tmpl w:val="C9762690"/>
    <w:lvl w:ilvl="0" w:tplc="20888318">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6"/>
  </w:num>
  <w:num w:numId="6">
    <w:abstractNumId w:val="8"/>
  </w:num>
  <w:num w:numId="7">
    <w:abstractNumId w:val="7"/>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1F"/>
    <w:rsid w:val="0000224E"/>
    <w:rsid w:val="0000705D"/>
    <w:rsid w:val="000261B7"/>
    <w:rsid w:val="000319AF"/>
    <w:rsid w:val="00042F93"/>
    <w:rsid w:val="000447A6"/>
    <w:rsid w:val="00053E18"/>
    <w:rsid w:val="00070D42"/>
    <w:rsid w:val="00074F97"/>
    <w:rsid w:val="00077B00"/>
    <w:rsid w:val="00092603"/>
    <w:rsid w:val="000E601F"/>
    <w:rsid w:val="00114DB9"/>
    <w:rsid w:val="001349B1"/>
    <w:rsid w:val="00136E56"/>
    <w:rsid w:val="001375EF"/>
    <w:rsid w:val="00142F01"/>
    <w:rsid w:val="001518BA"/>
    <w:rsid w:val="00160298"/>
    <w:rsid w:val="001967FA"/>
    <w:rsid w:val="001C6B95"/>
    <w:rsid w:val="001E4376"/>
    <w:rsid w:val="00215AB5"/>
    <w:rsid w:val="00224F7B"/>
    <w:rsid w:val="00245B7E"/>
    <w:rsid w:val="00250841"/>
    <w:rsid w:val="002A7D5B"/>
    <w:rsid w:val="002C73CD"/>
    <w:rsid w:val="002F6DD1"/>
    <w:rsid w:val="00332C0E"/>
    <w:rsid w:val="00343159"/>
    <w:rsid w:val="00346127"/>
    <w:rsid w:val="003464BD"/>
    <w:rsid w:val="00355885"/>
    <w:rsid w:val="00363721"/>
    <w:rsid w:val="003656C5"/>
    <w:rsid w:val="003766FD"/>
    <w:rsid w:val="003A3984"/>
    <w:rsid w:val="003B669E"/>
    <w:rsid w:val="003E4179"/>
    <w:rsid w:val="0041016C"/>
    <w:rsid w:val="00475A51"/>
    <w:rsid w:val="004773AC"/>
    <w:rsid w:val="00483333"/>
    <w:rsid w:val="004B65CB"/>
    <w:rsid w:val="004D7D6E"/>
    <w:rsid w:val="004E2F58"/>
    <w:rsid w:val="005177F8"/>
    <w:rsid w:val="005178B2"/>
    <w:rsid w:val="005348C2"/>
    <w:rsid w:val="00534961"/>
    <w:rsid w:val="005672A5"/>
    <w:rsid w:val="00587A01"/>
    <w:rsid w:val="005A126D"/>
    <w:rsid w:val="005C5ABC"/>
    <w:rsid w:val="005C6A89"/>
    <w:rsid w:val="005D69DA"/>
    <w:rsid w:val="005F37B7"/>
    <w:rsid w:val="00602CB0"/>
    <w:rsid w:val="00617044"/>
    <w:rsid w:val="0063799C"/>
    <w:rsid w:val="006569CD"/>
    <w:rsid w:val="00663624"/>
    <w:rsid w:val="00667670"/>
    <w:rsid w:val="00692FB3"/>
    <w:rsid w:val="006B0994"/>
    <w:rsid w:val="007204FB"/>
    <w:rsid w:val="00740229"/>
    <w:rsid w:val="00766CA8"/>
    <w:rsid w:val="00767287"/>
    <w:rsid w:val="00777A23"/>
    <w:rsid w:val="007A45C9"/>
    <w:rsid w:val="007A7155"/>
    <w:rsid w:val="007A7F45"/>
    <w:rsid w:val="007D0A44"/>
    <w:rsid w:val="007D6E6C"/>
    <w:rsid w:val="00802ED1"/>
    <w:rsid w:val="008179A3"/>
    <w:rsid w:val="008204F6"/>
    <w:rsid w:val="008373EA"/>
    <w:rsid w:val="00857846"/>
    <w:rsid w:val="00864C4D"/>
    <w:rsid w:val="008A2E54"/>
    <w:rsid w:val="008B382D"/>
    <w:rsid w:val="008C5678"/>
    <w:rsid w:val="008E1BD7"/>
    <w:rsid w:val="00902C00"/>
    <w:rsid w:val="00926B60"/>
    <w:rsid w:val="00927A04"/>
    <w:rsid w:val="009514BE"/>
    <w:rsid w:val="009632FA"/>
    <w:rsid w:val="00973623"/>
    <w:rsid w:val="009B7D4F"/>
    <w:rsid w:val="009E1831"/>
    <w:rsid w:val="00A57CCF"/>
    <w:rsid w:val="00A60E61"/>
    <w:rsid w:val="00A951C0"/>
    <w:rsid w:val="00AA41CD"/>
    <w:rsid w:val="00AB2985"/>
    <w:rsid w:val="00AF6613"/>
    <w:rsid w:val="00B15D87"/>
    <w:rsid w:val="00B54C0C"/>
    <w:rsid w:val="00B87E48"/>
    <w:rsid w:val="00BA14D9"/>
    <w:rsid w:val="00C0227A"/>
    <w:rsid w:val="00C22F4C"/>
    <w:rsid w:val="00C3660F"/>
    <w:rsid w:val="00C43C61"/>
    <w:rsid w:val="00C517C9"/>
    <w:rsid w:val="00C73793"/>
    <w:rsid w:val="00C80981"/>
    <w:rsid w:val="00C91BD9"/>
    <w:rsid w:val="00CC44FB"/>
    <w:rsid w:val="00D200A8"/>
    <w:rsid w:val="00D23352"/>
    <w:rsid w:val="00D40D4B"/>
    <w:rsid w:val="00D8219A"/>
    <w:rsid w:val="00DA0897"/>
    <w:rsid w:val="00DB14FF"/>
    <w:rsid w:val="00DD43D5"/>
    <w:rsid w:val="00DF6250"/>
    <w:rsid w:val="00E37ABA"/>
    <w:rsid w:val="00E42B83"/>
    <w:rsid w:val="00E45B10"/>
    <w:rsid w:val="00E537CA"/>
    <w:rsid w:val="00E74D63"/>
    <w:rsid w:val="00EA4D97"/>
    <w:rsid w:val="00EB2781"/>
    <w:rsid w:val="00EB3FC4"/>
    <w:rsid w:val="00EB6784"/>
    <w:rsid w:val="00EF6440"/>
    <w:rsid w:val="00F05952"/>
    <w:rsid w:val="00F23A0B"/>
    <w:rsid w:val="00F34F5C"/>
    <w:rsid w:val="00F46236"/>
    <w:rsid w:val="00F6231B"/>
    <w:rsid w:val="00F648AB"/>
    <w:rsid w:val="00FA5B63"/>
    <w:rsid w:val="00FB62D0"/>
    <w:rsid w:val="00FC2EE6"/>
    <w:rsid w:val="00FE47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BE6D"/>
  <w15:chartTrackingRefBased/>
  <w15:docId w15:val="{D868F58D-CEC4-48D4-AC26-707B04D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nhideWhenUsed/>
    <w:rsid w:val="000E601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0E601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link w:val="OdsekzoznamuChar"/>
    <w:uiPriority w:val="99"/>
    <w:qFormat/>
    <w:rsid w:val="008B382D"/>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ekzoznamuChar">
    <w:name w:val="Odsek zoznamu Char"/>
    <w:basedOn w:val="Predvolenpsmoodseku"/>
    <w:link w:val="Odsekzoznamu"/>
    <w:uiPriority w:val="34"/>
    <w:locked/>
    <w:rsid w:val="008B382D"/>
    <w:rPr>
      <w:rFonts w:ascii="Times New Roman" w:eastAsia="Times New Roman" w:hAnsi="Times New Roman" w:cs="Times New Roman"/>
      <w:sz w:val="20"/>
      <w:szCs w:val="20"/>
      <w:lang w:eastAsia="cs-CZ"/>
    </w:rPr>
  </w:style>
  <w:style w:type="paragraph" w:styleId="Hlavika">
    <w:name w:val="header"/>
    <w:basedOn w:val="Normlny"/>
    <w:link w:val="HlavikaChar"/>
    <w:uiPriority w:val="99"/>
    <w:unhideWhenUsed/>
    <w:rsid w:val="00EB3F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3FC4"/>
  </w:style>
  <w:style w:type="paragraph" w:styleId="Pta">
    <w:name w:val="footer"/>
    <w:basedOn w:val="Normlny"/>
    <w:link w:val="PtaChar"/>
    <w:uiPriority w:val="99"/>
    <w:unhideWhenUsed/>
    <w:rsid w:val="00EB3FC4"/>
    <w:pPr>
      <w:tabs>
        <w:tab w:val="center" w:pos="4536"/>
        <w:tab w:val="right" w:pos="9072"/>
      </w:tabs>
      <w:spacing w:after="0" w:line="240" w:lineRule="auto"/>
    </w:pPr>
  </w:style>
  <w:style w:type="character" w:customStyle="1" w:styleId="PtaChar">
    <w:name w:val="Päta Char"/>
    <w:basedOn w:val="Predvolenpsmoodseku"/>
    <w:link w:val="Pta"/>
    <w:uiPriority w:val="99"/>
    <w:rsid w:val="00EB3FC4"/>
  </w:style>
  <w:style w:type="table" w:styleId="Mriekatabuky">
    <w:name w:val="Table Grid"/>
    <w:basedOn w:val="Normlnatabuka"/>
    <w:rsid w:val="00766CA8"/>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070D42"/>
    <w:rPr>
      <w:sz w:val="16"/>
      <w:szCs w:val="16"/>
    </w:rPr>
  </w:style>
  <w:style w:type="paragraph" w:styleId="Textkomentra">
    <w:name w:val="annotation text"/>
    <w:basedOn w:val="Normlny"/>
    <w:link w:val="TextkomentraChar"/>
    <w:uiPriority w:val="99"/>
    <w:semiHidden/>
    <w:unhideWhenUsed/>
    <w:rsid w:val="00070D42"/>
    <w:pPr>
      <w:spacing w:line="240" w:lineRule="auto"/>
    </w:pPr>
    <w:rPr>
      <w:sz w:val="20"/>
      <w:szCs w:val="20"/>
    </w:rPr>
  </w:style>
  <w:style w:type="character" w:customStyle="1" w:styleId="TextkomentraChar">
    <w:name w:val="Text komentára Char"/>
    <w:basedOn w:val="Predvolenpsmoodseku"/>
    <w:link w:val="Textkomentra"/>
    <w:uiPriority w:val="99"/>
    <w:semiHidden/>
    <w:rsid w:val="00070D42"/>
    <w:rPr>
      <w:sz w:val="20"/>
      <w:szCs w:val="20"/>
    </w:rPr>
  </w:style>
  <w:style w:type="paragraph" w:styleId="Predmetkomentra">
    <w:name w:val="annotation subject"/>
    <w:basedOn w:val="Textkomentra"/>
    <w:next w:val="Textkomentra"/>
    <w:link w:val="PredmetkomentraChar"/>
    <w:uiPriority w:val="99"/>
    <w:semiHidden/>
    <w:unhideWhenUsed/>
    <w:rsid w:val="00070D42"/>
    <w:rPr>
      <w:b/>
      <w:bCs/>
    </w:rPr>
  </w:style>
  <w:style w:type="character" w:customStyle="1" w:styleId="PredmetkomentraChar">
    <w:name w:val="Predmet komentára Char"/>
    <w:basedOn w:val="TextkomentraChar"/>
    <w:link w:val="Predmetkomentra"/>
    <w:uiPriority w:val="99"/>
    <w:semiHidden/>
    <w:rsid w:val="00070D42"/>
    <w:rPr>
      <w:b/>
      <w:bCs/>
      <w:sz w:val="20"/>
      <w:szCs w:val="20"/>
    </w:rPr>
  </w:style>
  <w:style w:type="paragraph" w:styleId="Textpoznmkypodiarou">
    <w:name w:val="footnote text"/>
    <w:basedOn w:val="Normlny"/>
    <w:link w:val="TextpoznmkypodiarouChar"/>
    <w:uiPriority w:val="99"/>
    <w:semiHidden/>
    <w:unhideWhenUsed/>
    <w:rsid w:val="00C0227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0227A"/>
    <w:rPr>
      <w:sz w:val="20"/>
      <w:szCs w:val="20"/>
    </w:rPr>
  </w:style>
  <w:style w:type="character" w:styleId="Odkaznapoznmkupodiarou">
    <w:name w:val="footnote reference"/>
    <w:basedOn w:val="Predvolenpsmoodseku"/>
    <w:uiPriority w:val="99"/>
    <w:semiHidden/>
    <w:unhideWhenUsed/>
    <w:rsid w:val="00C0227A"/>
    <w:rPr>
      <w:vertAlign w:val="superscript"/>
    </w:rPr>
  </w:style>
  <w:style w:type="paragraph" w:customStyle="1" w:styleId="CharCharCharCharCharCharCharCharCharCharCharCharChar">
    <w:name w:val="Char Char Char Char Char Char Char Char Char Char Char Char Char"/>
    <w:basedOn w:val="Normlny"/>
    <w:rsid w:val="00926B60"/>
    <w:pPr>
      <w:spacing w:line="240" w:lineRule="exac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7736</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JUDINYOVA Stanislava</dc:creator>
  <cp:keywords/>
  <dc:description/>
  <cp:lastModifiedBy>KERN Juraj</cp:lastModifiedBy>
  <cp:revision>3</cp:revision>
  <dcterms:created xsi:type="dcterms:W3CDTF">2024-12-02T07:46:00Z</dcterms:created>
  <dcterms:modified xsi:type="dcterms:W3CDTF">2024-12-09T12:55:00Z</dcterms:modified>
</cp:coreProperties>
</file>