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5C63" w14:textId="77777777" w:rsidR="00113AE4" w:rsidRPr="00612E08" w:rsidRDefault="00A340BB" w:rsidP="00835A56">
      <w:pPr>
        <w:spacing w:after="0" w:line="276"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279906AD" w14:textId="77777777" w:rsidR="001B23B7" w:rsidRPr="00612E08" w:rsidRDefault="001B23B7" w:rsidP="00835A56">
      <w:pPr>
        <w:spacing w:after="0" w:line="276" w:lineRule="auto"/>
        <w:jc w:val="center"/>
        <w:rPr>
          <w:rFonts w:ascii="Times New Roman" w:eastAsia="Times New Roman" w:hAnsi="Times New Roman" w:cs="Times New Roman"/>
          <w:b/>
          <w:sz w:val="28"/>
          <w:szCs w:val="28"/>
          <w:lang w:eastAsia="sk-SK"/>
        </w:rPr>
      </w:pPr>
    </w:p>
    <w:p w14:paraId="34A1E3FB" w14:textId="77777777" w:rsidR="001B23B7" w:rsidRPr="00612E08" w:rsidRDefault="001B23B7" w:rsidP="00835A56">
      <w:pPr>
        <w:spacing w:after="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2A9D5D72" w14:textId="77777777" w:rsidTr="000800FC">
        <w:tc>
          <w:tcPr>
            <w:tcW w:w="9180" w:type="dxa"/>
            <w:gridSpan w:val="11"/>
            <w:tcBorders>
              <w:bottom w:val="single" w:sz="4" w:space="0" w:color="FFFFFF"/>
            </w:tcBorders>
            <w:shd w:val="clear" w:color="auto" w:fill="E2E2E2"/>
          </w:tcPr>
          <w:p w14:paraId="41B3D273"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69E44719" w14:textId="77777777" w:rsidTr="000800FC">
        <w:tc>
          <w:tcPr>
            <w:tcW w:w="9180" w:type="dxa"/>
            <w:gridSpan w:val="11"/>
            <w:tcBorders>
              <w:bottom w:val="single" w:sz="4" w:space="0" w:color="FFFFFF"/>
            </w:tcBorders>
            <w:shd w:val="clear" w:color="auto" w:fill="E2E2E2"/>
          </w:tcPr>
          <w:p w14:paraId="7216A5D1"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0ECF8AFE" w14:textId="77777777" w:rsidTr="000800FC">
        <w:tc>
          <w:tcPr>
            <w:tcW w:w="9180" w:type="dxa"/>
            <w:gridSpan w:val="11"/>
            <w:tcBorders>
              <w:top w:val="single" w:sz="4" w:space="0" w:color="FFFFFF"/>
              <w:bottom w:val="single" w:sz="4" w:space="0" w:color="auto"/>
            </w:tcBorders>
          </w:tcPr>
          <w:p w14:paraId="758873CE" w14:textId="2D310338" w:rsidR="001B23B7" w:rsidRPr="008C10B5" w:rsidRDefault="00470684" w:rsidP="00E00078">
            <w:pPr>
              <w:spacing w:line="276"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t>Vládny návrh</w:t>
            </w:r>
            <w:bookmarkStart w:id="0" w:name="_GoBack"/>
            <w:bookmarkEnd w:id="0"/>
            <w:r w:rsidR="00E00078">
              <w:rPr>
                <w:rFonts w:ascii="Times New Roman" w:eastAsia="Times New Roman" w:hAnsi="Times New Roman" w:cs="Times New Roman"/>
                <w:sz w:val="20"/>
                <w:szCs w:val="20"/>
                <w:lang w:eastAsia="sk-SK"/>
              </w:rPr>
              <w:t xml:space="preserve"> z</w:t>
            </w:r>
            <w:r w:rsidR="004F71DA" w:rsidRPr="008C10B5">
              <w:rPr>
                <w:rFonts w:ascii="Times New Roman" w:eastAsia="Times New Roman" w:hAnsi="Times New Roman" w:cs="Times New Roman"/>
                <w:sz w:val="20"/>
                <w:szCs w:val="20"/>
                <w:lang w:eastAsia="sk-SK"/>
              </w:rPr>
              <w:t>ákon</w:t>
            </w:r>
            <w:r w:rsidR="00E00078">
              <w:rPr>
                <w:rFonts w:ascii="Times New Roman" w:eastAsia="Times New Roman" w:hAnsi="Times New Roman" w:cs="Times New Roman"/>
                <w:sz w:val="20"/>
                <w:szCs w:val="20"/>
                <w:lang w:eastAsia="sk-SK"/>
              </w:rPr>
              <w:t>a</w:t>
            </w:r>
            <w:r w:rsidR="004F71DA" w:rsidRPr="008C10B5">
              <w:rPr>
                <w:rFonts w:ascii="Times New Roman" w:eastAsia="Times New Roman" w:hAnsi="Times New Roman" w:cs="Times New Roman"/>
                <w:sz w:val="20"/>
                <w:szCs w:val="20"/>
                <w:lang w:eastAsia="sk-SK"/>
              </w:rPr>
              <w:t xml:space="preserve">, </w:t>
            </w:r>
            <w:r w:rsidR="004F71DA" w:rsidRPr="008C10B5">
              <w:rPr>
                <w:rFonts w:ascii="Times New Roman" w:hAnsi="Times New Roman" w:cs="Times New Roman"/>
                <w:sz w:val="20"/>
                <w:szCs w:val="20"/>
              </w:rPr>
              <w:t xml:space="preserve">ktorým sa mení a dopĺňa zákon </w:t>
            </w:r>
            <w:bookmarkStart w:id="1" w:name="predpis.oznacenie"/>
            <w:r w:rsidR="004F71DA" w:rsidRPr="008C10B5">
              <w:rPr>
                <w:rFonts w:ascii="Times New Roman" w:hAnsi="Times New Roman" w:cs="Times New Roman"/>
                <w:sz w:val="20"/>
                <w:szCs w:val="20"/>
              </w:rPr>
              <w:t xml:space="preserve"> č. 376/2022 Z. z.</w:t>
            </w:r>
            <w:bookmarkStart w:id="2" w:name="predpis.nadpis"/>
            <w:bookmarkEnd w:id="1"/>
            <w:r w:rsidR="004F71DA" w:rsidRPr="008C10B5">
              <w:rPr>
                <w:rFonts w:ascii="Times New Roman" w:hAnsi="Times New Roman" w:cs="Times New Roman"/>
                <w:sz w:val="20"/>
                <w:szCs w:val="20"/>
              </w:rPr>
              <w:t xml:space="preserve"> o profesionálnych náhradných rodičoch a o zmene a doplnení niektorých zákonov </w:t>
            </w:r>
            <w:bookmarkEnd w:id="2"/>
            <w:r w:rsidR="004F71DA" w:rsidRPr="008C10B5">
              <w:rPr>
                <w:rFonts w:ascii="Times New Roman" w:hAnsi="Times New Roman" w:cs="Times New Roman"/>
                <w:sz w:val="20"/>
                <w:szCs w:val="20"/>
              </w:rPr>
              <w:t>a ktorým sa menia a dopĺňajú niektoré zákony</w:t>
            </w:r>
          </w:p>
        </w:tc>
      </w:tr>
      <w:tr w:rsidR="00612E08" w:rsidRPr="00612E08" w14:paraId="56A3B9F0"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4B13EE24"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6B6159C6"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62210460" w14:textId="77777777" w:rsidR="001B23B7" w:rsidRPr="00612E08" w:rsidRDefault="004F71DA" w:rsidP="00835A56">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práce, sociálnych vecí a rodiny Slovenskej republiky </w:t>
            </w:r>
          </w:p>
          <w:p w14:paraId="27B1CF10"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tr>
      <w:tr w:rsidR="00612E08" w:rsidRPr="00612E08" w14:paraId="14599F51"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0BDED47"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1448971" w14:textId="77777777" w:rsidR="001B23B7" w:rsidRPr="00612E08" w:rsidRDefault="000013C3"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D59AD4A"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21CF42E2" w14:textId="77777777" w:rsidTr="000800FC">
        <w:tc>
          <w:tcPr>
            <w:tcW w:w="4212" w:type="dxa"/>
            <w:gridSpan w:val="2"/>
            <w:vMerge/>
            <w:tcBorders>
              <w:top w:val="nil"/>
              <w:left w:val="single" w:sz="4" w:space="0" w:color="auto"/>
              <w:bottom w:val="single" w:sz="4" w:space="0" w:color="FFFFFF"/>
            </w:tcBorders>
            <w:shd w:val="clear" w:color="auto" w:fill="E2E2E2"/>
          </w:tcPr>
          <w:p w14:paraId="4D419914"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89A6603" w14:textId="77777777" w:rsidR="001B23B7" w:rsidRPr="00612E08" w:rsidRDefault="004F71DA" w:rsidP="00835A56">
                <w:pPr>
                  <w:spacing w:line="276"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6486174" w14:textId="77777777" w:rsidR="001B23B7" w:rsidRPr="00612E08" w:rsidRDefault="001B23B7" w:rsidP="00835A56">
            <w:pPr>
              <w:spacing w:line="276" w:lineRule="auto"/>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27A3A834" w14:textId="77777777" w:rsidTr="000800FC">
        <w:tc>
          <w:tcPr>
            <w:tcW w:w="4212" w:type="dxa"/>
            <w:gridSpan w:val="2"/>
            <w:vMerge/>
            <w:tcBorders>
              <w:top w:val="nil"/>
              <w:left w:val="single" w:sz="4" w:space="0" w:color="auto"/>
              <w:bottom w:val="single" w:sz="4" w:space="0" w:color="auto"/>
            </w:tcBorders>
            <w:shd w:val="clear" w:color="auto" w:fill="E2E2E2"/>
          </w:tcPr>
          <w:p w14:paraId="2745A43B"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5BA33E4" w14:textId="77777777" w:rsidR="001B23B7" w:rsidRPr="00612E08" w:rsidRDefault="000013C3"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3657E1B"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2494DC84" w14:textId="77777777" w:rsidTr="004F71DA">
        <w:trPr>
          <w:trHeight w:val="489"/>
        </w:trPr>
        <w:tc>
          <w:tcPr>
            <w:tcW w:w="9180" w:type="dxa"/>
            <w:gridSpan w:val="11"/>
            <w:tcBorders>
              <w:top w:val="single" w:sz="4" w:space="0" w:color="auto"/>
              <w:left w:val="single" w:sz="4" w:space="0" w:color="auto"/>
              <w:bottom w:val="single" w:sz="4" w:space="0" w:color="FFFFFF"/>
            </w:tcBorders>
            <w:shd w:val="clear" w:color="auto" w:fill="FFFFFF"/>
          </w:tcPr>
          <w:p w14:paraId="4C7896ED"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4942D93D"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tr>
      <w:tr w:rsidR="00612E08" w:rsidRPr="00612E08" w14:paraId="5DC9245A"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DDC883E"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063BFFE" w14:textId="77777777" w:rsidR="001B23B7" w:rsidRPr="004F71DA" w:rsidRDefault="00CE11A1" w:rsidP="00CE11A1">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008B0CC3">
              <w:rPr>
                <w:rFonts w:ascii="Times New Roman" w:eastAsia="Times New Roman" w:hAnsi="Times New Roman" w:cs="Times New Roman"/>
                <w:sz w:val="20"/>
                <w:szCs w:val="20"/>
                <w:lang w:eastAsia="sk-SK"/>
              </w:rPr>
              <w:t>.</w:t>
            </w:r>
            <w:r w:rsidR="004F71DA">
              <w:rPr>
                <w:rFonts w:ascii="Times New Roman" w:eastAsia="Times New Roman" w:hAnsi="Times New Roman" w:cs="Times New Roman"/>
                <w:sz w:val="20"/>
                <w:szCs w:val="20"/>
                <w:lang w:eastAsia="sk-SK"/>
              </w:rPr>
              <w:t xml:space="preserve"> </w:t>
            </w:r>
            <w:r w:rsidR="008B0CC3">
              <w:rPr>
                <w:rFonts w:ascii="Times New Roman" w:eastAsia="Times New Roman" w:hAnsi="Times New Roman" w:cs="Times New Roman"/>
                <w:sz w:val="20"/>
                <w:szCs w:val="20"/>
                <w:lang w:eastAsia="sk-SK"/>
              </w:rPr>
              <w:t>10</w:t>
            </w:r>
            <w:r w:rsidR="004F71DA">
              <w:rPr>
                <w:rFonts w:ascii="Times New Roman" w:eastAsia="Times New Roman" w:hAnsi="Times New Roman" w:cs="Times New Roman"/>
                <w:sz w:val="20"/>
                <w:szCs w:val="20"/>
                <w:lang w:eastAsia="sk-SK"/>
              </w:rPr>
              <w:t xml:space="preserve">. 2024 – </w:t>
            </w:r>
            <w:r w:rsidR="008B0CC3">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1</w:t>
            </w:r>
            <w:r w:rsidR="004F71DA">
              <w:rPr>
                <w:rFonts w:ascii="Times New Roman" w:eastAsia="Times New Roman" w:hAnsi="Times New Roman" w:cs="Times New Roman"/>
                <w:sz w:val="20"/>
                <w:szCs w:val="20"/>
                <w:lang w:eastAsia="sk-SK"/>
              </w:rPr>
              <w:t>. 10. 2024</w:t>
            </w:r>
          </w:p>
        </w:tc>
      </w:tr>
      <w:tr w:rsidR="00612E08" w:rsidRPr="00612E08" w14:paraId="5816F6DC"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8846990"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AD27D1F" w14:textId="77777777" w:rsidR="001B23B7" w:rsidRPr="004F71DA" w:rsidRDefault="00CE11A1" w:rsidP="00CE11A1">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11</w:t>
            </w:r>
            <w:r w:rsidR="004F71DA">
              <w:rPr>
                <w:rFonts w:ascii="Times New Roman" w:eastAsia="Times New Roman" w:hAnsi="Times New Roman" w:cs="Times New Roman"/>
                <w:sz w:val="20"/>
                <w:szCs w:val="20"/>
                <w:lang w:eastAsia="sk-SK"/>
              </w:rPr>
              <w:t>. 1</w:t>
            </w:r>
            <w:r>
              <w:rPr>
                <w:rFonts w:ascii="Times New Roman" w:eastAsia="Times New Roman" w:hAnsi="Times New Roman" w:cs="Times New Roman"/>
                <w:sz w:val="20"/>
                <w:szCs w:val="20"/>
                <w:lang w:eastAsia="sk-SK"/>
              </w:rPr>
              <w:t>1</w:t>
            </w:r>
            <w:r w:rsidR="004F71DA">
              <w:rPr>
                <w:rFonts w:ascii="Times New Roman" w:eastAsia="Times New Roman" w:hAnsi="Times New Roman" w:cs="Times New Roman"/>
                <w:sz w:val="20"/>
                <w:szCs w:val="20"/>
                <w:lang w:eastAsia="sk-SK"/>
              </w:rPr>
              <w:t>. 2024</w:t>
            </w:r>
          </w:p>
        </w:tc>
      </w:tr>
      <w:tr w:rsidR="00612E08" w:rsidRPr="00612E08" w14:paraId="031BCC0F"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40945A5" w14:textId="77777777" w:rsidR="001B23B7" w:rsidRPr="00612E08" w:rsidRDefault="001B23B7" w:rsidP="00835A56">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2C177BF" w14:textId="77777777" w:rsidR="001B23B7" w:rsidRPr="004F71DA" w:rsidRDefault="004F71DA" w:rsidP="00835A56">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 . 11. 2024 – 26. 11. 2024</w:t>
            </w:r>
          </w:p>
        </w:tc>
      </w:tr>
      <w:tr w:rsidR="00612E08" w:rsidRPr="00612E08" w14:paraId="5565321B"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C6FFDB1" w14:textId="77777777" w:rsidR="001B23B7" w:rsidRPr="00612E08" w:rsidRDefault="001B23B7" w:rsidP="00835A56">
            <w:pPr>
              <w:spacing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F644984" w14:textId="77777777" w:rsidR="001B23B7" w:rsidRPr="004F71DA" w:rsidRDefault="00CE11A1" w:rsidP="00835A56">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December </w:t>
            </w:r>
            <w:r w:rsidR="004F71DA">
              <w:rPr>
                <w:rFonts w:ascii="Times New Roman" w:eastAsia="Times New Roman" w:hAnsi="Times New Roman" w:cs="Times New Roman"/>
                <w:sz w:val="20"/>
                <w:szCs w:val="20"/>
                <w:lang w:eastAsia="sk-SK"/>
              </w:rPr>
              <w:t xml:space="preserve"> 2024</w:t>
            </w:r>
          </w:p>
        </w:tc>
      </w:tr>
      <w:tr w:rsidR="00612E08" w:rsidRPr="00612E08" w14:paraId="03E156C1" w14:textId="77777777" w:rsidTr="000800FC">
        <w:tc>
          <w:tcPr>
            <w:tcW w:w="9180" w:type="dxa"/>
            <w:gridSpan w:val="11"/>
            <w:tcBorders>
              <w:top w:val="single" w:sz="4" w:space="0" w:color="auto"/>
              <w:left w:val="nil"/>
              <w:bottom w:val="single" w:sz="4" w:space="0" w:color="auto"/>
              <w:right w:val="nil"/>
            </w:tcBorders>
            <w:shd w:val="clear" w:color="auto" w:fill="FFFFFF"/>
          </w:tcPr>
          <w:p w14:paraId="264017E4"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tr>
      <w:tr w:rsidR="00612E08" w:rsidRPr="00612E08" w14:paraId="3A43B026"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6C9E42E"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196B1853"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1C969F6" w14:textId="77777777" w:rsidR="0064019C"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36F2D923" w14:textId="77777777" w:rsidR="0064019C" w:rsidRPr="00835A56" w:rsidRDefault="0064019C" w:rsidP="00835A56">
            <w:pPr>
              <w:spacing w:line="276" w:lineRule="auto"/>
              <w:jc w:val="both"/>
              <w:rPr>
                <w:rFonts w:ascii="Times New Roman" w:eastAsia="Times New Roman" w:hAnsi="Times New Roman" w:cs="Times New Roman"/>
                <w:i/>
                <w:sz w:val="16"/>
                <w:szCs w:val="16"/>
                <w:lang w:eastAsia="sk-SK"/>
              </w:rPr>
            </w:pPr>
          </w:p>
          <w:p w14:paraId="1D80D43B" w14:textId="77777777" w:rsidR="00273F50" w:rsidRDefault="004F71DA" w:rsidP="00835A56">
            <w:pPr>
              <w:spacing w:line="276" w:lineRule="auto"/>
              <w:jc w:val="both"/>
              <w:rPr>
                <w:rFonts w:ascii="Times New Roman" w:hAnsi="Times New Roman" w:cs="Times New Roman"/>
                <w:sz w:val="20"/>
                <w:szCs w:val="20"/>
              </w:rPr>
            </w:pPr>
            <w:r w:rsidRPr="008C10B5">
              <w:rPr>
                <w:rFonts w:ascii="Times New Roman" w:eastAsia="Times New Roman" w:hAnsi="Times New Roman" w:cs="Times New Roman"/>
                <w:sz w:val="20"/>
                <w:szCs w:val="20"/>
                <w:lang w:eastAsia="sk-SK"/>
              </w:rPr>
              <w:t xml:space="preserve">Dňa 01. 12. 2022 nadobudol účinnosť zákon č. 376/2022 Z. z. </w:t>
            </w:r>
            <w:r w:rsidR="0064019C" w:rsidRPr="008C10B5">
              <w:rPr>
                <w:rFonts w:ascii="Times New Roman" w:hAnsi="Times New Roman" w:cs="Times New Roman"/>
                <w:sz w:val="20"/>
                <w:szCs w:val="20"/>
              </w:rPr>
              <w:t xml:space="preserve">o profesionálnych náhradných </w:t>
            </w:r>
            <w:r w:rsidRPr="008C10B5">
              <w:rPr>
                <w:rFonts w:ascii="Times New Roman" w:hAnsi="Times New Roman" w:cs="Times New Roman"/>
                <w:sz w:val="20"/>
                <w:szCs w:val="20"/>
              </w:rPr>
              <w:t>rodičoch a o zmene a doplnení niektorých zákonov</w:t>
            </w:r>
            <w:r w:rsidR="0064019C" w:rsidRPr="008C10B5">
              <w:rPr>
                <w:rFonts w:ascii="Times New Roman" w:hAnsi="Times New Roman" w:cs="Times New Roman"/>
                <w:sz w:val="20"/>
                <w:szCs w:val="20"/>
              </w:rPr>
              <w:t xml:space="preserve"> (ďalej len „zákon o PNR“). Od účinnosti zákona o PNR Ministerstvo práce, sociálnych vecí a rodiny Slovenskej republiky (ďalej len „ministerstvo“) v spolupráci s Ústredím práce, sociálnych vecí a rodiny a zástupcami Fóra zamestnancov centier pre deti a rodiny, Združenia neštátnych detských domovov, profesionálnych náhradných rodičov, Národného inšpektorátu práce analyzovalo aplikačnú prax výkonu práce profesionálneho náhradného rodiča (zamestnanca centra pre deti a rodiny)</w:t>
            </w:r>
            <w:r w:rsidR="00C87DCB">
              <w:rPr>
                <w:rFonts w:ascii="Times New Roman" w:hAnsi="Times New Roman" w:cs="Times New Roman"/>
                <w:sz w:val="20"/>
                <w:szCs w:val="20"/>
              </w:rPr>
              <w:t xml:space="preserve"> a vyhodnocovalo podnety</w:t>
            </w:r>
            <w:r w:rsidR="00835A56">
              <w:rPr>
                <w:rFonts w:ascii="Times New Roman" w:hAnsi="Times New Roman" w:cs="Times New Roman"/>
                <w:sz w:val="20"/>
                <w:szCs w:val="20"/>
              </w:rPr>
              <w:t xml:space="preserve">. Z tohto dôvodu </w:t>
            </w:r>
            <w:r w:rsidR="00273F50">
              <w:rPr>
                <w:rFonts w:ascii="Times New Roman" w:hAnsi="Times New Roman" w:cs="Times New Roman"/>
                <w:sz w:val="20"/>
                <w:szCs w:val="20"/>
              </w:rPr>
              <w:t>návrh reaguje na niektoré problémy z praxe (neefektívne zaokrúhľovanie mzdy, neprimerané krátenie dovolenky</w:t>
            </w:r>
            <w:r w:rsidR="00835A56">
              <w:rPr>
                <w:rFonts w:ascii="Times New Roman" w:hAnsi="Times New Roman" w:cs="Times New Roman"/>
                <w:sz w:val="20"/>
                <w:szCs w:val="20"/>
              </w:rPr>
              <w:t xml:space="preserve"> za neodpracované dni</w:t>
            </w:r>
            <w:r w:rsidR="00273F50">
              <w:rPr>
                <w:rFonts w:ascii="Times New Roman" w:hAnsi="Times New Roman" w:cs="Times New Roman"/>
                <w:sz w:val="20"/>
                <w:szCs w:val="20"/>
              </w:rPr>
              <w:t xml:space="preserve">, </w:t>
            </w:r>
            <w:r w:rsidR="00835A56">
              <w:rPr>
                <w:rFonts w:ascii="Times New Roman" w:hAnsi="Times New Roman" w:cs="Times New Roman"/>
                <w:sz w:val="20"/>
                <w:szCs w:val="20"/>
              </w:rPr>
              <w:t xml:space="preserve">nízke využitie </w:t>
            </w:r>
            <w:r w:rsidR="00273F50">
              <w:rPr>
                <w:rFonts w:ascii="Times New Roman" w:hAnsi="Times New Roman" w:cs="Times New Roman"/>
                <w:sz w:val="20"/>
                <w:szCs w:val="20"/>
              </w:rPr>
              <w:t xml:space="preserve">tzv. </w:t>
            </w:r>
            <w:r w:rsidR="00835A56">
              <w:rPr>
                <w:rFonts w:ascii="Times New Roman" w:hAnsi="Times New Roman" w:cs="Times New Roman"/>
                <w:sz w:val="20"/>
                <w:szCs w:val="20"/>
              </w:rPr>
              <w:t xml:space="preserve">zdieľaného </w:t>
            </w:r>
            <w:r w:rsidR="00273F50">
              <w:rPr>
                <w:rFonts w:ascii="Times New Roman" w:hAnsi="Times New Roman" w:cs="Times New Roman"/>
                <w:sz w:val="20"/>
                <w:szCs w:val="20"/>
              </w:rPr>
              <w:t xml:space="preserve"> miesta</w:t>
            </w:r>
            <w:r w:rsidR="00B7406B">
              <w:rPr>
                <w:rFonts w:ascii="Times New Roman" w:hAnsi="Times New Roman" w:cs="Times New Roman"/>
                <w:sz w:val="20"/>
                <w:szCs w:val="20"/>
              </w:rPr>
              <w:t xml:space="preserve">, nízka motivácia profesionálnych náhradných rodičov starať sa o dieťa s ťažkým zdravotným postihnutím, </w:t>
            </w:r>
            <w:r w:rsidR="00273F50">
              <w:rPr>
                <w:rFonts w:ascii="Times New Roman" w:hAnsi="Times New Roman" w:cs="Times New Roman"/>
                <w:sz w:val="20"/>
                <w:szCs w:val="20"/>
              </w:rPr>
              <w:t>...)</w:t>
            </w:r>
            <w:r w:rsidR="0064019C" w:rsidRPr="008C10B5">
              <w:rPr>
                <w:rFonts w:ascii="Times New Roman" w:hAnsi="Times New Roman" w:cs="Times New Roman"/>
                <w:sz w:val="20"/>
                <w:szCs w:val="20"/>
              </w:rPr>
              <w:t xml:space="preserve">. </w:t>
            </w:r>
          </w:p>
          <w:p w14:paraId="725A9DF8" w14:textId="3E74E44B" w:rsidR="004F71DA" w:rsidRPr="008C10B5" w:rsidRDefault="00273F50" w:rsidP="00835A56">
            <w:pPr>
              <w:spacing w:line="276" w:lineRule="auto"/>
              <w:jc w:val="both"/>
              <w:rPr>
                <w:rFonts w:ascii="Times New Roman" w:eastAsia="Times New Roman" w:hAnsi="Times New Roman" w:cs="Times New Roman"/>
                <w:i/>
                <w:sz w:val="20"/>
                <w:szCs w:val="20"/>
                <w:lang w:eastAsia="sk-SK"/>
              </w:rPr>
            </w:pPr>
            <w:r>
              <w:rPr>
                <w:rFonts w:ascii="Times New Roman" w:hAnsi="Times New Roman" w:cs="Times New Roman"/>
                <w:sz w:val="20"/>
                <w:szCs w:val="20"/>
              </w:rPr>
              <w:t xml:space="preserve">V Centrách pre deti a rodiny žije v špecializovaných skupinách v priemere 60 detí do dvoch rokov veku s vážnym zdravotným stavom/zdravotným znevýhodnením, do týchto zariadení je zároveň ročne prijatých cca 50 detí – novorodencov, batoliat s vážnym zdravotným znevýhodnením. Jedným zo strategických zámerov Slovenskej republiky v oblasti </w:t>
            </w:r>
            <w:proofErr w:type="spellStart"/>
            <w:r>
              <w:rPr>
                <w:rFonts w:ascii="Times New Roman" w:hAnsi="Times New Roman" w:cs="Times New Roman"/>
                <w:sz w:val="20"/>
                <w:szCs w:val="20"/>
              </w:rPr>
              <w:t>deinštitucionalizácie</w:t>
            </w:r>
            <w:proofErr w:type="spellEnd"/>
            <w:r>
              <w:rPr>
                <w:rFonts w:ascii="Times New Roman" w:hAnsi="Times New Roman" w:cs="Times New Roman"/>
                <w:sz w:val="20"/>
                <w:szCs w:val="20"/>
              </w:rPr>
              <w:t xml:space="preserve"> náhradnej starostlivosti je práve zlepšenie  podmienok života detí so zdravotným znevýhodnením v centrách pre deti a rodiny. Ministerstvo je z tohto dôvodu (</w:t>
            </w:r>
            <w:proofErr w:type="spellStart"/>
            <w:r>
              <w:rPr>
                <w:rFonts w:ascii="Times New Roman" w:hAnsi="Times New Roman" w:cs="Times New Roman"/>
                <w:sz w:val="20"/>
                <w:szCs w:val="20"/>
              </w:rPr>
              <w:t>o.i</w:t>
            </w:r>
            <w:proofErr w:type="spellEnd"/>
            <w:r>
              <w:rPr>
                <w:rFonts w:ascii="Times New Roman" w:hAnsi="Times New Roman" w:cs="Times New Roman"/>
                <w:sz w:val="20"/>
                <w:szCs w:val="20"/>
              </w:rPr>
              <w:t>.)</w:t>
            </w:r>
            <w:r w:rsidR="00DA117E">
              <w:rPr>
                <w:rFonts w:ascii="Times New Roman" w:hAnsi="Times New Roman" w:cs="Times New Roman"/>
                <w:sz w:val="20"/>
                <w:szCs w:val="20"/>
              </w:rPr>
              <w:t xml:space="preserve"> </w:t>
            </w:r>
            <w:r w:rsidR="0064019C" w:rsidRPr="008C10B5">
              <w:rPr>
                <w:rFonts w:ascii="Times New Roman" w:hAnsi="Times New Roman" w:cs="Times New Roman"/>
                <w:sz w:val="20"/>
                <w:szCs w:val="20"/>
              </w:rPr>
              <w:t xml:space="preserve">príjemca </w:t>
            </w:r>
            <w:r w:rsidR="00547D1A" w:rsidRPr="008C10B5">
              <w:rPr>
                <w:rFonts w:ascii="Times New Roman" w:hAnsi="Times New Roman" w:cs="Times New Roman"/>
                <w:sz w:val="20"/>
                <w:szCs w:val="20"/>
              </w:rPr>
              <w:t>výstupov projektu</w:t>
            </w:r>
            <w:r w:rsidR="00ED7D10" w:rsidRPr="008C10B5">
              <w:rPr>
                <w:rFonts w:ascii="Times New Roman" w:hAnsi="Times New Roman" w:cs="Times New Roman"/>
                <w:sz w:val="20"/>
                <w:szCs w:val="20"/>
              </w:rPr>
              <w:t xml:space="preserve"> Európskej komisie (v rámci Nástroja technickej pomoci) s názvom </w:t>
            </w:r>
            <w:r w:rsidR="00547D1A" w:rsidRPr="008C10B5">
              <w:rPr>
                <w:rFonts w:ascii="Times New Roman" w:hAnsi="Times New Roman" w:cs="Times New Roman"/>
                <w:bCs/>
                <w:sz w:val="20"/>
                <w:szCs w:val="20"/>
              </w:rPr>
              <w:t xml:space="preserve">Implementácia Európskej záruky pre deti – Inklúzia detí so zdravotným znevýhodnením v kontexte </w:t>
            </w:r>
            <w:proofErr w:type="spellStart"/>
            <w:r w:rsidR="00547D1A" w:rsidRPr="008C10B5">
              <w:rPr>
                <w:rFonts w:ascii="Times New Roman" w:hAnsi="Times New Roman" w:cs="Times New Roman"/>
                <w:bCs/>
                <w:sz w:val="20"/>
                <w:szCs w:val="20"/>
              </w:rPr>
              <w:t>deinštitucionalizácie</w:t>
            </w:r>
            <w:proofErr w:type="spellEnd"/>
            <w:r w:rsidR="00547D1A" w:rsidRPr="008C10B5">
              <w:rPr>
                <w:rFonts w:ascii="Times New Roman" w:hAnsi="Times New Roman" w:cs="Times New Roman"/>
                <w:bCs/>
                <w:sz w:val="20"/>
                <w:szCs w:val="20"/>
              </w:rPr>
              <w:t xml:space="preserve"> náhradnej starostlivosti</w:t>
            </w:r>
            <w:r w:rsidR="00C87DCB">
              <w:rPr>
                <w:rFonts w:ascii="Times New Roman" w:hAnsi="Times New Roman" w:cs="Times New Roman"/>
                <w:bCs/>
                <w:sz w:val="20"/>
                <w:szCs w:val="20"/>
              </w:rPr>
              <w:t xml:space="preserve">, v rámci ktorého sú </w:t>
            </w:r>
            <w:r w:rsidR="00835A56">
              <w:rPr>
                <w:rFonts w:ascii="Times New Roman" w:hAnsi="Times New Roman" w:cs="Times New Roman"/>
                <w:bCs/>
                <w:sz w:val="20"/>
                <w:szCs w:val="20"/>
              </w:rPr>
              <w:t>navrhované</w:t>
            </w:r>
            <w:r w:rsidR="00C87DCB">
              <w:rPr>
                <w:rFonts w:ascii="Times New Roman" w:hAnsi="Times New Roman" w:cs="Times New Roman"/>
                <w:bCs/>
                <w:sz w:val="20"/>
                <w:szCs w:val="20"/>
              </w:rPr>
              <w:t xml:space="preserve"> odporúčania </w:t>
            </w:r>
            <w:r w:rsidR="00313DDC">
              <w:rPr>
                <w:rFonts w:ascii="Times New Roman" w:hAnsi="Times New Roman" w:cs="Times New Roman"/>
                <w:bCs/>
                <w:sz w:val="20"/>
                <w:szCs w:val="20"/>
              </w:rPr>
              <w:t>pre</w:t>
            </w:r>
            <w:r w:rsidR="00C87DCB">
              <w:rPr>
                <w:rFonts w:ascii="Times New Roman" w:hAnsi="Times New Roman" w:cs="Times New Roman"/>
                <w:bCs/>
                <w:sz w:val="20"/>
                <w:szCs w:val="20"/>
              </w:rPr>
              <w:t xml:space="preserve"> zlepšenie podmienok zabezpečenia starostlivosti o deti so zdravotným znevýhodnením v rannom veku</w:t>
            </w:r>
            <w:r w:rsidR="00313DDC">
              <w:rPr>
                <w:rFonts w:ascii="Times New Roman" w:hAnsi="Times New Roman" w:cs="Times New Roman"/>
                <w:bCs/>
                <w:sz w:val="20"/>
                <w:szCs w:val="20"/>
              </w:rPr>
              <w:t xml:space="preserve">, ktoré </w:t>
            </w:r>
            <w:r w:rsidR="00054C27">
              <w:rPr>
                <w:rFonts w:ascii="Times New Roman" w:hAnsi="Times New Roman" w:cs="Times New Roman"/>
                <w:bCs/>
                <w:sz w:val="20"/>
                <w:szCs w:val="20"/>
              </w:rPr>
              <w:t>z</w:t>
            </w:r>
            <w:r w:rsidR="00313DDC">
              <w:rPr>
                <w:rFonts w:ascii="Times New Roman" w:hAnsi="Times New Roman" w:cs="Times New Roman"/>
                <w:bCs/>
                <w:sz w:val="20"/>
                <w:szCs w:val="20"/>
              </w:rPr>
              <w:t> časti reflektuje predkladaný návrh</w:t>
            </w:r>
            <w:r w:rsidR="00ED7D10" w:rsidRPr="008C10B5">
              <w:rPr>
                <w:rFonts w:ascii="Times New Roman" w:hAnsi="Times New Roman" w:cs="Times New Roman"/>
                <w:bCs/>
                <w:sz w:val="20"/>
                <w:szCs w:val="20"/>
              </w:rPr>
              <w:t xml:space="preserve">. </w:t>
            </w:r>
          </w:p>
        </w:tc>
      </w:tr>
      <w:tr w:rsidR="00612E08" w:rsidRPr="00612E08" w14:paraId="1E90E6C8"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3C90EAEA"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7D4EAEBB"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7F23CFB" w14:textId="77777777" w:rsidR="0012607E" w:rsidRDefault="0012607E" w:rsidP="00835A56">
            <w:pPr>
              <w:spacing w:line="276" w:lineRule="auto"/>
              <w:jc w:val="both"/>
              <w:rPr>
                <w:rFonts w:ascii="Times New Roman" w:eastAsia="Times New Roman" w:hAnsi="Times New Roman" w:cs="Times New Roman"/>
                <w:sz w:val="20"/>
                <w:szCs w:val="20"/>
                <w:lang w:eastAsia="sk-SK"/>
              </w:rPr>
            </w:pPr>
            <w:r w:rsidRPr="0012607E">
              <w:rPr>
                <w:rFonts w:ascii="Times New Roman" w:eastAsia="Times New Roman" w:hAnsi="Times New Roman" w:cs="Times New Roman"/>
                <w:sz w:val="20"/>
                <w:szCs w:val="20"/>
                <w:lang w:eastAsia="sk-SK"/>
              </w:rPr>
              <w:t xml:space="preserve">Návrh reaguje na identifikované možnosti zlepšenia pracovnoprávnych podmienok profesionálnych náhradných rodičov všeobecne, ako aj špecificky vo vzťahu k náhradnej starostlivosti o deti so zdravotným znevýhodnením. </w:t>
            </w:r>
            <w:r w:rsidR="00835A56">
              <w:rPr>
                <w:rFonts w:ascii="Times New Roman" w:eastAsia="Times New Roman" w:hAnsi="Times New Roman" w:cs="Times New Roman"/>
                <w:sz w:val="20"/>
                <w:szCs w:val="20"/>
                <w:lang w:eastAsia="sk-SK"/>
              </w:rPr>
              <w:t>Základné ciele návrhu</w:t>
            </w:r>
            <w:r>
              <w:rPr>
                <w:rFonts w:ascii="Times New Roman" w:eastAsia="Times New Roman" w:hAnsi="Times New Roman" w:cs="Times New Roman"/>
                <w:sz w:val="20"/>
                <w:szCs w:val="20"/>
                <w:lang w:eastAsia="sk-SK"/>
              </w:rPr>
              <w:t xml:space="preserve">: </w:t>
            </w:r>
          </w:p>
          <w:p w14:paraId="631A371B" w14:textId="77777777" w:rsidR="00313DDC" w:rsidRPr="0012607E" w:rsidRDefault="00313DDC" w:rsidP="00835A56">
            <w:pPr>
              <w:pStyle w:val="Odsekzoznamu"/>
              <w:numPr>
                <w:ilvl w:val="0"/>
                <w:numId w:val="2"/>
              </w:numPr>
              <w:spacing w:line="276" w:lineRule="auto"/>
              <w:ind w:left="306"/>
              <w:jc w:val="both"/>
              <w:rPr>
                <w:rFonts w:ascii="Times New Roman" w:eastAsia="Times New Roman" w:hAnsi="Times New Roman" w:cs="Times New Roman"/>
                <w:sz w:val="20"/>
                <w:szCs w:val="20"/>
                <w:lang w:eastAsia="sk-SK"/>
              </w:rPr>
            </w:pPr>
            <w:r w:rsidRPr="0012607E">
              <w:rPr>
                <w:rFonts w:ascii="Times New Roman" w:eastAsia="Times New Roman" w:hAnsi="Times New Roman" w:cs="Times New Roman"/>
                <w:sz w:val="20"/>
                <w:szCs w:val="20"/>
                <w:lang w:eastAsia="sk-SK"/>
              </w:rPr>
              <w:t>precizovanie niektorých ustanovení ako reakcia na aplikačnú prax (</w:t>
            </w:r>
            <w:r w:rsidRPr="0012607E">
              <w:rPr>
                <w:rFonts w:ascii="Times New Roman" w:hAnsi="Times New Roman" w:cs="Times New Roman"/>
                <w:bCs/>
                <w:color w:val="000000"/>
                <w:sz w:val="20"/>
                <w:szCs w:val="20"/>
              </w:rPr>
              <w:t>náležitostí pracovnej zmluvy, zaokrúhľovania mzdy, výpočtu krátenia dovolenky a atď.)</w:t>
            </w:r>
            <w:r w:rsidRPr="0012607E">
              <w:rPr>
                <w:rFonts w:ascii="Times New Roman" w:eastAsia="Times New Roman" w:hAnsi="Times New Roman" w:cs="Times New Roman"/>
                <w:sz w:val="20"/>
                <w:szCs w:val="20"/>
                <w:lang w:eastAsia="sk-SK"/>
              </w:rPr>
              <w:t xml:space="preserve">, </w:t>
            </w:r>
          </w:p>
          <w:p w14:paraId="7FC10369" w14:textId="77777777" w:rsidR="00313DDC" w:rsidRPr="00A050DD" w:rsidRDefault="00313DDC" w:rsidP="00835A56">
            <w:pPr>
              <w:pStyle w:val="Odsekzoznamu"/>
              <w:numPr>
                <w:ilvl w:val="0"/>
                <w:numId w:val="2"/>
              </w:numPr>
              <w:spacing w:line="276" w:lineRule="auto"/>
              <w:ind w:left="306"/>
              <w:jc w:val="both"/>
              <w:rPr>
                <w:rFonts w:ascii="Times New Roman" w:eastAsia="Times New Roman" w:hAnsi="Times New Roman" w:cs="Times New Roman"/>
                <w:sz w:val="20"/>
                <w:szCs w:val="20"/>
                <w:lang w:eastAsia="sk-SK"/>
              </w:rPr>
            </w:pPr>
            <w:r w:rsidRPr="0012607E">
              <w:rPr>
                <w:rFonts w:ascii="Times New Roman" w:eastAsia="Times New Roman" w:hAnsi="Times New Roman" w:cs="Times New Roman"/>
                <w:sz w:val="20"/>
                <w:szCs w:val="20"/>
                <w:lang w:eastAsia="sk-SK"/>
              </w:rPr>
              <w:lastRenderedPageBreak/>
              <w:t xml:space="preserve">skvalitnenie podmienok </w:t>
            </w:r>
            <w:r w:rsidR="00452162">
              <w:rPr>
                <w:rFonts w:ascii="Times New Roman" w:eastAsia="Times New Roman" w:hAnsi="Times New Roman" w:cs="Times New Roman"/>
                <w:sz w:val="20"/>
                <w:szCs w:val="20"/>
                <w:lang w:eastAsia="sk-SK"/>
              </w:rPr>
              <w:t>pre</w:t>
            </w:r>
            <w:r w:rsidRPr="0012607E">
              <w:rPr>
                <w:rFonts w:ascii="Times New Roman" w:eastAsia="Times New Roman" w:hAnsi="Times New Roman" w:cs="Times New Roman"/>
                <w:sz w:val="20"/>
                <w:szCs w:val="20"/>
                <w:lang w:eastAsia="sk-SK"/>
              </w:rPr>
              <w:t xml:space="preserve"> výkon práce profesionálnych náhradných rodičov a </w:t>
            </w:r>
            <w:r w:rsidRPr="0012607E">
              <w:rPr>
                <w:rFonts w:ascii="Times New Roman" w:hAnsi="Times New Roman" w:cs="Times New Roman"/>
                <w:bCs/>
                <w:color w:val="000000"/>
                <w:sz w:val="20"/>
                <w:szCs w:val="20"/>
              </w:rPr>
              <w:t xml:space="preserve">podpora </w:t>
            </w:r>
            <w:proofErr w:type="spellStart"/>
            <w:r w:rsidRPr="0012607E">
              <w:rPr>
                <w:rFonts w:ascii="Times New Roman" w:hAnsi="Times New Roman" w:cs="Times New Roman"/>
                <w:bCs/>
                <w:color w:val="000000"/>
                <w:sz w:val="20"/>
                <w:szCs w:val="20"/>
              </w:rPr>
              <w:t>deinštitucionalizácie</w:t>
            </w:r>
            <w:proofErr w:type="spellEnd"/>
            <w:r w:rsidRPr="0012607E">
              <w:rPr>
                <w:rFonts w:ascii="Times New Roman" w:hAnsi="Times New Roman" w:cs="Times New Roman"/>
                <w:bCs/>
                <w:color w:val="000000"/>
                <w:sz w:val="20"/>
                <w:szCs w:val="20"/>
              </w:rPr>
              <w:t xml:space="preserve"> systému náhradnej starostlivosti s osobitným zameraním na utváranie podmienok starostlivosti o deti so zdravotným znevýhodnením, ktoré sú umiestňované v centrách pre deti a rodiny na základe rozhodnutia súdu </w:t>
            </w:r>
            <w:r w:rsidRPr="00A050DD">
              <w:rPr>
                <w:rFonts w:ascii="Times New Roman" w:hAnsi="Times New Roman" w:cs="Times New Roman"/>
                <w:bCs/>
                <w:color w:val="000000"/>
                <w:sz w:val="20"/>
                <w:szCs w:val="20"/>
              </w:rPr>
              <w:t>najmä</w:t>
            </w:r>
            <w:r w:rsidR="0012607E" w:rsidRPr="00A050DD">
              <w:rPr>
                <w:rFonts w:ascii="Times New Roman" w:hAnsi="Times New Roman" w:cs="Times New Roman"/>
                <w:bCs/>
                <w:color w:val="000000"/>
                <w:sz w:val="20"/>
                <w:szCs w:val="20"/>
              </w:rPr>
              <w:t>:</w:t>
            </w:r>
          </w:p>
          <w:p w14:paraId="2AACD5F9" w14:textId="77777777" w:rsidR="00313DDC" w:rsidRPr="00A050DD" w:rsidRDefault="00313DDC" w:rsidP="00835A56">
            <w:pPr>
              <w:pStyle w:val="Odsekzoznamu"/>
              <w:numPr>
                <w:ilvl w:val="0"/>
                <w:numId w:val="4"/>
              </w:numPr>
              <w:spacing w:line="276" w:lineRule="auto"/>
              <w:jc w:val="both"/>
              <w:rPr>
                <w:sz w:val="20"/>
                <w:szCs w:val="20"/>
              </w:rPr>
            </w:pPr>
            <w:r w:rsidRPr="00A050DD">
              <w:rPr>
                <w:rFonts w:ascii="Times New Roman" w:hAnsi="Times New Roman" w:cs="Times New Roman"/>
                <w:bCs/>
                <w:color w:val="000000"/>
                <w:sz w:val="20"/>
                <w:szCs w:val="20"/>
              </w:rPr>
              <w:t xml:space="preserve">zavedením prestávky na obnovu kondície profesionálneho náhradného rodiča, ak sa stará o dieťa </w:t>
            </w:r>
            <w:r w:rsidRPr="00A050DD">
              <w:rPr>
                <w:rFonts w:ascii="Times New Roman" w:hAnsi="Times New Roman" w:cs="Times New Roman"/>
                <w:sz w:val="20"/>
                <w:szCs w:val="20"/>
                <w:shd w:val="clear" w:color="auto" w:fill="FFFFFF"/>
              </w:rPr>
              <w:t xml:space="preserve">s ťažkým zdravotným postihnutím, </w:t>
            </w:r>
          </w:p>
          <w:p w14:paraId="43996AA1" w14:textId="77777777" w:rsidR="00313DDC" w:rsidRPr="00A050DD" w:rsidRDefault="00313DDC" w:rsidP="00835A56">
            <w:pPr>
              <w:pStyle w:val="Odsekzoznamu"/>
              <w:numPr>
                <w:ilvl w:val="0"/>
                <w:numId w:val="4"/>
              </w:numPr>
              <w:spacing w:line="276" w:lineRule="auto"/>
              <w:jc w:val="both"/>
              <w:rPr>
                <w:sz w:val="20"/>
                <w:szCs w:val="20"/>
              </w:rPr>
            </w:pPr>
            <w:r w:rsidRPr="00A050DD">
              <w:rPr>
                <w:rFonts w:ascii="Times New Roman" w:hAnsi="Times New Roman" w:cs="Times New Roman"/>
                <w:sz w:val="20"/>
                <w:szCs w:val="20"/>
                <w:shd w:val="clear" w:color="auto" w:fill="FFFFFF"/>
              </w:rPr>
              <w:t>sprísnením možností výnimiek pre zaraďovanie zdravotne znevýhodnených detí do profesionálnych náhradných rodín</w:t>
            </w:r>
            <w:r w:rsidRPr="00A050DD">
              <w:rPr>
                <w:rFonts w:ascii="Times New Roman" w:hAnsi="Times New Roman"/>
                <w:sz w:val="20"/>
                <w:szCs w:val="20"/>
              </w:rPr>
              <w:t xml:space="preserve"> a s tým súvisiacim navýšením počtu profesionálnych náhradných rodičov najmä pre deti so zdravotným znevýhodnením, </w:t>
            </w:r>
          </w:p>
          <w:p w14:paraId="6F9C6CAA" w14:textId="1CFF3B26" w:rsidR="00313DDC" w:rsidRPr="00A050DD" w:rsidRDefault="00313DDC" w:rsidP="00835A56">
            <w:pPr>
              <w:pStyle w:val="Odsekzoznamu"/>
              <w:numPr>
                <w:ilvl w:val="0"/>
                <w:numId w:val="4"/>
              </w:numPr>
              <w:spacing w:line="276" w:lineRule="auto"/>
              <w:jc w:val="both"/>
              <w:rPr>
                <w:sz w:val="20"/>
                <w:szCs w:val="20"/>
              </w:rPr>
            </w:pPr>
            <w:r w:rsidRPr="00A050DD">
              <w:rPr>
                <w:rFonts w:ascii="Times New Roman" w:hAnsi="Times New Roman" w:cs="Times New Roman"/>
                <w:sz w:val="20"/>
                <w:szCs w:val="20"/>
                <w:shd w:val="clear" w:color="auto" w:fill="FFFFFF"/>
              </w:rPr>
              <w:t>zavedením finančn</w:t>
            </w:r>
            <w:r w:rsidR="00DA117E">
              <w:rPr>
                <w:rFonts w:ascii="Times New Roman" w:hAnsi="Times New Roman" w:cs="Times New Roman"/>
                <w:sz w:val="20"/>
                <w:szCs w:val="20"/>
                <w:shd w:val="clear" w:color="auto" w:fill="FFFFFF"/>
              </w:rPr>
              <w:t xml:space="preserve">ého príspevku </w:t>
            </w:r>
            <w:r w:rsidRPr="00A050DD">
              <w:rPr>
                <w:rFonts w:ascii="Times New Roman" w:hAnsi="Times New Roman" w:cs="Times New Roman"/>
                <w:sz w:val="20"/>
                <w:szCs w:val="20"/>
                <w:shd w:val="clear" w:color="auto" w:fill="FFFFFF"/>
              </w:rPr>
              <w:t xml:space="preserve"> na úpravu/</w:t>
            </w:r>
            <w:proofErr w:type="spellStart"/>
            <w:r w:rsidRPr="00A050DD">
              <w:rPr>
                <w:rFonts w:ascii="Times New Roman" w:hAnsi="Times New Roman" w:cs="Times New Roman"/>
                <w:sz w:val="20"/>
                <w:szCs w:val="20"/>
                <w:shd w:val="clear" w:color="auto" w:fill="FFFFFF"/>
              </w:rPr>
              <w:t>debarierizáciu</w:t>
            </w:r>
            <w:proofErr w:type="spellEnd"/>
            <w:r w:rsidRPr="00A050DD">
              <w:rPr>
                <w:rFonts w:ascii="Times New Roman" w:hAnsi="Times New Roman" w:cs="Times New Roman"/>
                <w:sz w:val="20"/>
                <w:szCs w:val="20"/>
                <w:shd w:val="clear" w:color="auto" w:fill="FFFFFF"/>
              </w:rPr>
              <w:t xml:space="preserve"> domu/bytu profesionálneho náhradného</w:t>
            </w:r>
            <w:r w:rsidRPr="00A050DD">
              <w:rPr>
                <w:rFonts w:ascii="Times New Roman" w:hAnsi="Times New Roman"/>
                <w:sz w:val="20"/>
                <w:szCs w:val="20"/>
                <w:shd w:val="clear" w:color="auto" w:fill="FFFFFF"/>
              </w:rPr>
              <w:t xml:space="preserve"> rodiča,  </w:t>
            </w:r>
            <w:r w:rsidRPr="00A050DD">
              <w:rPr>
                <w:rFonts w:ascii="Times New Roman" w:hAnsi="Times New Roman"/>
                <w:bCs/>
                <w:color w:val="000000"/>
                <w:sz w:val="20"/>
                <w:szCs w:val="20"/>
              </w:rPr>
              <w:t xml:space="preserve">ak sa stará o dieťa </w:t>
            </w:r>
            <w:r w:rsidRPr="00A050DD">
              <w:rPr>
                <w:rFonts w:ascii="Times New Roman" w:hAnsi="Times New Roman"/>
                <w:sz w:val="20"/>
                <w:szCs w:val="20"/>
                <w:shd w:val="clear" w:color="auto" w:fill="FFFFFF"/>
              </w:rPr>
              <w:t>s ťažkým zdravotným postihnutím,</w:t>
            </w:r>
          </w:p>
          <w:p w14:paraId="5F01AF37" w14:textId="77777777" w:rsidR="00313DDC" w:rsidRPr="00A050DD" w:rsidRDefault="00313DDC" w:rsidP="00835A56">
            <w:pPr>
              <w:pStyle w:val="Odsekzoznamu"/>
              <w:numPr>
                <w:ilvl w:val="0"/>
                <w:numId w:val="4"/>
              </w:numPr>
              <w:spacing w:line="276" w:lineRule="auto"/>
              <w:ind w:left="284"/>
              <w:jc w:val="both"/>
              <w:rPr>
                <w:i/>
                <w:sz w:val="20"/>
                <w:szCs w:val="20"/>
              </w:rPr>
            </w:pPr>
            <w:r w:rsidRPr="00A050DD">
              <w:rPr>
                <w:rFonts w:ascii="Times New Roman" w:hAnsi="Times New Roman"/>
                <w:sz w:val="20"/>
                <w:szCs w:val="20"/>
              </w:rPr>
              <w:t xml:space="preserve">zavedenie možnosti súbehu </w:t>
            </w:r>
            <w:r w:rsidR="00A050DD" w:rsidRPr="00A050DD">
              <w:rPr>
                <w:rFonts w:ascii="Times New Roman" w:hAnsi="Times New Roman"/>
                <w:sz w:val="20"/>
                <w:szCs w:val="20"/>
              </w:rPr>
              <w:t>výkonu práce profesionálneho náhradného rodiča</w:t>
            </w:r>
            <w:r w:rsidR="00A050DD">
              <w:rPr>
                <w:rFonts w:ascii="Times New Roman" w:hAnsi="Times New Roman"/>
                <w:sz w:val="20"/>
                <w:szCs w:val="20"/>
              </w:rPr>
              <w:t xml:space="preserve"> </w:t>
            </w:r>
            <w:r w:rsidRPr="00A050DD">
              <w:rPr>
                <w:rFonts w:ascii="Times New Roman" w:hAnsi="Times New Roman"/>
                <w:sz w:val="20"/>
                <w:szCs w:val="20"/>
              </w:rPr>
              <w:t>a</w:t>
            </w:r>
            <w:r w:rsidR="00A050DD" w:rsidRPr="00A050DD">
              <w:rPr>
                <w:rFonts w:ascii="Times New Roman" w:hAnsi="Times New Roman"/>
                <w:sz w:val="20"/>
                <w:szCs w:val="20"/>
              </w:rPr>
              <w:t xml:space="preserve"> čerpania </w:t>
            </w:r>
            <w:r w:rsidRPr="00A050DD">
              <w:rPr>
                <w:rFonts w:ascii="Times New Roman" w:hAnsi="Times New Roman"/>
                <w:sz w:val="20"/>
                <w:szCs w:val="20"/>
              </w:rPr>
              <w:t xml:space="preserve"> matersk</w:t>
            </w:r>
            <w:r w:rsidR="00452162">
              <w:rPr>
                <w:rFonts w:ascii="Times New Roman" w:hAnsi="Times New Roman"/>
                <w:sz w:val="20"/>
                <w:szCs w:val="20"/>
              </w:rPr>
              <w:t>ého/otcovského</w:t>
            </w:r>
            <w:r w:rsidR="0012607E" w:rsidRPr="00A050DD">
              <w:rPr>
                <w:rFonts w:ascii="Times New Roman" w:hAnsi="Times New Roman"/>
                <w:sz w:val="20"/>
                <w:szCs w:val="20"/>
              </w:rPr>
              <w:t xml:space="preserve">. </w:t>
            </w:r>
          </w:p>
          <w:p w14:paraId="5EABBBC0" w14:textId="0AF25266" w:rsidR="001B23B7" w:rsidRPr="00835A56" w:rsidRDefault="00835A56" w:rsidP="00835A56">
            <w:pPr>
              <w:pStyle w:val="Odsekzoznamu"/>
              <w:spacing w:line="276" w:lineRule="auto"/>
              <w:ind w:left="0"/>
              <w:jc w:val="both"/>
              <w:rPr>
                <w:rFonts w:ascii="Times New Roman" w:eastAsia="Times New Roman" w:hAnsi="Times New Roman" w:cs="Times New Roman"/>
                <w:i/>
                <w:sz w:val="20"/>
                <w:szCs w:val="20"/>
                <w:lang w:eastAsia="sk-SK"/>
              </w:rPr>
            </w:pPr>
            <w:r w:rsidRPr="0012607E">
              <w:rPr>
                <w:rFonts w:ascii="Times New Roman" w:eastAsia="Times New Roman" w:hAnsi="Times New Roman" w:cs="Times New Roman"/>
                <w:sz w:val="20"/>
                <w:szCs w:val="20"/>
                <w:lang w:eastAsia="sk-SK"/>
              </w:rPr>
              <w:t>Očakávaným výsledkom je najmä zmena v spôsobe starostlivosti o deti so zdravotným znevýhodnení tak, aby celkové podmienky umožnili čo najvyššiemu počtu najmä novorodencov a batoliat, ktoré sú do centier</w:t>
            </w:r>
            <w:r>
              <w:rPr>
                <w:rFonts w:ascii="Times New Roman" w:eastAsia="Times New Roman" w:hAnsi="Times New Roman" w:cs="Times New Roman"/>
                <w:sz w:val="20"/>
                <w:szCs w:val="20"/>
                <w:lang w:eastAsia="sk-SK"/>
              </w:rPr>
              <w:t xml:space="preserve"> pre deti a rodiny </w:t>
            </w:r>
            <w:r w:rsidRPr="0012607E">
              <w:rPr>
                <w:rFonts w:ascii="Times New Roman" w:eastAsia="Times New Roman" w:hAnsi="Times New Roman" w:cs="Times New Roman"/>
                <w:sz w:val="20"/>
                <w:szCs w:val="20"/>
                <w:lang w:eastAsia="sk-SK"/>
              </w:rPr>
              <w:t>umiestňované na základe rozhodnutia súdu vyrastať v rodinnom  prostredí profesionálnych náhradných rodín (samozrejme</w:t>
            </w:r>
            <w:r w:rsidR="00DA117E">
              <w:rPr>
                <w:rFonts w:ascii="Times New Roman" w:eastAsia="Times New Roman" w:hAnsi="Times New Roman" w:cs="Times New Roman"/>
                <w:sz w:val="20"/>
                <w:szCs w:val="20"/>
                <w:lang w:eastAsia="sk-SK"/>
              </w:rPr>
              <w:t>,</w:t>
            </w:r>
            <w:r w:rsidRPr="0012607E">
              <w:rPr>
                <w:rFonts w:ascii="Times New Roman" w:eastAsia="Times New Roman" w:hAnsi="Times New Roman" w:cs="Times New Roman"/>
                <w:sz w:val="20"/>
                <w:szCs w:val="20"/>
                <w:lang w:eastAsia="sk-SK"/>
              </w:rPr>
              <w:t xml:space="preserve"> ak nebude možný návrat do biologickej rodiny, prípadne umiestnenie v náhradnej rodinnej starostlivosti).  </w:t>
            </w:r>
          </w:p>
        </w:tc>
      </w:tr>
      <w:tr w:rsidR="00612E08" w:rsidRPr="00612E08" w14:paraId="59706F9A"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E92310C"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154BB11A"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49764368" w14:textId="77777777" w:rsidR="001B23B7" w:rsidRPr="003E592D" w:rsidRDefault="001B23B7"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5904CC2A" w14:textId="77777777" w:rsidR="006D7FEC" w:rsidRPr="006D7FEC" w:rsidRDefault="006D7FEC" w:rsidP="00835A56">
            <w:pPr>
              <w:spacing w:line="276" w:lineRule="auto"/>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 xml:space="preserve">Návrh zákona sa dotýka najmä: </w:t>
            </w:r>
          </w:p>
          <w:p w14:paraId="281949DD" w14:textId="77777777" w:rsidR="006D7FEC" w:rsidRPr="006D7FEC" w:rsidRDefault="006D7FEC" w:rsidP="00F40339">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detí umiestnen</w:t>
            </w:r>
            <w:r w:rsidR="00452162">
              <w:rPr>
                <w:rFonts w:ascii="Times New Roman" w:eastAsia="Times New Roman" w:hAnsi="Times New Roman" w:cs="Times New Roman"/>
                <w:sz w:val="20"/>
                <w:szCs w:val="20"/>
                <w:lang w:eastAsia="sk-SK"/>
              </w:rPr>
              <w:t>ých</w:t>
            </w:r>
            <w:r w:rsidRPr="006D7FEC">
              <w:rPr>
                <w:rFonts w:ascii="Times New Roman" w:eastAsia="Times New Roman" w:hAnsi="Times New Roman" w:cs="Times New Roman"/>
                <w:sz w:val="20"/>
                <w:szCs w:val="20"/>
                <w:lang w:eastAsia="sk-SK"/>
              </w:rPr>
              <w:t xml:space="preserve"> v centrách pre deti a rodiny, ktoré vykonávajú opatrenia pobytovou formou a starostlivosť im poskytujú profesionálni náhradní rodičia, </w:t>
            </w:r>
          </w:p>
          <w:p w14:paraId="6D337E9F" w14:textId="77777777" w:rsidR="006D7FEC" w:rsidRPr="006D7FEC" w:rsidRDefault="006D7FEC" w:rsidP="00F40339">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 xml:space="preserve">zamestnancov – profesionálnych náhradných rodičov, </w:t>
            </w:r>
          </w:p>
          <w:p w14:paraId="6B8D83B5" w14:textId="77777777" w:rsidR="008C10B5" w:rsidRDefault="006D7FEC" w:rsidP="00F40339">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zamestnávateľ</w:t>
            </w:r>
            <w:r w:rsidR="00CE0FA8">
              <w:rPr>
                <w:rFonts w:ascii="Times New Roman" w:eastAsia="Times New Roman" w:hAnsi="Times New Roman" w:cs="Times New Roman"/>
                <w:sz w:val="20"/>
                <w:szCs w:val="20"/>
                <w:lang w:eastAsia="sk-SK"/>
              </w:rPr>
              <w:t>ov - centier pre deti a</w:t>
            </w:r>
            <w:r w:rsidR="00B7406B">
              <w:rPr>
                <w:rFonts w:ascii="Times New Roman" w:eastAsia="Times New Roman" w:hAnsi="Times New Roman" w:cs="Times New Roman"/>
                <w:sz w:val="20"/>
                <w:szCs w:val="20"/>
                <w:lang w:eastAsia="sk-SK"/>
              </w:rPr>
              <w:t> </w:t>
            </w:r>
            <w:r w:rsidR="00CE0FA8">
              <w:rPr>
                <w:rFonts w:ascii="Times New Roman" w:eastAsia="Times New Roman" w:hAnsi="Times New Roman" w:cs="Times New Roman"/>
                <w:sz w:val="20"/>
                <w:szCs w:val="20"/>
                <w:lang w:eastAsia="sk-SK"/>
              </w:rPr>
              <w:t>rodiny</w:t>
            </w:r>
            <w:r w:rsidR="00B7406B">
              <w:rPr>
                <w:rFonts w:ascii="Times New Roman" w:eastAsia="Times New Roman" w:hAnsi="Times New Roman" w:cs="Times New Roman"/>
                <w:sz w:val="20"/>
                <w:szCs w:val="20"/>
                <w:lang w:eastAsia="sk-SK"/>
              </w:rPr>
              <w:t>,</w:t>
            </w:r>
          </w:p>
          <w:p w14:paraId="2F02B0F7" w14:textId="77777777" w:rsidR="00CE0FA8" w:rsidRPr="00452162" w:rsidRDefault="00CE0FA8" w:rsidP="00F40339">
            <w:pPr>
              <w:pStyle w:val="Odsekzoznamu"/>
              <w:numPr>
                <w:ilvl w:val="0"/>
                <w:numId w:val="5"/>
              </w:numPr>
              <w:spacing w:line="276"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náhradných rodičov, ktorí zabezpečujú starostlivosť o dieťa na základe vykonateľného uznesenia súdu o nariadení neodkladného opatrenia</w:t>
            </w:r>
            <w:r w:rsidR="00B7406B">
              <w:rPr>
                <w:rFonts w:ascii="Times New Roman" w:eastAsia="Times New Roman" w:hAnsi="Times New Roman" w:cs="Times New Roman"/>
                <w:sz w:val="20"/>
                <w:szCs w:val="20"/>
                <w:lang w:eastAsia="sk-SK"/>
              </w:rPr>
              <w:t xml:space="preserve">. </w:t>
            </w:r>
          </w:p>
        </w:tc>
      </w:tr>
      <w:tr w:rsidR="00612E08" w:rsidRPr="00612E08" w14:paraId="0E86900F"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3D5DCDC"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3D53699B"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B514266" w14:textId="77777777" w:rsidR="001B23B7" w:rsidRPr="00612E08"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576D30AC" w14:textId="77777777" w:rsidR="006D7FEC"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12F12CB9" w14:textId="77777777" w:rsidR="003E592D" w:rsidRPr="003E592D" w:rsidRDefault="003E592D" w:rsidP="00835A56">
            <w:pPr>
              <w:spacing w:line="276" w:lineRule="auto"/>
              <w:jc w:val="both"/>
              <w:rPr>
                <w:rFonts w:ascii="Times New Roman" w:eastAsia="Times New Roman" w:hAnsi="Times New Roman" w:cs="Times New Roman"/>
                <w:i/>
                <w:sz w:val="16"/>
                <w:szCs w:val="16"/>
                <w:lang w:eastAsia="sk-SK"/>
              </w:rPr>
            </w:pPr>
          </w:p>
          <w:p w14:paraId="494D80CF" w14:textId="77777777" w:rsidR="006D7FEC" w:rsidRPr="006D7FEC" w:rsidRDefault="006D7FEC" w:rsidP="00835A56">
            <w:pPr>
              <w:spacing w:line="276" w:lineRule="auto"/>
              <w:jc w:val="both"/>
              <w:rPr>
                <w:rFonts w:ascii="Times New Roman" w:eastAsia="Times New Roman" w:hAnsi="Times New Roman" w:cs="Times New Roman"/>
                <w:i/>
                <w:sz w:val="20"/>
                <w:szCs w:val="20"/>
                <w:lang w:eastAsia="sk-SK"/>
              </w:rPr>
            </w:pPr>
            <w:r w:rsidRPr="006D7FEC">
              <w:rPr>
                <w:rFonts w:ascii="Times New Roman" w:eastAsia="Times New Roman" w:hAnsi="Times New Roman" w:cs="Times New Roman"/>
                <w:sz w:val="20"/>
                <w:szCs w:val="20"/>
                <w:lang w:eastAsia="sk-SK"/>
              </w:rPr>
              <w:t xml:space="preserve">Alternatívnym riešením a zároveň nultým variantom je ponechanie súčasného právneho stavu. </w:t>
            </w:r>
          </w:p>
        </w:tc>
      </w:tr>
      <w:tr w:rsidR="00612E08" w:rsidRPr="00612E08" w14:paraId="60B2E04F"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4072212"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08CF4601" w14:textId="77777777" w:rsidTr="000800FC">
        <w:tc>
          <w:tcPr>
            <w:tcW w:w="6203" w:type="dxa"/>
            <w:gridSpan w:val="7"/>
            <w:tcBorders>
              <w:top w:val="single" w:sz="4" w:space="0" w:color="FFFFFF"/>
              <w:left w:val="single" w:sz="4" w:space="0" w:color="auto"/>
              <w:bottom w:val="nil"/>
              <w:right w:val="nil"/>
            </w:tcBorders>
            <w:shd w:val="clear" w:color="auto" w:fill="FFFFFF"/>
          </w:tcPr>
          <w:p w14:paraId="49541363"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9788AE4" w14:textId="77777777" w:rsidR="001B23B7" w:rsidRPr="00612E08" w:rsidRDefault="004630D2" w:rsidP="00835A56">
            <w:pPr>
              <w:spacing w:line="276"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7E5E43">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0752312" w14:textId="77777777" w:rsidR="001B23B7" w:rsidRPr="00612E08" w:rsidRDefault="004630D2" w:rsidP="00835A56">
            <w:pPr>
              <w:spacing w:line="276"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5243C9CE"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12BD4D63"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034E8B36" w14:textId="77777777" w:rsidR="001B23B7" w:rsidRPr="003E592D" w:rsidRDefault="001B23B7" w:rsidP="00835A56">
            <w:pPr>
              <w:spacing w:line="276" w:lineRule="auto"/>
              <w:rPr>
                <w:rFonts w:ascii="Times New Roman" w:eastAsia="Times New Roman" w:hAnsi="Times New Roman" w:cs="Times New Roman"/>
                <w:sz w:val="16"/>
                <w:szCs w:val="16"/>
                <w:lang w:eastAsia="sk-SK"/>
              </w:rPr>
            </w:pPr>
          </w:p>
          <w:p w14:paraId="773F4B97" w14:textId="77777777" w:rsidR="007E5E43" w:rsidRPr="003E592D" w:rsidRDefault="006D7FEC" w:rsidP="003E592D">
            <w:pPr>
              <w:spacing w:line="276" w:lineRule="auto"/>
              <w:jc w:val="both"/>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 xml:space="preserve">Novela vyhlášky č. 103/2018 Z. z. </w:t>
            </w:r>
            <w:r w:rsidRPr="006D7FEC">
              <w:rPr>
                <w:rFonts w:ascii="Times New Roman" w:hAnsi="Times New Roman" w:cs="Times New Roman"/>
                <w:sz w:val="20"/>
                <w:szCs w:val="20"/>
              </w:rPr>
              <w:t>ktorou sa vykonávajú niektoré ustanovenia zákona č. 305/2005 Z. z. o sociálnoprávnej ochrane detí a o sociálnej kuratele a o zmene a doplnení niektorých zákonov v znení neskorších predpisov</w:t>
            </w:r>
            <w:r w:rsidR="00120F7F">
              <w:rPr>
                <w:rFonts w:ascii="Times New Roman" w:hAnsi="Times New Roman" w:cs="Times New Roman"/>
                <w:sz w:val="20"/>
                <w:szCs w:val="20"/>
              </w:rPr>
              <w:t xml:space="preserve"> s predpokladanou účinnosťou od 1.1. 2026</w:t>
            </w:r>
            <w:r w:rsidRPr="006D7FEC">
              <w:rPr>
                <w:rFonts w:ascii="Times New Roman" w:hAnsi="Times New Roman" w:cs="Times New Roman"/>
                <w:sz w:val="20"/>
                <w:szCs w:val="20"/>
              </w:rPr>
              <w:t xml:space="preserve">. </w:t>
            </w:r>
          </w:p>
        </w:tc>
      </w:tr>
      <w:tr w:rsidR="00612E08" w:rsidRPr="00612E08" w14:paraId="13800A4B"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DA1CE9D"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3C9EB4F7"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517AE5CE" w14:textId="77777777">
              <w:trPr>
                <w:trHeight w:val="90"/>
              </w:trPr>
              <w:tc>
                <w:tcPr>
                  <w:tcW w:w="8643" w:type="dxa"/>
                </w:tcPr>
                <w:p w14:paraId="3217ADFF" w14:textId="77777777" w:rsidR="00A7788F" w:rsidRPr="00612E08" w:rsidRDefault="00A7788F" w:rsidP="00835A56">
                  <w:pPr>
                    <w:pStyle w:val="Default"/>
                    <w:spacing w:line="276" w:lineRule="auto"/>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79EDC10B" w14:textId="77777777">
              <w:trPr>
                <w:trHeight w:val="296"/>
              </w:trPr>
              <w:tc>
                <w:tcPr>
                  <w:tcW w:w="8643" w:type="dxa"/>
                </w:tcPr>
                <w:p w14:paraId="72CEE554" w14:textId="77777777" w:rsidR="00A7788F" w:rsidRPr="00612E08" w:rsidRDefault="00A7788F" w:rsidP="00835A56">
                  <w:pPr>
                    <w:pStyle w:val="Default"/>
                    <w:spacing w:line="276" w:lineRule="auto"/>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7E5E43">
                        <w:rPr>
                          <w:rFonts w:ascii="MS Gothic" w:eastAsia="MS Gothic" w:hAnsi="MS Gothic" w:hint="eastAsia"/>
                          <w:b/>
                          <w:iCs/>
                          <w:color w:val="auto"/>
                          <w:sz w:val="20"/>
                          <w:szCs w:val="20"/>
                        </w:rPr>
                        <w:t>☒</w:t>
                      </w:r>
                    </w:sdtContent>
                  </w:sdt>
                  <w:r w:rsidRPr="00612E08">
                    <w:rPr>
                      <w:b/>
                      <w:iCs/>
                      <w:color w:val="auto"/>
                      <w:sz w:val="20"/>
                      <w:szCs w:val="20"/>
                    </w:rPr>
                    <w:t xml:space="preserve"> Nie</w:t>
                  </w:r>
                </w:p>
                <w:p w14:paraId="0640AB06" w14:textId="77777777" w:rsidR="00A7788F" w:rsidRPr="00612E08" w:rsidRDefault="00A7788F" w:rsidP="00835A56">
                  <w:pPr>
                    <w:pStyle w:val="Default"/>
                    <w:spacing w:line="276" w:lineRule="auto"/>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5EF4E4AF" w14:textId="77777777" w:rsidTr="003E592D">
              <w:trPr>
                <w:trHeight w:val="68"/>
              </w:trPr>
              <w:tc>
                <w:tcPr>
                  <w:tcW w:w="8643" w:type="dxa"/>
                </w:tcPr>
                <w:p w14:paraId="3113C838" w14:textId="77777777" w:rsidR="00A7788F" w:rsidRPr="003E592D" w:rsidRDefault="00A7788F" w:rsidP="00835A56">
                  <w:pPr>
                    <w:pStyle w:val="Default"/>
                    <w:spacing w:line="276" w:lineRule="auto"/>
                    <w:rPr>
                      <w:rFonts w:ascii="Segoe UI Symbol" w:hAnsi="Segoe UI Symbol" w:cs="Segoe UI Symbol"/>
                      <w:color w:val="auto"/>
                      <w:sz w:val="16"/>
                      <w:szCs w:val="16"/>
                    </w:rPr>
                  </w:pPr>
                </w:p>
              </w:tc>
            </w:tr>
          </w:tbl>
          <w:p w14:paraId="73F5ED54" w14:textId="77777777" w:rsidR="001B23B7" w:rsidRPr="00612E08" w:rsidRDefault="001B23B7" w:rsidP="00835A56">
            <w:pPr>
              <w:spacing w:line="276" w:lineRule="auto"/>
              <w:jc w:val="both"/>
              <w:rPr>
                <w:rFonts w:ascii="Times New Roman" w:eastAsia="Times New Roman" w:hAnsi="Times New Roman" w:cs="Times New Roman"/>
                <w:i/>
                <w:sz w:val="20"/>
                <w:szCs w:val="20"/>
                <w:lang w:eastAsia="sk-SK"/>
              </w:rPr>
            </w:pPr>
          </w:p>
        </w:tc>
      </w:tr>
      <w:tr w:rsidR="00612E08" w:rsidRPr="00612E08" w14:paraId="6FB3308F" w14:textId="77777777" w:rsidTr="003E592D">
        <w:trPr>
          <w:trHeight w:val="6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F912E8A" w14:textId="77777777" w:rsidR="001B23B7" w:rsidRPr="003E592D" w:rsidRDefault="001B23B7" w:rsidP="00835A56">
            <w:pPr>
              <w:spacing w:line="276" w:lineRule="auto"/>
              <w:rPr>
                <w:rFonts w:ascii="Times New Roman" w:eastAsia="Times New Roman" w:hAnsi="Times New Roman" w:cs="Times New Roman"/>
                <w:sz w:val="16"/>
                <w:szCs w:val="16"/>
                <w:lang w:eastAsia="sk-SK"/>
              </w:rPr>
            </w:pPr>
          </w:p>
        </w:tc>
      </w:tr>
      <w:tr w:rsidR="00612E08" w:rsidRPr="00612E08" w14:paraId="5CDC0006"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85AC247"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6BFADD64" w14:textId="77777777" w:rsidTr="003E592D">
        <w:trPr>
          <w:trHeight w:val="557"/>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EF9C509"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4F08E8D3"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23D8B88D" w14:textId="77777777" w:rsidR="001B23B7" w:rsidRPr="003E592D" w:rsidRDefault="001B23B7" w:rsidP="00835A56">
            <w:pPr>
              <w:spacing w:line="276" w:lineRule="auto"/>
              <w:rPr>
                <w:rFonts w:ascii="Times New Roman" w:eastAsia="Times New Roman" w:hAnsi="Times New Roman" w:cs="Times New Roman"/>
                <w:i/>
                <w:sz w:val="16"/>
                <w:szCs w:val="16"/>
                <w:lang w:eastAsia="sk-SK"/>
              </w:rPr>
            </w:pPr>
          </w:p>
          <w:p w14:paraId="4C2CC127" w14:textId="77777777" w:rsidR="007E5E43" w:rsidRPr="007E5E43" w:rsidRDefault="006D7FEC" w:rsidP="00F40339">
            <w:pPr>
              <w:spacing w:line="276" w:lineRule="auto"/>
              <w:jc w:val="both"/>
              <w:rPr>
                <w:rFonts w:ascii="Times New Roman" w:eastAsia="Times New Roman" w:hAnsi="Times New Roman" w:cs="Times New Roman"/>
                <w:sz w:val="20"/>
                <w:szCs w:val="20"/>
                <w:lang w:eastAsia="sk-SK"/>
              </w:rPr>
            </w:pPr>
            <w:r w:rsidRPr="004B6BBE">
              <w:rPr>
                <w:rFonts w:ascii="Times New Roman" w:eastAsia="Times New Roman" w:hAnsi="Times New Roman" w:cs="Times New Roman"/>
                <w:sz w:val="20"/>
                <w:szCs w:val="20"/>
                <w:lang w:eastAsia="sk-SK"/>
              </w:rPr>
              <w:lastRenderedPageBreak/>
              <w:t xml:space="preserve">Termín preskúmania účelnosti </w:t>
            </w:r>
            <w:r>
              <w:rPr>
                <w:rFonts w:ascii="Times New Roman" w:eastAsia="Times New Roman" w:hAnsi="Times New Roman" w:cs="Times New Roman"/>
                <w:sz w:val="20"/>
                <w:szCs w:val="20"/>
                <w:lang w:eastAsia="sk-SK"/>
              </w:rPr>
              <w:t>zákona sa zrealizuje</w:t>
            </w:r>
            <w:r w:rsidR="00C87DCB">
              <w:rPr>
                <w:rFonts w:ascii="Times New Roman" w:eastAsia="Times New Roman" w:hAnsi="Times New Roman" w:cs="Times New Roman"/>
                <w:sz w:val="20"/>
                <w:szCs w:val="20"/>
                <w:lang w:eastAsia="sk-SK"/>
              </w:rPr>
              <w:t xml:space="preserve"> najneskôr</w:t>
            </w:r>
            <w:r>
              <w:rPr>
                <w:rFonts w:ascii="Times New Roman" w:eastAsia="Times New Roman" w:hAnsi="Times New Roman" w:cs="Times New Roman"/>
                <w:sz w:val="20"/>
                <w:szCs w:val="20"/>
                <w:lang w:eastAsia="sk-SK"/>
              </w:rPr>
              <w:t xml:space="preserve"> v roku 202</w:t>
            </w:r>
            <w:r w:rsidR="00C87DCB">
              <w:rPr>
                <w:rFonts w:ascii="Times New Roman" w:eastAsia="Times New Roman" w:hAnsi="Times New Roman" w:cs="Times New Roman"/>
                <w:sz w:val="20"/>
                <w:szCs w:val="20"/>
                <w:lang w:eastAsia="sk-SK"/>
              </w:rPr>
              <w:t>8</w:t>
            </w:r>
            <w:r>
              <w:rPr>
                <w:rFonts w:ascii="Times New Roman" w:eastAsia="Times New Roman" w:hAnsi="Times New Roman" w:cs="Times New Roman"/>
                <w:sz w:val="20"/>
                <w:szCs w:val="20"/>
                <w:lang w:eastAsia="sk-SK"/>
              </w:rPr>
              <w:t xml:space="preserve"> na základe získaných poznatkov z aplikačnej praxe. </w:t>
            </w:r>
          </w:p>
        </w:tc>
      </w:tr>
      <w:tr w:rsidR="00612E08" w:rsidRPr="00612E08" w14:paraId="0D3FA00B" w14:textId="77777777" w:rsidTr="000800FC">
        <w:tc>
          <w:tcPr>
            <w:tcW w:w="9180" w:type="dxa"/>
            <w:gridSpan w:val="11"/>
            <w:tcBorders>
              <w:top w:val="nil"/>
              <w:left w:val="nil"/>
              <w:bottom w:val="single" w:sz="4" w:space="0" w:color="auto"/>
              <w:right w:val="nil"/>
            </w:tcBorders>
            <w:shd w:val="clear" w:color="auto" w:fill="FFFFFF"/>
          </w:tcPr>
          <w:p w14:paraId="120C3892" w14:textId="77777777" w:rsidR="001B23B7" w:rsidRPr="00612E08" w:rsidRDefault="001B23B7" w:rsidP="00835A56">
            <w:pPr>
              <w:spacing w:line="276" w:lineRule="auto"/>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xml:space="preserve">* vyplniť iba v prípade, ak materiál nie je zahrnutý do Plánu práce vlády Slovenskej republiky alebo Plánu        legislatívnych úloh vlády Slovenskej republiky. </w:t>
            </w:r>
          </w:p>
          <w:p w14:paraId="79E2FA99" w14:textId="77777777" w:rsidR="00A340BB" w:rsidRPr="00612E08" w:rsidRDefault="001B23B7" w:rsidP="00835A56">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13B4BD51" w14:textId="77777777" w:rsidR="00A7788F" w:rsidRPr="00612E08" w:rsidRDefault="00A7788F" w:rsidP="00835A56">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7CF781D" w14:textId="77777777" w:rsidR="001B23B7" w:rsidRPr="00612E08" w:rsidRDefault="001B23B7" w:rsidP="00835A56">
            <w:pPr>
              <w:spacing w:line="276" w:lineRule="auto"/>
              <w:jc w:val="both"/>
              <w:rPr>
                <w:rFonts w:ascii="Times New Roman" w:eastAsia="Times New Roman" w:hAnsi="Times New Roman" w:cs="Times New Roman"/>
                <w:b/>
                <w:sz w:val="20"/>
                <w:szCs w:val="20"/>
                <w:lang w:eastAsia="sk-SK"/>
              </w:rPr>
            </w:pPr>
          </w:p>
        </w:tc>
      </w:tr>
      <w:tr w:rsidR="00612E08" w:rsidRPr="00612E08" w14:paraId="518B9E06"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CEB7F9D"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350058ED"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743A2CE9"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6D9D396" w14:textId="77777777" w:rsidR="001B23B7" w:rsidRPr="00612E08" w:rsidRDefault="003145AE"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D9725E5"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A95742B" w14:textId="77777777" w:rsidR="001B23B7" w:rsidRPr="00612E08" w:rsidRDefault="00203EE3"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2967561"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121E953" w14:textId="77777777" w:rsidR="001B23B7" w:rsidRPr="00612E08" w:rsidRDefault="006D7FEC" w:rsidP="00835A56">
                <w:pPr>
                  <w:spacing w:line="276" w:lineRule="auto"/>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D00DBE2" w14:textId="77777777" w:rsidR="001B23B7" w:rsidRPr="00612E08" w:rsidRDefault="001B23B7" w:rsidP="00835A56">
            <w:pPr>
              <w:spacing w:line="276" w:lineRule="auto"/>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2517B78" w14:textId="77777777" w:rsidTr="004C6831">
        <w:tc>
          <w:tcPr>
            <w:tcW w:w="3812" w:type="dxa"/>
            <w:tcBorders>
              <w:top w:val="nil"/>
              <w:left w:val="single" w:sz="4" w:space="0" w:color="auto"/>
              <w:bottom w:val="nil"/>
              <w:right w:val="single" w:sz="4" w:space="0" w:color="auto"/>
            </w:tcBorders>
            <w:shd w:val="clear" w:color="auto" w:fill="E2E2E2"/>
          </w:tcPr>
          <w:p w14:paraId="69603E2F" w14:textId="77777777" w:rsidR="00B84F87" w:rsidRPr="00612E08" w:rsidRDefault="00B84F87" w:rsidP="003E592D">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2C3E72DB" w14:textId="77777777" w:rsidR="00B84F87" w:rsidRPr="00612E08" w:rsidRDefault="00B84F87" w:rsidP="003E592D">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72C916F8" w14:textId="77777777" w:rsidR="003145AE" w:rsidRPr="00612E08" w:rsidRDefault="00B84F87" w:rsidP="003E592D">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7831903" w14:textId="77777777" w:rsidR="001B23B7" w:rsidRPr="00612E08" w:rsidRDefault="003145AE"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B6357BC"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D29CAB8" w14:textId="025DD1D5" w:rsidR="001B23B7" w:rsidRPr="00612E08" w:rsidRDefault="0043424A" w:rsidP="00835A56">
                <w:pPr>
                  <w:spacing w:line="276"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752E5C3"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245396A" w14:textId="3CFE65CF" w:rsidR="001B23B7" w:rsidRPr="00612E08" w:rsidRDefault="0043424A" w:rsidP="00835A56">
                <w:pPr>
                  <w:spacing w:line="276"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4B86D9A" w14:textId="77777777" w:rsidR="001B23B7" w:rsidRPr="00612E08" w:rsidRDefault="001B23B7" w:rsidP="00835A56">
            <w:pPr>
              <w:spacing w:line="276" w:lineRule="auto"/>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11F955D" w14:textId="77777777" w:rsidTr="004C6831">
        <w:tc>
          <w:tcPr>
            <w:tcW w:w="3812" w:type="dxa"/>
            <w:tcBorders>
              <w:top w:val="nil"/>
              <w:left w:val="single" w:sz="4" w:space="0" w:color="auto"/>
              <w:bottom w:val="nil"/>
              <w:right w:val="single" w:sz="4" w:space="0" w:color="auto"/>
            </w:tcBorders>
            <w:shd w:val="clear" w:color="auto" w:fill="E2E2E2"/>
          </w:tcPr>
          <w:p w14:paraId="1AFA9239" w14:textId="77777777" w:rsidR="003145AE" w:rsidRPr="00612E08" w:rsidRDefault="003145AE" w:rsidP="003E592D">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9C85034" w14:textId="77777777" w:rsidR="003145AE" w:rsidRPr="00612E08" w:rsidRDefault="003145AE"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34B996E9" w14:textId="77777777" w:rsidR="003145AE" w:rsidRPr="00612E08" w:rsidRDefault="003145AE"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EDF2F14" w14:textId="77777777" w:rsidR="003145AE"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31DE236" w14:textId="77777777" w:rsidR="003145AE" w:rsidRPr="00612E08" w:rsidRDefault="003145AE"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C7C2A8E" w14:textId="77777777" w:rsidR="003145AE" w:rsidRPr="00612E08" w:rsidRDefault="003145AE" w:rsidP="00835A56">
                <w:pPr>
                  <w:spacing w:line="276" w:lineRule="auto"/>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2794382" w14:textId="77777777" w:rsidR="003145AE" w:rsidRPr="00612E08" w:rsidRDefault="003145AE" w:rsidP="00835A56">
            <w:pPr>
              <w:spacing w:line="276" w:lineRule="auto"/>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2136CED"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43B1E109" w14:textId="77777777" w:rsidR="003145AE" w:rsidRPr="00612E08" w:rsidRDefault="003145AE" w:rsidP="003E592D">
            <w:pPr>
              <w:spacing w:line="276" w:lineRule="auto"/>
              <w:ind w:left="171"/>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1A12DE5A" w14:textId="77777777" w:rsidR="003145AE" w:rsidRPr="00612E08" w:rsidRDefault="003145AE" w:rsidP="003E592D">
            <w:pPr>
              <w:spacing w:line="276" w:lineRule="auto"/>
              <w:ind w:left="171"/>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0E8F27E" w14:textId="77777777" w:rsidR="003145AE" w:rsidRPr="00612E08" w:rsidRDefault="003145AE"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3ABB6C5" w14:textId="77777777" w:rsidR="003145AE" w:rsidRPr="00612E08" w:rsidRDefault="003145AE"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D8F8C17" w14:textId="77777777" w:rsidR="003145AE" w:rsidRPr="00612E08" w:rsidRDefault="003145AE"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6FE371C" w14:textId="77777777" w:rsidR="003145AE" w:rsidRPr="00612E08" w:rsidRDefault="003145AE"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194DE1A" w14:textId="77777777" w:rsidR="003145AE" w:rsidRPr="00612E08" w:rsidRDefault="003145AE" w:rsidP="00835A56">
                <w:pPr>
                  <w:spacing w:line="276" w:lineRule="auto"/>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7195660" w14:textId="77777777" w:rsidR="003145AE" w:rsidRPr="00612E08" w:rsidRDefault="003145AE" w:rsidP="00835A56">
            <w:pPr>
              <w:spacing w:line="276" w:lineRule="auto"/>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BAF2EB6"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1E46A7F3" w14:textId="77777777" w:rsidR="00A7788F" w:rsidRPr="00612E08" w:rsidRDefault="00A7788F" w:rsidP="003E592D">
            <w:pPr>
              <w:spacing w:line="276" w:lineRule="auto"/>
              <w:ind w:left="171"/>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7A5E5AE" w14:textId="77777777" w:rsidR="00A7788F" w:rsidRPr="00612E08" w:rsidRDefault="00CD6E04"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268F3DD" w14:textId="77777777" w:rsidR="00A7788F" w:rsidRPr="00612E08" w:rsidRDefault="00A7788F"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F605335" w14:textId="77777777" w:rsidR="00A7788F" w:rsidRPr="00612E08" w:rsidRDefault="00A7788F" w:rsidP="00835A56">
            <w:pPr>
              <w:spacing w:line="276" w:lineRule="auto"/>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D64DDA3" w14:textId="77777777" w:rsidR="00A7788F" w:rsidRPr="00612E08" w:rsidRDefault="00A7788F" w:rsidP="00835A56">
            <w:pPr>
              <w:spacing w:line="276"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19797B3" w14:textId="77777777" w:rsidR="00A7788F" w:rsidRPr="00612E08" w:rsidRDefault="003D2376" w:rsidP="00835A56">
                <w:pPr>
                  <w:spacing w:line="276"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FA36D92" w14:textId="77777777" w:rsidR="00A7788F" w:rsidRPr="00612E08" w:rsidRDefault="00A7788F" w:rsidP="00835A56">
            <w:pPr>
              <w:spacing w:line="276" w:lineRule="auto"/>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3A502135"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A9FF08E" w14:textId="77777777" w:rsidR="007F587A" w:rsidRPr="00612E08" w:rsidRDefault="007F587A" w:rsidP="003E592D">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4DC5BC5" w14:textId="77777777" w:rsidR="007F587A" w:rsidRPr="00612E08" w:rsidRDefault="007F587A"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4B9426C"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236095E" w14:textId="77777777" w:rsidR="007F587A" w:rsidRPr="00612E08" w:rsidRDefault="00A317BC" w:rsidP="00835A56">
                <w:pPr>
                  <w:spacing w:line="276"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E1236B6"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BC9BC9B" w14:textId="77777777" w:rsidR="007F587A" w:rsidRPr="00612E08" w:rsidRDefault="00A317BC" w:rsidP="00835A56">
                <w:pPr>
                  <w:spacing w:line="276"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5557402" w14:textId="77777777" w:rsidR="007F587A" w:rsidRPr="00612E08" w:rsidRDefault="007F587A" w:rsidP="00835A56">
            <w:pPr>
              <w:spacing w:line="276" w:lineRule="auto"/>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91A5526"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2F16B5BD"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546D214"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8F60881"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1B12263" w14:textId="77777777" w:rsidR="007F587A"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38134E4"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ED6CB4B"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141EC7E"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1B049CD" w14:textId="77777777" w:rsidTr="00203EE3">
        <w:tc>
          <w:tcPr>
            <w:tcW w:w="3812" w:type="dxa"/>
            <w:tcBorders>
              <w:top w:val="nil"/>
              <w:left w:val="single" w:sz="4" w:space="0" w:color="000000"/>
              <w:bottom w:val="nil"/>
              <w:right w:val="single" w:sz="4" w:space="0" w:color="000000"/>
            </w:tcBorders>
            <w:shd w:val="clear" w:color="auto" w:fill="E2E2E2"/>
          </w:tcPr>
          <w:p w14:paraId="72414F32" w14:textId="77777777" w:rsidR="007F587A" w:rsidRPr="00612E08" w:rsidRDefault="007F587A" w:rsidP="003E592D">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4E881A70"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66B1C78" w14:textId="77777777" w:rsidR="007F587A" w:rsidRPr="00612E08" w:rsidRDefault="007F587A"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6300301" w14:textId="77777777" w:rsidR="007F587A" w:rsidRPr="00612E08" w:rsidRDefault="007F587A" w:rsidP="00835A56">
            <w:pPr>
              <w:spacing w:line="276" w:lineRule="auto"/>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AF02E47" w14:textId="77777777" w:rsidR="007F587A" w:rsidRPr="00612E08" w:rsidRDefault="007F587A"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B2C4FBB"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DFB8F06" w14:textId="77777777" w:rsidR="007F587A" w:rsidRPr="00612E08" w:rsidRDefault="007F587A"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6AACE12" w14:textId="77777777" w:rsidR="007F587A" w:rsidRPr="00612E08" w:rsidRDefault="007F587A" w:rsidP="00835A56">
            <w:pPr>
              <w:spacing w:line="276" w:lineRule="auto"/>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7109BA42"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30C1F54"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331ABBE6" w14:textId="77777777" w:rsidR="007F587A" w:rsidRPr="00612E08" w:rsidRDefault="007F587A" w:rsidP="003E592D">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3A72D10"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F7895BA"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014F563"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2F169143"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FCF76F5"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51350A6"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2DA50DD"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1D3B5A88"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90CE442" w14:textId="77777777" w:rsidR="007F587A"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E9D6B14"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821B376"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FEE7D80"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B5163DA"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C707F8F"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7C30A748"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1C5D05CE"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7B4694F"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F38BB64"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E79ADF0" w14:textId="77777777" w:rsidR="007F587A"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D12BC61"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2D1E087"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89F8EA8"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E084CA8"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718E76B4" w14:textId="77777777" w:rsidR="007F587A" w:rsidRPr="00612E08" w:rsidRDefault="007F587A" w:rsidP="003E592D">
            <w:pPr>
              <w:spacing w:line="276" w:lineRule="auto"/>
              <w:ind w:left="164"/>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16CD9D8"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7EDF016"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E2053D0"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93C0D03"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FCBD347"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975248F"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43B59573"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6F71802D"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4F328F"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9538DAA"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56E7406" w14:textId="77777777" w:rsidR="007F587A"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965C5AB"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05D39DD"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381C028"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7FAFBE20"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28332B3B" w14:textId="77777777" w:rsidR="000F2BE9" w:rsidRPr="00612E08" w:rsidRDefault="000F2BE9" w:rsidP="003E592D">
            <w:pPr>
              <w:spacing w:after="0" w:line="276" w:lineRule="auto"/>
              <w:jc w:val="both"/>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4E0E30BA" w14:textId="77777777" w:rsidR="000F2BE9" w:rsidRPr="00612E08" w:rsidRDefault="000F2BE9" w:rsidP="00835A56">
            <w:pPr>
              <w:spacing w:after="0" w:line="276"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170358D" w14:textId="77777777" w:rsidR="000F2BE9" w:rsidRPr="00612E08" w:rsidRDefault="000F2BE9" w:rsidP="00835A56">
            <w:pPr>
              <w:spacing w:after="0" w:line="276"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18C31DDE" w14:textId="77777777" w:rsidR="000F2BE9" w:rsidRPr="00612E08" w:rsidRDefault="000F2BE9" w:rsidP="00835A56">
            <w:pPr>
              <w:spacing w:after="0" w:line="276"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105D979B" w14:textId="77777777" w:rsidR="000F2BE9" w:rsidRPr="00612E08" w:rsidRDefault="000F2BE9" w:rsidP="00835A56">
            <w:pPr>
              <w:spacing w:after="0" w:line="276"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18DD37F" w14:textId="77777777" w:rsidR="000F2BE9" w:rsidRPr="00612E08" w:rsidRDefault="000F2BE9" w:rsidP="00835A56">
            <w:pPr>
              <w:spacing w:after="0" w:line="276"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8F7A632" w14:textId="77777777" w:rsidR="000F2BE9" w:rsidRPr="00612E08" w:rsidRDefault="000F2BE9" w:rsidP="00835A56">
            <w:pPr>
              <w:spacing w:after="0" w:line="276" w:lineRule="auto"/>
              <w:ind w:left="54"/>
              <w:rPr>
                <w:rFonts w:ascii="Times New Roman" w:eastAsia="Times New Roman" w:hAnsi="Times New Roman" w:cs="Times New Roman"/>
                <w:b/>
                <w:sz w:val="20"/>
                <w:szCs w:val="20"/>
                <w:lang w:eastAsia="sk-SK"/>
              </w:rPr>
            </w:pPr>
          </w:p>
        </w:tc>
      </w:tr>
      <w:tr w:rsidR="00612E08" w:rsidRPr="00612E08" w14:paraId="69C50DF4" w14:textId="77777777" w:rsidTr="00B547F5">
        <w:tc>
          <w:tcPr>
            <w:tcW w:w="3812" w:type="dxa"/>
            <w:tcBorders>
              <w:top w:val="nil"/>
              <w:left w:val="single" w:sz="4" w:space="0" w:color="auto"/>
              <w:bottom w:val="nil"/>
              <w:right w:val="single" w:sz="4" w:space="0" w:color="auto"/>
            </w:tcBorders>
            <w:shd w:val="clear" w:color="auto" w:fill="E2E2E2"/>
          </w:tcPr>
          <w:p w14:paraId="141DDC65" w14:textId="77777777" w:rsidR="000F2BE9" w:rsidRPr="00612E08" w:rsidRDefault="000F2BE9" w:rsidP="003E592D">
            <w:pPr>
              <w:spacing w:after="0" w:line="276" w:lineRule="auto"/>
              <w:ind w:left="196" w:hanging="196"/>
              <w:jc w:val="both"/>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89CD174" w14:textId="77777777" w:rsidR="000F2BE9" w:rsidRPr="00612E08" w:rsidRDefault="0023360B" w:rsidP="00835A56">
                <w:pPr>
                  <w:spacing w:after="0"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31C22EA" w14:textId="77777777" w:rsidR="000F2BE9" w:rsidRPr="00612E08" w:rsidRDefault="000F2BE9" w:rsidP="00835A56">
            <w:pPr>
              <w:spacing w:after="0"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9742155" w14:textId="77777777" w:rsidR="000F2BE9" w:rsidRPr="00612E08" w:rsidRDefault="006D7FEC" w:rsidP="00835A56">
                <w:pPr>
                  <w:spacing w:after="0"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72F87CE" w14:textId="77777777" w:rsidR="000F2BE9" w:rsidRPr="00612E08" w:rsidRDefault="000F2BE9" w:rsidP="00835A56">
            <w:pPr>
              <w:spacing w:after="0"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579C014" w14:textId="77777777" w:rsidR="000F2BE9" w:rsidRPr="00612E08" w:rsidRDefault="0023360B" w:rsidP="00835A56">
                <w:pPr>
                  <w:spacing w:after="0"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1ACA9BBB" w14:textId="77777777" w:rsidR="000F2BE9" w:rsidRPr="00612E08" w:rsidRDefault="000F2BE9" w:rsidP="00835A56">
            <w:pPr>
              <w:spacing w:after="0"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069137F" w14:textId="77777777" w:rsidTr="00B547F5">
        <w:tc>
          <w:tcPr>
            <w:tcW w:w="3812" w:type="dxa"/>
            <w:tcBorders>
              <w:top w:val="nil"/>
              <w:left w:val="single" w:sz="4" w:space="0" w:color="auto"/>
              <w:bottom w:val="nil"/>
              <w:right w:val="single" w:sz="4" w:space="0" w:color="auto"/>
            </w:tcBorders>
            <w:shd w:val="clear" w:color="auto" w:fill="E2E2E2"/>
          </w:tcPr>
          <w:p w14:paraId="47B52C3F" w14:textId="77777777" w:rsidR="000F2BE9" w:rsidRPr="00612E08" w:rsidRDefault="000F2BE9" w:rsidP="003E592D">
            <w:pPr>
              <w:spacing w:after="0" w:line="276" w:lineRule="auto"/>
              <w:ind w:left="168" w:hanging="168"/>
              <w:jc w:val="both"/>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C6F483A" w14:textId="77777777" w:rsidR="000F2BE9" w:rsidRPr="00612E08" w:rsidRDefault="0023360B" w:rsidP="00835A56">
                <w:pPr>
                  <w:spacing w:after="0"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4329CA8" w14:textId="77777777" w:rsidR="000F2BE9" w:rsidRPr="00612E08" w:rsidRDefault="000F2BE9" w:rsidP="00835A56">
            <w:pPr>
              <w:spacing w:after="0"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4B0ACBA" w14:textId="77777777" w:rsidR="000F2BE9" w:rsidRPr="00612E08" w:rsidRDefault="006D7FEC" w:rsidP="00835A56">
                <w:pPr>
                  <w:spacing w:after="0"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8DF314A" w14:textId="77777777" w:rsidR="000F2BE9" w:rsidRPr="00612E08" w:rsidRDefault="000F2BE9" w:rsidP="00835A56">
            <w:pPr>
              <w:spacing w:after="0"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572B5EE" w14:textId="77777777" w:rsidR="000F2BE9" w:rsidRPr="00612E08" w:rsidRDefault="0023360B" w:rsidP="00835A56">
                <w:pPr>
                  <w:spacing w:after="0"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CBA4155" w14:textId="77777777" w:rsidR="000F2BE9" w:rsidRPr="00612E08" w:rsidRDefault="000F2BE9" w:rsidP="00835A56">
            <w:pPr>
              <w:spacing w:after="0"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2AC58E14"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A1DE320" w14:textId="77777777" w:rsidR="00A340BB" w:rsidRPr="00612E08" w:rsidRDefault="00A340BB" w:rsidP="003E592D">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79F235C" w14:textId="77777777" w:rsidR="00A340BB" w:rsidRPr="00612E08" w:rsidRDefault="0023360B"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F1C4702" w14:textId="77777777" w:rsidR="00A340BB" w:rsidRPr="00612E08" w:rsidRDefault="00A340BB"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ADCCF40" w14:textId="77777777" w:rsidR="00A340BB"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4079495" w14:textId="77777777" w:rsidR="00A340BB" w:rsidRPr="00612E08" w:rsidRDefault="00A340BB"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1DBD2CC" w14:textId="77777777" w:rsidR="00A340BB" w:rsidRPr="00612E08" w:rsidRDefault="0023360B"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932BE90" w14:textId="77777777" w:rsidR="00A340BB" w:rsidRPr="00612E08" w:rsidRDefault="00A340BB"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77E8612A" w14:textId="77777777" w:rsidR="001B23B7" w:rsidRPr="00612E08" w:rsidRDefault="001B23B7" w:rsidP="00835A56">
      <w:pPr>
        <w:spacing w:after="0" w:line="276"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6256C868"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28E48889"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0BBF3528"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653396A" w14:textId="77777777" w:rsidR="001B23B7" w:rsidRPr="00612E08"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31CE661C" w14:textId="77777777" w:rsidR="001374ED" w:rsidRDefault="001374ED" w:rsidP="00835A56">
            <w:pPr>
              <w:spacing w:line="276" w:lineRule="auto"/>
              <w:jc w:val="both"/>
              <w:rPr>
                <w:rFonts w:ascii="Times New Roman" w:eastAsia="Times New Roman" w:hAnsi="Times New Roman" w:cs="Times New Roman"/>
                <w:i/>
                <w:sz w:val="20"/>
                <w:szCs w:val="20"/>
                <w:lang w:eastAsia="sk-SK"/>
              </w:rPr>
            </w:pPr>
          </w:p>
          <w:p w14:paraId="56300867" w14:textId="77777777" w:rsidR="001B23B7" w:rsidRPr="003E592D" w:rsidRDefault="006D7FEC" w:rsidP="003E592D">
            <w:pPr>
              <w:spacing w:line="276" w:lineRule="auto"/>
              <w:jc w:val="both"/>
              <w:rPr>
                <w:rFonts w:ascii="Times New Roman" w:eastAsia="Times New Roman" w:hAnsi="Times New Roman" w:cs="Times New Roman"/>
                <w:i/>
                <w:sz w:val="20"/>
                <w:szCs w:val="20"/>
                <w:lang w:eastAsia="sk-SK"/>
              </w:rPr>
            </w:pPr>
            <w:r w:rsidRPr="006D7FEC">
              <w:rPr>
                <w:rStyle w:val="markedcontent"/>
                <w:rFonts w:ascii="Times New Roman" w:hAnsi="Times New Roman" w:cs="Times New Roman"/>
                <w:sz w:val="20"/>
                <w:szCs w:val="20"/>
              </w:rPr>
              <w:t>Pozitívne sociálne vplyvy sú uvedené v analýze sociálnych vplyvov. Negatívne vplyvy na rozpočet verejnej správy sú popísané v analýze vplyvov na rozpočet verejnej správy.</w:t>
            </w:r>
          </w:p>
        </w:tc>
      </w:tr>
      <w:tr w:rsidR="00612E08" w:rsidRPr="00612E08" w14:paraId="26DB7603"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166FBEC"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43077590"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C4B0C6F" w14:textId="77777777" w:rsidR="006D7FEC"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Uveďte údaje na kontaktnú osobu, ktorú je možné kontaktovať v súvislosti s posúdením vybraných vplyvov.</w:t>
            </w:r>
          </w:p>
          <w:p w14:paraId="7628D2C4" w14:textId="77777777" w:rsidR="006D7FEC" w:rsidRDefault="006D7FEC" w:rsidP="00835A56">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práce, sociálnych vecí a rodiny Slovenskej republiky: </w:t>
            </w:r>
          </w:p>
          <w:p w14:paraId="172A9E3E" w14:textId="77777777" w:rsidR="006D7FEC" w:rsidRDefault="006D7FEC" w:rsidP="00835A56">
            <w:pPr>
              <w:pStyle w:val="Odsekzoznamu"/>
              <w:numPr>
                <w:ilvl w:val="0"/>
                <w:numId w:val="6"/>
              </w:num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Mgr. Renata Brennerová, </w:t>
            </w:r>
            <w:hyperlink r:id="rId9" w:history="1">
              <w:r w:rsidRPr="002C1C85">
                <w:rPr>
                  <w:rStyle w:val="Hypertextovprepojenie"/>
                  <w:sz w:val="20"/>
                  <w:szCs w:val="20"/>
                </w:rPr>
                <w:t>renata.brennerova@employment.gov.sk</w:t>
              </w:r>
            </w:hyperlink>
            <w:r>
              <w:rPr>
                <w:rFonts w:ascii="Times New Roman" w:eastAsia="Times New Roman" w:hAnsi="Times New Roman" w:cs="Times New Roman"/>
                <w:sz w:val="20"/>
                <w:szCs w:val="20"/>
                <w:lang w:eastAsia="sk-SK"/>
              </w:rPr>
              <w:t>, 02/20461018</w:t>
            </w:r>
          </w:p>
          <w:p w14:paraId="59057FDF" w14:textId="77777777" w:rsidR="006D7FEC" w:rsidRPr="003E592D" w:rsidRDefault="006D7FEC" w:rsidP="00835A56">
            <w:pPr>
              <w:pStyle w:val="Odsekzoznamu"/>
              <w:numPr>
                <w:ilvl w:val="0"/>
                <w:numId w:val="6"/>
              </w:num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Mgr. Kristián Kovács, </w:t>
            </w:r>
            <w:hyperlink r:id="rId10" w:history="1">
              <w:r w:rsidRPr="002C1C85">
                <w:rPr>
                  <w:rStyle w:val="Hypertextovprepojenie"/>
                  <w:sz w:val="20"/>
                  <w:szCs w:val="20"/>
                </w:rPr>
                <w:t>kristian.kovacs@employment.gov.sk</w:t>
              </w:r>
            </w:hyperlink>
            <w:r>
              <w:rPr>
                <w:rFonts w:ascii="Times New Roman" w:eastAsia="Times New Roman" w:hAnsi="Times New Roman" w:cs="Times New Roman"/>
                <w:sz w:val="20"/>
                <w:szCs w:val="20"/>
                <w:lang w:eastAsia="sk-SK"/>
              </w:rPr>
              <w:t>, 02/20461028</w:t>
            </w:r>
          </w:p>
        </w:tc>
      </w:tr>
      <w:tr w:rsidR="00612E08" w:rsidRPr="00612E08" w14:paraId="004CBB0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035F034"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662BD805"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AAFE7F8" w14:textId="77777777" w:rsidR="001B23B7" w:rsidRPr="00612E08"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6962C233" w14:textId="77777777" w:rsidR="001B23B7" w:rsidRPr="003E592D" w:rsidRDefault="001B23B7" w:rsidP="00835A56">
            <w:pPr>
              <w:spacing w:line="276" w:lineRule="auto"/>
              <w:rPr>
                <w:rFonts w:ascii="Times New Roman" w:eastAsia="Times New Roman" w:hAnsi="Times New Roman" w:cs="Times New Roman"/>
                <w:i/>
                <w:sz w:val="16"/>
                <w:szCs w:val="16"/>
                <w:lang w:eastAsia="sk-SK"/>
              </w:rPr>
            </w:pPr>
          </w:p>
          <w:p w14:paraId="0CC11413" w14:textId="77777777" w:rsidR="001B23B7" w:rsidRPr="00AB439B" w:rsidRDefault="00AB439B" w:rsidP="00835A56">
            <w:pPr>
              <w:spacing w:line="276"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Ročný výkaz o poskytovaní starostlivosti a výchovy deťom v centre pre deti a rodiny. Údaje poskytnuté priamo Ústredím práce, sociálnych vecí a rodiny, centrami pre deti a rodiny. Na návrhu zákona aktívne participovali zástupcovia Fóra zamestnancov centier pre deti a rodiny Slovenskej republiky, Združenia neštátnych detských domovov, ako aj zástupcovia samotných profesionálnych náhradných rodičov.</w:t>
            </w:r>
          </w:p>
        </w:tc>
      </w:tr>
      <w:tr w:rsidR="00612E08" w:rsidRPr="00612E08" w14:paraId="2C2F0A2E"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B0B1DB8" w14:textId="61B3F618" w:rsidR="001B23B7" w:rsidRPr="00612E08" w:rsidRDefault="001B23B7" w:rsidP="00835A56">
            <w:pPr>
              <w:numPr>
                <w:ilvl w:val="0"/>
                <w:numId w:val="1"/>
              </w:numPr>
              <w:spacing w:line="276" w:lineRule="auto"/>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w:t>
            </w:r>
            <w:r w:rsidR="00572AB7">
              <w:rPr>
                <w:rFonts w:ascii="Times New Roman" w:eastAsia="Calibri" w:hAnsi="Times New Roman" w:cs="Times New Roman"/>
                <w:b/>
              </w:rPr>
              <w:t xml:space="preserve"> </w:t>
            </w:r>
            <w:r w:rsidR="00572AB7" w:rsidRPr="00572AB7">
              <w:rPr>
                <w:b/>
                <w:smallCaps/>
                <w:sz w:val="24"/>
                <w:szCs w:val="24"/>
              </w:rPr>
              <w:t>184/2024</w:t>
            </w:r>
            <w:r w:rsidRPr="00612E08">
              <w:rPr>
                <w:rFonts w:ascii="Calibri" w:eastAsia="Calibri" w:hAnsi="Calibri" w:cs="Times New Roman"/>
              </w:rPr>
              <w:t xml:space="preserve"> </w:t>
            </w:r>
          </w:p>
          <w:p w14:paraId="347FF6E2" w14:textId="77777777" w:rsidR="001B23B7" w:rsidRPr="00612E08" w:rsidRDefault="001B23B7" w:rsidP="00835A56">
            <w:pPr>
              <w:spacing w:line="276" w:lineRule="auto"/>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4771BCB6"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3A64487"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0D2738CF" w14:textId="77777777" w:rsidTr="000800FC">
              <w:trPr>
                <w:trHeight w:val="396"/>
              </w:trPr>
              <w:tc>
                <w:tcPr>
                  <w:tcW w:w="2552" w:type="dxa"/>
                </w:tcPr>
                <w:p w14:paraId="3C9FC343" w14:textId="77777777" w:rsidR="001B23B7" w:rsidRPr="00612E08" w:rsidRDefault="004630D2" w:rsidP="00835A56">
                  <w:pPr>
                    <w:spacing w:line="276"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5812C179" w14:textId="77777777" w:rsidR="001B23B7" w:rsidRPr="00612E08" w:rsidRDefault="004630D2" w:rsidP="00835A56">
                  <w:pPr>
                    <w:spacing w:line="276"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2951A85" w14:textId="2CA2684D" w:rsidR="001B23B7" w:rsidRPr="00612E08" w:rsidRDefault="004630D2" w:rsidP="00835A56">
                  <w:pPr>
                    <w:spacing w:line="276"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70357E">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260DF663" w14:textId="77777777" w:rsidR="0070357E" w:rsidRDefault="0070357E" w:rsidP="00835A56">
            <w:pPr>
              <w:spacing w:line="276" w:lineRule="auto"/>
              <w:jc w:val="both"/>
              <w:rPr>
                <w:rFonts w:ascii="Times New Roman" w:eastAsia="Times New Roman" w:hAnsi="Times New Roman" w:cs="Times New Roman"/>
                <w:b/>
                <w:sz w:val="20"/>
                <w:szCs w:val="20"/>
                <w:lang w:eastAsia="sk-SK"/>
              </w:rPr>
            </w:pPr>
          </w:p>
          <w:p w14:paraId="34BB2488" w14:textId="029B9774" w:rsidR="001B23B7" w:rsidRPr="00612E08" w:rsidRDefault="001B23B7" w:rsidP="00835A56">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212DA23D" w14:textId="77777777" w:rsidR="0070357E" w:rsidRPr="00FF57EC" w:rsidRDefault="0070357E" w:rsidP="0070357E">
            <w:pPr>
              <w:jc w:val="both"/>
              <w:rPr>
                <w:rFonts w:ascii="Times New Roman" w:hAnsi="Times New Roman" w:cs="Times New Roman"/>
                <w:b/>
                <w:bCs/>
                <w:sz w:val="20"/>
                <w:szCs w:val="20"/>
              </w:rPr>
            </w:pPr>
            <w:r w:rsidRPr="00FF57EC">
              <w:rPr>
                <w:rFonts w:ascii="Times New Roman" w:hAnsi="Times New Roman" w:cs="Times New Roman"/>
                <w:b/>
                <w:bCs/>
                <w:sz w:val="20"/>
                <w:szCs w:val="20"/>
              </w:rPr>
              <w:t xml:space="preserve">K vplyvom na rozpočet verejnej správy </w:t>
            </w:r>
          </w:p>
          <w:p w14:paraId="6EB5D167"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Návrh zákona má za oblasť zamestnanosti negatívny vplyv na rozpočet verejnej správy, ktorý nie je rozpočtovo krytý. Ide o zvýšenie limitu počtu zamestnancov kapitoly Ministerstva práce, sociálnych vecí a rodiny SR v centrách pre deti a rodiny od roku 2026 o 60 osôb a s tým súvisiace zvýšenie osobných výdavkov v sume 1 777 680 eur, z toho miezd v sume 1 307 520 eur. So zvýšením limitu počtu zamestnancov a s tým spojeným zvýšením osobných výdavkov kapitoly Ministerstva práce, sociálnych vecí a rodiny SR Komisia nesúhlasí. Vplyvy návrhu zákona Komisia žiada zabezpečiť v rámci schváleného limitu počtu zamestnancov a výdavkov kapitoly Ministerstva práce, sociálnych vecí a rodiny SR na príslušný rozpočtový rok, bez dodatočných požiadaviek na zvýšenie ukazovateľov zamestnanosti. V tejto súvislosti Komisia žiada negatívny vplyv predmetného návrhu zákona na rozpočet verejnej správy za oblasť zamestnanosti uviesť v analýze vplyvov na rozpočet verejnej správy a v doložke vplyvov ako rozpočtovo zabezpečený.</w:t>
            </w:r>
          </w:p>
          <w:p w14:paraId="502F550D" w14:textId="77777777" w:rsidR="0070357E" w:rsidRDefault="0070357E" w:rsidP="0070357E">
            <w:pPr>
              <w:jc w:val="both"/>
              <w:rPr>
                <w:rFonts w:ascii="Times New Roman" w:hAnsi="Times New Roman" w:cs="Times New Roman"/>
                <w:bCs/>
                <w:sz w:val="20"/>
                <w:szCs w:val="20"/>
              </w:rPr>
            </w:pPr>
          </w:p>
          <w:p w14:paraId="42DEBEA5" w14:textId="77777777" w:rsidR="0070357E" w:rsidRPr="0068754F" w:rsidRDefault="0070357E" w:rsidP="0070357E">
            <w:pPr>
              <w:rPr>
                <w:rFonts w:ascii="Times New Roman" w:eastAsia="Times New Roman" w:hAnsi="Times New Roman" w:cs="Times New Roman"/>
                <w:b/>
                <w:i/>
                <w:sz w:val="20"/>
                <w:szCs w:val="20"/>
                <w:lang w:eastAsia="sk-SK"/>
              </w:rPr>
            </w:pPr>
            <w:r w:rsidRPr="0068754F">
              <w:rPr>
                <w:rFonts w:ascii="Times New Roman" w:eastAsia="Times New Roman" w:hAnsi="Times New Roman" w:cs="Times New Roman"/>
                <w:b/>
                <w:i/>
                <w:sz w:val="20"/>
                <w:szCs w:val="20"/>
                <w:lang w:eastAsia="sk-SK"/>
              </w:rPr>
              <w:t xml:space="preserve">Vyjadrenie MPSVR SR: </w:t>
            </w:r>
          </w:p>
          <w:p w14:paraId="7644A17F" w14:textId="77777777" w:rsidR="0070357E" w:rsidRPr="0068754F" w:rsidRDefault="0070357E" w:rsidP="0070357E">
            <w:pPr>
              <w:spacing w:line="276" w:lineRule="auto"/>
              <w:jc w:val="both"/>
              <w:rPr>
                <w:rFonts w:ascii="Times New Roman" w:eastAsia="Times New Roman" w:hAnsi="Times New Roman" w:cs="Times New Roman"/>
                <w:b/>
                <w:i/>
                <w:sz w:val="20"/>
                <w:szCs w:val="20"/>
                <w:lang w:eastAsia="sk-SK"/>
              </w:rPr>
            </w:pPr>
            <w:r w:rsidRPr="0068754F">
              <w:rPr>
                <w:rFonts w:ascii="Times New Roman" w:eastAsia="Times New Roman" w:hAnsi="Times New Roman" w:cs="Times New Roman"/>
                <w:i/>
                <w:sz w:val="20"/>
                <w:szCs w:val="20"/>
                <w:lang w:eastAsia="sk-SK"/>
              </w:rPr>
              <w:t xml:space="preserve">Neakceptovaná pripomienka. </w:t>
            </w:r>
            <w:r w:rsidRPr="0068754F">
              <w:rPr>
                <w:rFonts w:ascii="Times New Roman" w:hAnsi="Times New Roman" w:cs="Times New Roman"/>
                <w:bCs/>
                <w:i/>
                <w:sz w:val="20"/>
                <w:szCs w:val="20"/>
              </w:rPr>
              <w:t>MPSVR SR nedisponuje voľnými zdrojmi vo svojej kapitole, ktorými by vedelo zabezpečiť krytie vplyvu návrhu zákona.</w:t>
            </w:r>
          </w:p>
          <w:p w14:paraId="41F47202" w14:textId="77777777" w:rsidR="0070357E" w:rsidRDefault="0070357E" w:rsidP="0070357E">
            <w:pPr>
              <w:spacing w:line="276" w:lineRule="auto"/>
              <w:rPr>
                <w:rFonts w:ascii="Times New Roman" w:eastAsia="Times New Roman" w:hAnsi="Times New Roman" w:cs="Times New Roman"/>
                <w:b/>
                <w:sz w:val="20"/>
                <w:szCs w:val="20"/>
                <w:lang w:eastAsia="sk-SK"/>
              </w:rPr>
            </w:pPr>
          </w:p>
          <w:p w14:paraId="59C68DB8"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V analýze vplyvov na rozpočet verejnej správy sú tiež vyčíslené nekryté výdavky v sume 150 000 eur ročne od roku 2026 súvisiace s navrhovaným zavedením finančnej podpory na úpravu/</w:t>
            </w:r>
            <w:proofErr w:type="spellStart"/>
            <w:r w:rsidRPr="00FF57EC">
              <w:rPr>
                <w:rFonts w:ascii="Times New Roman" w:hAnsi="Times New Roman" w:cs="Times New Roman"/>
                <w:bCs/>
                <w:sz w:val="20"/>
                <w:szCs w:val="20"/>
              </w:rPr>
              <w:t>debarierizáciu</w:t>
            </w:r>
            <w:proofErr w:type="spellEnd"/>
            <w:r w:rsidRPr="00FF57EC">
              <w:rPr>
                <w:rFonts w:ascii="Times New Roman" w:hAnsi="Times New Roman" w:cs="Times New Roman"/>
                <w:bCs/>
                <w:sz w:val="20"/>
                <w:szCs w:val="20"/>
              </w:rPr>
              <w:t xml:space="preserve"> domu/bytu profesionálneho náhradného rodiča,  ak sa stará o dieťa s ťažkým zdravotným postihnutím. V tejto súvislosti v zmysle § 33 ods. 1 zákona č. 523/2004 Z. z. o rozpočtových pravidlách verejnej správy a o zmene a doplnení niektorých zákonov Komisia žiada do návrhu doplniť relevantný návrh na úhradu zvýšených výdavkov na príslušné rozpočtové roky. </w:t>
            </w:r>
          </w:p>
          <w:p w14:paraId="3137A143" w14:textId="77777777" w:rsidR="0070357E" w:rsidRDefault="0070357E" w:rsidP="0070357E">
            <w:pPr>
              <w:jc w:val="both"/>
              <w:rPr>
                <w:rFonts w:ascii="Times New Roman" w:hAnsi="Times New Roman" w:cs="Times New Roman"/>
                <w:bCs/>
                <w:sz w:val="20"/>
                <w:szCs w:val="20"/>
              </w:rPr>
            </w:pPr>
          </w:p>
          <w:p w14:paraId="3E3263E0"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2E2E6EBA" w14:textId="77777777" w:rsidR="0070357E" w:rsidRPr="0068754F" w:rsidRDefault="0070357E" w:rsidP="0070357E">
            <w:pPr>
              <w:jc w:val="both"/>
              <w:rPr>
                <w:rFonts w:ascii="Times New Roman" w:hAnsi="Times New Roman" w:cs="Times New Roman"/>
                <w:bCs/>
                <w:i/>
                <w:sz w:val="20"/>
                <w:szCs w:val="20"/>
              </w:rPr>
            </w:pPr>
            <w:r w:rsidRPr="0068754F">
              <w:rPr>
                <w:rFonts w:ascii="Times New Roman" w:hAnsi="Times New Roman" w:cs="Times New Roman"/>
                <w:bCs/>
                <w:i/>
                <w:sz w:val="20"/>
                <w:szCs w:val="20"/>
              </w:rPr>
              <w:t xml:space="preserve">Neakceptovaná pripomienka. MPSVR SR v návrhu uviedlo relevantný návrh na úhradu zvýšených výdavkov na príslušné rozpočtové roky. </w:t>
            </w:r>
          </w:p>
          <w:p w14:paraId="465AB40E" w14:textId="77777777" w:rsidR="0070357E" w:rsidRPr="00FF57EC" w:rsidRDefault="0070357E" w:rsidP="0070357E">
            <w:pPr>
              <w:jc w:val="both"/>
              <w:rPr>
                <w:rFonts w:ascii="Times New Roman" w:hAnsi="Times New Roman" w:cs="Times New Roman"/>
                <w:bCs/>
                <w:sz w:val="20"/>
                <w:szCs w:val="20"/>
              </w:rPr>
            </w:pPr>
          </w:p>
          <w:p w14:paraId="20BA58CD"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Komisia upozorňuje, že návrh rozpočtu verejnej správy na roky 2025 až 2027 s predmetnými výdavkami neuvažuje. S materiálom preto bude možné súhlasiť len za predpokladu, že z neho nebude vyplývať nekrytý vplyv na rozpočet verejnej správy, preto je vhodné pokračovať v legislatívnom procese až po doriešení finančného krytia zvýšených výdavkov vyplývajúcich z predmetných zmien.</w:t>
            </w:r>
          </w:p>
          <w:p w14:paraId="27ED708A" w14:textId="77777777" w:rsidR="0070357E" w:rsidRDefault="0070357E" w:rsidP="0070357E">
            <w:pPr>
              <w:jc w:val="both"/>
              <w:rPr>
                <w:rFonts w:ascii="Times New Roman" w:hAnsi="Times New Roman" w:cs="Times New Roman"/>
                <w:bCs/>
                <w:sz w:val="20"/>
                <w:szCs w:val="20"/>
              </w:rPr>
            </w:pPr>
          </w:p>
          <w:p w14:paraId="5B031D39"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2184EB4D" w14:textId="77777777" w:rsidR="0070357E" w:rsidRPr="0068754F" w:rsidRDefault="0070357E" w:rsidP="0070357E">
            <w:pPr>
              <w:jc w:val="both"/>
              <w:rPr>
                <w:rFonts w:ascii="Times New Roman" w:hAnsi="Times New Roman" w:cs="Times New Roman"/>
                <w:bCs/>
                <w:i/>
                <w:sz w:val="20"/>
                <w:szCs w:val="20"/>
              </w:rPr>
            </w:pPr>
            <w:r w:rsidRPr="0068754F">
              <w:rPr>
                <w:rFonts w:ascii="Times New Roman" w:hAnsi="Times New Roman" w:cs="Times New Roman"/>
                <w:bCs/>
                <w:i/>
                <w:sz w:val="20"/>
                <w:szCs w:val="20"/>
              </w:rPr>
              <w:t>Neakceptovaná pripomienka. V návrhu rozpočtu verejnej správy na rok 2025 až 2027 sa nemohlo uvažovať s predmetnými výdavkami, nakoľko návrh rozpočtu verejnej správy na roky 2025 až 2027 sa priprav</w:t>
            </w:r>
            <w:r>
              <w:rPr>
                <w:rFonts w:ascii="Times New Roman" w:hAnsi="Times New Roman" w:cs="Times New Roman"/>
                <w:bCs/>
                <w:i/>
                <w:sz w:val="20"/>
                <w:szCs w:val="20"/>
              </w:rPr>
              <w:t>i</w:t>
            </w:r>
            <w:r w:rsidRPr="0068754F">
              <w:rPr>
                <w:rFonts w:ascii="Times New Roman" w:hAnsi="Times New Roman" w:cs="Times New Roman"/>
                <w:bCs/>
                <w:i/>
                <w:sz w:val="20"/>
                <w:szCs w:val="20"/>
              </w:rPr>
              <w:t xml:space="preserve">l </w:t>
            </w:r>
            <w:r>
              <w:rPr>
                <w:rFonts w:ascii="Times New Roman" w:hAnsi="Times New Roman" w:cs="Times New Roman"/>
                <w:bCs/>
                <w:i/>
                <w:sz w:val="20"/>
                <w:szCs w:val="20"/>
              </w:rPr>
              <w:t>skôr ako návrh zákona.</w:t>
            </w:r>
          </w:p>
          <w:p w14:paraId="0343A96A" w14:textId="77777777" w:rsidR="0070357E" w:rsidRPr="00FF57EC" w:rsidRDefault="0070357E" w:rsidP="0070357E">
            <w:pPr>
              <w:jc w:val="both"/>
              <w:rPr>
                <w:rFonts w:ascii="Times New Roman" w:hAnsi="Times New Roman" w:cs="Times New Roman"/>
                <w:bCs/>
                <w:sz w:val="20"/>
                <w:szCs w:val="20"/>
              </w:rPr>
            </w:pPr>
          </w:p>
          <w:p w14:paraId="55C70313"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lastRenderedPageBreak/>
              <w:t>V Analýze vplyvov na rozpočet verejnej správy v tabuľke č. 1/A Komisia žiada v riadkoch „Vplyv na počet zamestnancov“ a „vplyv na ŠR – kapitola MPSVR SR“ v roku 2027 doplniť počet zamestnancov. V tabuľke č. 2 Komisia žiada v roku 2027 doplniť „počet nových profesionálnych náhradných rodičov“. V tabuľke č. 5 Komisia žiada vyplniť všetky údaje aj za rok 2027 ako aj uviesť sumu osobných výdavkov celkom.</w:t>
            </w:r>
          </w:p>
          <w:p w14:paraId="4ECDD941" w14:textId="77777777" w:rsidR="0070357E" w:rsidRPr="0068754F" w:rsidRDefault="0070357E" w:rsidP="0070357E">
            <w:pPr>
              <w:jc w:val="both"/>
              <w:rPr>
                <w:rFonts w:ascii="Times New Roman" w:hAnsi="Times New Roman" w:cs="Times New Roman"/>
                <w:bCs/>
                <w:i/>
                <w:sz w:val="20"/>
                <w:szCs w:val="20"/>
              </w:rPr>
            </w:pPr>
          </w:p>
          <w:p w14:paraId="4A146BED"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0C7D50B9" w14:textId="77777777" w:rsidR="0070357E" w:rsidRDefault="0070357E" w:rsidP="0070357E">
            <w:pPr>
              <w:jc w:val="both"/>
              <w:rPr>
                <w:rFonts w:ascii="Times New Roman" w:hAnsi="Times New Roman" w:cs="Times New Roman"/>
                <w:bCs/>
                <w:sz w:val="20"/>
                <w:szCs w:val="20"/>
              </w:rPr>
            </w:pPr>
            <w:r w:rsidRPr="00BF51AE">
              <w:rPr>
                <w:rFonts w:ascii="Times New Roman" w:eastAsia="Times New Roman" w:hAnsi="Times New Roman" w:cs="Times New Roman"/>
                <w:i/>
                <w:sz w:val="20"/>
                <w:szCs w:val="20"/>
                <w:lang w:eastAsia="sk-SK"/>
              </w:rPr>
              <w:t xml:space="preserve">Akceptovaná pripomienka. </w:t>
            </w:r>
          </w:p>
          <w:p w14:paraId="3E8E72B8" w14:textId="77777777" w:rsidR="0070357E" w:rsidRPr="00FF57EC" w:rsidRDefault="0070357E" w:rsidP="0070357E">
            <w:pPr>
              <w:jc w:val="both"/>
              <w:rPr>
                <w:rFonts w:ascii="Times New Roman" w:hAnsi="Times New Roman" w:cs="Times New Roman"/>
                <w:bCs/>
                <w:sz w:val="20"/>
                <w:szCs w:val="20"/>
              </w:rPr>
            </w:pPr>
          </w:p>
          <w:p w14:paraId="79D3C871"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Vo výpočte vplyvu na rozpočet verejnej správy Komisia žiada zohľadniť aj zníženie počtu zamestnancov a znížené náklady centier v špecializovaných skupinách, v ktorých bude menší počet detí z dôvodu ich umiestnenia v novovzniknutých profesionálnych rodinách, a to v súvislosti s konštatovaním v analýze vplyvov na rozpočet verejnej správy, že v špecializovaných samostatne usporiadaných skupinách pre deti vyžadujúce osobitnú starostlivosť z dôvodu zdravotného znevýhodnenia je dlhodobo umiestnených od 50 do 70 detí do dvoch rokov. Predložený návrh predpokladá, že väčšina z nich bude umiestnená do profesionálnych náhradných rodín – vyžaduje sa preto navýšenie o 60 zamestnancov (profesionálnych rodičov). To, že sa zníži potrebný počet zamestnancov a s tým súvisiace výdavky v spomenutých špecializovaných skupinách však už nie je zohľadnené. Uvoľnené miesta v skupinách majú podľa návrhu slúžiť na zabezpečenie dočasnej starostlivosti, avšak nie je možné predpokladať, že pôjde o rovnaký rozsah práce ako nepretržitá starostlivosť. Celé náklady na nové miesta sú uvedené ako rozpočtovo nekryté a nie je jasné, kam budú smerované usporené rozpočtované prostriedky.</w:t>
            </w:r>
          </w:p>
          <w:p w14:paraId="4CBDA1D1" w14:textId="77777777" w:rsidR="0070357E" w:rsidRDefault="0070357E" w:rsidP="0070357E">
            <w:pPr>
              <w:jc w:val="both"/>
              <w:rPr>
                <w:rFonts w:ascii="Times New Roman" w:hAnsi="Times New Roman" w:cs="Times New Roman"/>
                <w:bCs/>
                <w:sz w:val="20"/>
                <w:szCs w:val="20"/>
              </w:rPr>
            </w:pPr>
          </w:p>
          <w:p w14:paraId="21F5B80D"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6AA29E7D" w14:textId="77777777" w:rsidR="0070357E" w:rsidRDefault="0070357E" w:rsidP="0070357E">
            <w:pPr>
              <w:jc w:val="both"/>
              <w:rPr>
                <w:rFonts w:ascii="Times New Roman" w:hAnsi="Times New Roman" w:cs="Times New Roman"/>
                <w:bCs/>
                <w:sz w:val="20"/>
                <w:szCs w:val="20"/>
              </w:rPr>
            </w:pPr>
            <w:r w:rsidRPr="0068754F">
              <w:rPr>
                <w:rFonts w:ascii="Times New Roman" w:hAnsi="Times New Roman" w:cs="Times New Roman"/>
                <w:bCs/>
                <w:i/>
                <w:sz w:val="20"/>
                <w:szCs w:val="20"/>
              </w:rPr>
              <w:t>Neakceptovaná pripomienka.</w:t>
            </w:r>
            <w:r>
              <w:rPr>
                <w:rFonts w:ascii="Times New Roman" w:hAnsi="Times New Roman" w:cs="Times New Roman"/>
                <w:bCs/>
                <w:i/>
                <w:sz w:val="20"/>
                <w:szCs w:val="20"/>
              </w:rPr>
              <w:t xml:space="preserve"> Znížením počtu detí na špecializovaných samostatných skupinách (zo súčasných 8 detí  na predpokladaných 7 alebo 6 detí na skupine) nedôjde k zníženiu počtu zamestnancov skupiny a ani zníženiu počtu členov odborných tímov. K zníženiu počtu členov odborného tímu centra pre deti a rodiny nemôže dôjsť, nakoľko celková kapacita centra sa nezmení, ostane zachovaná. K zníženiu počtu zamestnancov špecializovanej samostatnej skupiny nemôže dôjsť, nakoľko nezávisle od počtu detí (8 alebo 6) je nevyhnutné zachovať nepretržitú prevádzku špecializovanej samostatnej skupiny s akceptovaním dovoleniek, PN-</w:t>
            </w:r>
            <w:proofErr w:type="spellStart"/>
            <w:r>
              <w:rPr>
                <w:rFonts w:ascii="Times New Roman" w:hAnsi="Times New Roman" w:cs="Times New Roman"/>
                <w:bCs/>
                <w:i/>
                <w:sz w:val="20"/>
                <w:szCs w:val="20"/>
              </w:rPr>
              <w:t>niek</w:t>
            </w:r>
            <w:proofErr w:type="spellEnd"/>
            <w:r>
              <w:rPr>
                <w:rFonts w:ascii="Times New Roman" w:hAnsi="Times New Roman" w:cs="Times New Roman"/>
                <w:bCs/>
                <w:i/>
                <w:sz w:val="20"/>
                <w:szCs w:val="20"/>
              </w:rPr>
              <w:t xml:space="preserve"> a pod.  Zároveň uvoľnené miesta na špecializovanej samostatne skupine budú slúžiť na poskytovanie  starostlivosti o deti s ťažkým zdravotným postihnutím počas prestávok na obnovu kondície ale aj čerpania dovoleniek, PN-</w:t>
            </w:r>
            <w:proofErr w:type="spellStart"/>
            <w:r>
              <w:rPr>
                <w:rFonts w:ascii="Times New Roman" w:hAnsi="Times New Roman" w:cs="Times New Roman"/>
                <w:bCs/>
                <w:i/>
                <w:sz w:val="20"/>
                <w:szCs w:val="20"/>
              </w:rPr>
              <w:t>niek</w:t>
            </w:r>
            <w:proofErr w:type="spellEnd"/>
            <w:r>
              <w:rPr>
                <w:rFonts w:ascii="Times New Roman" w:hAnsi="Times New Roman" w:cs="Times New Roman"/>
                <w:bCs/>
                <w:i/>
                <w:sz w:val="20"/>
                <w:szCs w:val="20"/>
              </w:rPr>
              <w:t xml:space="preserve">, a pod. profesionálnych náhradných rodičov. </w:t>
            </w:r>
            <w:r w:rsidRPr="00C86674">
              <w:rPr>
                <w:rFonts w:ascii="Times New Roman" w:hAnsi="Times New Roman" w:cs="Times New Roman"/>
                <w:bCs/>
                <w:i/>
                <w:sz w:val="20"/>
                <w:szCs w:val="20"/>
              </w:rPr>
              <w:t>Na zabezpečenie starostlivosti o dieťa so zdravotným znevýhodnením  počas napr. prestávky na obnovu kondície jeho profesionálneho náhradného rodiča nie sú v súvislosti s návrhom zákona ale aj v súvislosti s požiadavkami praxe uplatňované žiadne  zvýšené výdavky.</w:t>
            </w:r>
            <w:r>
              <w:rPr>
                <w:rFonts w:ascii="Times New Roman" w:hAnsi="Times New Roman" w:cs="Times New Roman"/>
                <w:bCs/>
                <w:i/>
                <w:sz w:val="20"/>
                <w:szCs w:val="20"/>
              </w:rPr>
              <w:t xml:space="preserve"> </w:t>
            </w:r>
          </w:p>
          <w:p w14:paraId="7BA72475" w14:textId="77777777" w:rsidR="0070357E" w:rsidRPr="00FF57EC" w:rsidRDefault="0070357E" w:rsidP="0070357E">
            <w:pPr>
              <w:jc w:val="both"/>
              <w:rPr>
                <w:rFonts w:ascii="Times New Roman" w:hAnsi="Times New Roman" w:cs="Times New Roman"/>
                <w:bCs/>
                <w:sz w:val="20"/>
                <w:szCs w:val="20"/>
              </w:rPr>
            </w:pPr>
          </w:p>
          <w:p w14:paraId="562E90CB"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Do analýzy vplyvu na rozpočet verejnej správy Komisia odporúča doplniť odhad výdavkov na príplatky za zastupovanie, ktoré majú byť podľa návrhu zavedené, ako aj vplyv, aký bude mať poberanie prídavkov na dieťa už odo dňa vykonateľnosti neodkladného opatrenia. V analýze vplyvov na rozpočet verejnej správy tieto položky chýbajú, nie je jasné, o aký veľký vplyv pôjde.</w:t>
            </w:r>
          </w:p>
          <w:p w14:paraId="537591FD" w14:textId="77777777" w:rsidR="0070357E" w:rsidRDefault="0070357E" w:rsidP="0070357E">
            <w:pPr>
              <w:jc w:val="both"/>
              <w:rPr>
                <w:rFonts w:ascii="Times New Roman" w:hAnsi="Times New Roman" w:cs="Times New Roman"/>
                <w:bCs/>
                <w:sz w:val="20"/>
                <w:szCs w:val="20"/>
              </w:rPr>
            </w:pPr>
          </w:p>
          <w:p w14:paraId="606E735F"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084CE2E6" w14:textId="77777777" w:rsidR="0070357E" w:rsidRDefault="0070357E" w:rsidP="0070357E">
            <w:pPr>
              <w:jc w:val="both"/>
              <w:rPr>
                <w:rFonts w:ascii="Times New Roman" w:hAnsi="Times New Roman" w:cs="Times New Roman"/>
                <w:bCs/>
                <w:i/>
                <w:sz w:val="20"/>
                <w:szCs w:val="20"/>
              </w:rPr>
            </w:pPr>
            <w:r>
              <w:rPr>
                <w:rFonts w:ascii="Times New Roman" w:hAnsi="Times New Roman" w:cs="Times New Roman"/>
                <w:bCs/>
                <w:i/>
                <w:sz w:val="20"/>
                <w:szCs w:val="20"/>
              </w:rPr>
              <w:t>Čiastočne a</w:t>
            </w:r>
            <w:r w:rsidRPr="0068754F">
              <w:rPr>
                <w:rFonts w:ascii="Times New Roman" w:hAnsi="Times New Roman" w:cs="Times New Roman"/>
                <w:bCs/>
                <w:i/>
                <w:sz w:val="20"/>
                <w:szCs w:val="20"/>
              </w:rPr>
              <w:t>kceptovaná pripomienka.</w:t>
            </w:r>
          </w:p>
          <w:p w14:paraId="08A94DCD" w14:textId="77777777" w:rsidR="0070357E" w:rsidRPr="00F21B4C" w:rsidRDefault="0070357E" w:rsidP="0070357E">
            <w:pPr>
              <w:jc w:val="both"/>
              <w:rPr>
                <w:rFonts w:ascii="Times New Roman" w:hAnsi="Times New Roman" w:cs="Times New Roman"/>
                <w:bCs/>
                <w:i/>
                <w:sz w:val="20"/>
                <w:szCs w:val="20"/>
              </w:rPr>
            </w:pPr>
            <w:r>
              <w:rPr>
                <w:rFonts w:ascii="Times New Roman" w:hAnsi="Times New Roman" w:cs="Times New Roman"/>
                <w:bCs/>
                <w:i/>
                <w:sz w:val="20"/>
                <w:szCs w:val="20"/>
              </w:rPr>
              <w:t xml:space="preserve">Odhad výdavkov na príplatky za zastupovanie je zapracovaný do analýzy. </w:t>
            </w:r>
            <w:r w:rsidRPr="00F21B4C">
              <w:rPr>
                <w:rFonts w:ascii="Times New Roman" w:eastAsia="Times New Roman" w:hAnsi="Times New Roman" w:cs="Times New Roman"/>
                <w:i/>
                <w:sz w:val="20"/>
                <w:szCs w:val="20"/>
                <w:lang w:eastAsia="sk-SK"/>
              </w:rPr>
              <w:t>Nárast finančných prostriedkov v súvislosti s poskytovaním prídavku na dieťa od vykonateľnosti rozhodnutia súdu nie je možné kvantifikovať vzhľadom na rôznorodosť dĺžky obdobia od vykonateľnosti po právoplatnosť (dĺžka tohto obdobia napríklad v prípade rozhodnutí súdu o nariadení neodkladného opatrenia závisí od doby doručovania, ktorá môže byť v rozmedzí niekoľkých dní až po niekoľko mesiacov). Vo všeobecnosti však možno konštatovať, že te</w:t>
            </w:r>
            <w:r>
              <w:rPr>
                <w:rFonts w:ascii="Times New Roman" w:eastAsia="Times New Roman" w:hAnsi="Times New Roman" w:cs="Times New Roman"/>
                <w:i/>
                <w:sz w:val="20"/>
                <w:szCs w:val="20"/>
                <w:lang w:eastAsia="sk-SK"/>
              </w:rPr>
              <w:t>n</w:t>
            </w:r>
            <w:r w:rsidRPr="00F21B4C">
              <w:rPr>
                <w:rFonts w:ascii="Times New Roman" w:eastAsia="Times New Roman" w:hAnsi="Times New Roman" w:cs="Times New Roman"/>
                <w:i/>
                <w:sz w:val="20"/>
                <w:szCs w:val="20"/>
                <w:lang w:eastAsia="sk-SK"/>
              </w:rPr>
              <w:t>to vplyv bud</w:t>
            </w:r>
            <w:r>
              <w:rPr>
                <w:rFonts w:ascii="Times New Roman" w:eastAsia="Times New Roman" w:hAnsi="Times New Roman" w:cs="Times New Roman"/>
                <w:i/>
                <w:sz w:val="20"/>
                <w:szCs w:val="20"/>
                <w:lang w:eastAsia="sk-SK"/>
              </w:rPr>
              <w:t>e</w:t>
            </w:r>
            <w:r w:rsidRPr="00F21B4C">
              <w:rPr>
                <w:rFonts w:ascii="Times New Roman" w:eastAsia="Times New Roman" w:hAnsi="Times New Roman" w:cs="Times New Roman"/>
                <w:i/>
                <w:sz w:val="20"/>
                <w:szCs w:val="20"/>
                <w:lang w:eastAsia="sk-SK"/>
              </w:rPr>
              <w:t xml:space="preserve"> zanedbateľn</w:t>
            </w:r>
            <w:r>
              <w:rPr>
                <w:rFonts w:ascii="Times New Roman" w:eastAsia="Times New Roman" w:hAnsi="Times New Roman" w:cs="Times New Roman"/>
                <w:i/>
                <w:sz w:val="20"/>
                <w:szCs w:val="20"/>
                <w:lang w:eastAsia="sk-SK"/>
              </w:rPr>
              <w:t>ý</w:t>
            </w:r>
            <w:r w:rsidRPr="00F21B4C">
              <w:rPr>
                <w:rFonts w:ascii="Times New Roman" w:eastAsia="Times New Roman" w:hAnsi="Times New Roman" w:cs="Times New Roman"/>
                <w:i/>
                <w:sz w:val="20"/>
                <w:szCs w:val="20"/>
                <w:lang w:eastAsia="sk-SK"/>
              </w:rPr>
              <w:t xml:space="preserve">. </w:t>
            </w:r>
          </w:p>
          <w:p w14:paraId="621A6672" w14:textId="77777777" w:rsidR="0070357E" w:rsidRPr="00FF57EC" w:rsidRDefault="0070357E" w:rsidP="0070357E">
            <w:pPr>
              <w:jc w:val="both"/>
              <w:rPr>
                <w:rFonts w:ascii="Times New Roman" w:hAnsi="Times New Roman" w:cs="Times New Roman"/>
                <w:bCs/>
                <w:sz w:val="20"/>
                <w:szCs w:val="20"/>
              </w:rPr>
            </w:pPr>
          </w:p>
          <w:p w14:paraId="29D90D5D" w14:textId="77777777" w:rsidR="0070357E" w:rsidRPr="00FF57EC" w:rsidRDefault="0070357E" w:rsidP="0070357E">
            <w:pPr>
              <w:jc w:val="both"/>
              <w:rPr>
                <w:rFonts w:ascii="Times New Roman" w:hAnsi="Times New Roman" w:cs="Times New Roman"/>
                <w:bCs/>
                <w:sz w:val="20"/>
                <w:szCs w:val="20"/>
              </w:rPr>
            </w:pPr>
          </w:p>
          <w:p w14:paraId="06E27C7C"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V zmysle § 24 ods. 2 zákona č. 376/2022 Z. z. o profesionálnych náhradných rodičoch sa suma paušálneho príplatku vypočíta ako súčin jednej tridsatiny 20 % zo základnej zložky mzdy a počtu dní, počas ktorých profesionálny náhradný rodič v kalendárnom mesiaci poskytoval starostlivosť najmenej jednému dieťaťu. Pri prijatí nariadenia č. 327/2023 Z. z., ktorým sa ustanovuje vyššia suma základnej zložky mzdy profesionálneho náhradného sa uvažovalo so sumou paušálneho príplatku vo výške 206,80 eur, čo predstavuje prepočet na 30 kalendárnych dní. V aktuálnom materiáli sa uvažuje so sumou paušálneho príplatku 213,60 eur. Rozdiel Komisia odporúča opraviť, prípadne zdôvodniť.</w:t>
            </w:r>
          </w:p>
          <w:p w14:paraId="39CE5067" w14:textId="77777777" w:rsidR="0070357E" w:rsidRDefault="0070357E" w:rsidP="0070357E">
            <w:pPr>
              <w:jc w:val="both"/>
              <w:rPr>
                <w:rFonts w:ascii="Times New Roman" w:hAnsi="Times New Roman" w:cs="Times New Roman"/>
                <w:bCs/>
                <w:sz w:val="20"/>
                <w:szCs w:val="20"/>
              </w:rPr>
            </w:pPr>
          </w:p>
          <w:p w14:paraId="3AEF5177" w14:textId="77777777" w:rsidR="0070357E" w:rsidRDefault="0070357E" w:rsidP="0070357E">
            <w:pPr>
              <w:jc w:val="both"/>
              <w:rPr>
                <w:rFonts w:ascii="Times New Roman" w:hAnsi="Times New Roman" w:cs="Times New Roman"/>
                <w:bCs/>
                <w:sz w:val="20"/>
                <w:szCs w:val="20"/>
              </w:rPr>
            </w:pPr>
          </w:p>
          <w:p w14:paraId="0A15181A" w14:textId="77777777" w:rsidR="0070357E" w:rsidRPr="00D32941" w:rsidRDefault="0070357E" w:rsidP="0070357E">
            <w:pPr>
              <w:jc w:val="both"/>
              <w:rPr>
                <w:rFonts w:ascii="Times New Roman" w:hAnsi="Times New Roman" w:cs="Times New Roman"/>
                <w:b/>
                <w:bCs/>
                <w:i/>
                <w:sz w:val="20"/>
                <w:szCs w:val="20"/>
              </w:rPr>
            </w:pPr>
            <w:r w:rsidRPr="00D32941">
              <w:rPr>
                <w:rFonts w:ascii="Times New Roman" w:hAnsi="Times New Roman" w:cs="Times New Roman"/>
                <w:b/>
                <w:bCs/>
                <w:i/>
                <w:sz w:val="20"/>
                <w:szCs w:val="20"/>
              </w:rPr>
              <w:t xml:space="preserve">Vyjadrenie MPSVR SR: </w:t>
            </w:r>
          </w:p>
          <w:p w14:paraId="664A5710" w14:textId="77777777" w:rsidR="0070357E" w:rsidRPr="00D32941" w:rsidRDefault="0070357E" w:rsidP="0070357E">
            <w:pPr>
              <w:jc w:val="both"/>
              <w:rPr>
                <w:rFonts w:ascii="Times New Roman" w:hAnsi="Times New Roman" w:cs="Times New Roman"/>
                <w:bCs/>
                <w:i/>
                <w:sz w:val="20"/>
                <w:szCs w:val="20"/>
              </w:rPr>
            </w:pPr>
            <w:r w:rsidRPr="00D32941">
              <w:rPr>
                <w:rFonts w:ascii="Times New Roman" w:hAnsi="Times New Roman" w:cs="Times New Roman"/>
                <w:bCs/>
                <w:i/>
                <w:sz w:val="20"/>
                <w:szCs w:val="20"/>
              </w:rPr>
              <w:t xml:space="preserve">Neakceptovaná pripomienka. Suma paušálneho príplatku bola vypočítaná podľa § 24 ods. 2 zákona č. 376/2022 Z. z. o profesionálnych náhradných rodičoch, pričom sa pri výpočte vychádzalo z maximálneho počtu dní </w:t>
            </w:r>
            <w:r w:rsidRPr="00D32941">
              <w:rPr>
                <w:rFonts w:ascii="Times New Roman" w:hAnsi="Times New Roman" w:cs="Times New Roman"/>
                <w:bCs/>
                <w:i/>
                <w:sz w:val="20"/>
                <w:szCs w:val="20"/>
              </w:rPr>
              <w:lastRenderedPageBreak/>
              <w:t xml:space="preserve">v mesiaci a to 31 dní. </w:t>
            </w:r>
            <w:r>
              <w:rPr>
                <w:rFonts w:ascii="Times New Roman" w:hAnsi="Times New Roman" w:cs="Times New Roman"/>
                <w:bCs/>
                <w:i/>
                <w:sz w:val="20"/>
                <w:szCs w:val="20"/>
              </w:rPr>
              <w:t xml:space="preserve">Vzhľadom na zanedbateľný finančný vplyv nepovažujeme sa potrebné priemerovať výšku príplatku presne podľa počtu dní v jednotlivých mesiacoch a v jednotlivých rokoch. </w:t>
            </w:r>
            <w:r w:rsidRPr="00D32941">
              <w:rPr>
                <w:rFonts w:ascii="Times New Roman" w:hAnsi="Times New Roman" w:cs="Times New Roman"/>
                <w:bCs/>
                <w:i/>
                <w:sz w:val="20"/>
                <w:szCs w:val="20"/>
              </w:rPr>
              <w:t xml:space="preserve"> </w:t>
            </w:r>
          </w:p>
          <w:p w14:paraId="4CFAF4CD" w14:textId="77777777" w:rsidR="0070357E" w:rsidRPr="00FF57EC" w:rsidRDefault="0070357E" w:rsidP="0070357E">
            <w:pPr>
              <w:jc w:val="both"/>
              <w:rPr>
                <w:rFonts w:ascii="Times New Roman" w:hAnsi="Times New Roman" w:cs="Times New Roman"/>
                <w:bCs/>
                <w:sz w:val="20"/>
                <w:szCs w:val="20"/>
              </w:rPr>
            </w:pPr>
          </w:p>
          <w:p w14:paraId="528E3D34" w14:textId="77777777" w:rsidR="0070357E" w:rsidRPr="00FF57EC" w:rsidRDefault="0070357E" w:rsidP="0070357E">
            <w:pPr>
              <w:jc w:val="both"/>
              <w:rPr>
                <w:rFonts w:ascii="Times New Roman" w:hAnsi="Times New Roman" w:cs="Times New Roman"/>
                <w:b/>
                <w:bCs/>
                <w:sz w:val="20"/>
                <w:szCs w:val="20"/>
              </w:rPr>
            </w:pPr>
            <w:r w:rsidRPr="00FF57EC">
              <w:rPr>
                <w:rFonts w:ascii="Times New Roman" w:hAnsi="Times New Roman" w:cs="Times New Roman"/>
                <w:b/>
                <w:bCs/>
                <w:sz w:val="20"/>
                <w:szCs w:val="20"/>
              </w:rPr>
              <w:t xml:space="preserve">K sociálnym vplyvom </w:t>
            </w:r>
          </w:p>
          <w:p w14:paraId="35CEE0D6" w14:textId="77777777" w:rsidR="0070357E" w:rsidRPr="00FF57EC"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 xml:space="preserve">Analýzu sociálnych vplyvov je potrebné vypracovať tak, aby bol zrejmý opis navrhovaných opatrení s pozitívnym resp. negatívnym sociálnym vplyvom, kvalitatívne a tiež kvantitatívne zhodnotenie jeho vplyvu pri porovnaní predloženého návrhu zákona so súčasným stavom a uvedená špecifikácia dotknutých skupín. </w:t>
            </w:r>
          </w:p>
          <w:p w14:paraId="5C944FA0" w14:textId="77777777" w:rsidR="0070357E" w:rsidRPr="00FF57EC" w:rsidRDefault="0070357E" w:rsidP="0070357E">
            <w:pPr>
              <w:jc w:val="both"/>
              <w:rPr>
                <w:rFonts w:ascii="Times New Roman" w:hAnsi="Times New Roman" w:cs="Times New Roman"/>
                <w:bCs/>
                <w:sz w:val="20"/>
                <w:szCs w:val="20"/>
              </w:rPr>
            </w:pPr>
          </w:p>
          <w:p w14:paraId="40BF9DD1" w14:textId="77777777" w:rsidR="0070357E" w:rsidRPr="00FF57EC"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u w:val="single"/>
              </w:rPr>
              <w:t>Odôvodnenie:</w:t>
            </w:r>
            <w:r w:rsidRPr="00FF57EC">
              <w:rPr>
                <w:rFonts w:ascii="Times New Roman" w:hAnsi="Times New Roman" w:cs="Times New Roman"/>
                <w:bCs/>
                <w:sz w:val="20"/>
                <w:szCs w:val="20"/>
              </w:rPr>
              <w:t xml:space="preserve"> V predloženom návrhu zákona sa navrhujú opatrenia  ako </w:t>
            </w:r>
            <w:proofErr w:type="spellStart"/>
            <w:r w:rsidRPr="00FF57EC">
              <w:rPr>
                <w:rFonts w:ascii="Times New Roman" w:hAnsi="Times New Roman" w:cs="Times New Roman"/>
                <w:bCs/>
                <w:sz w:val="20"/>
                <w:szCs w:val="20"/>
              </w:rPr>
              <w:t>napr</w:t>
            </w:r>
            <w:proofErr w:type="spellEnd"/>
            <w:r w:rsidRPr="00FF57EC">
              <w:rPr>
                <w:rFonts w:ascii="Times New Roman" w:hAnsi="Times New Roman" w:cs="Times New Roman"/>
                <w:bCs/>
                <w:sz w:val="20"/>
                <w:szCs w:val="20"/>
              </w:rPr>
              <w:t xml:space="preserve">: precizovanie niektorých ustanovení na základe aplikačnej praxe (náležitostí pracovnej zmluvy, zaokrúhľovania mzdy, výpočtu krátenia dovolenky a atď.), skvalitnenie podmienok na výkon práce profesionálnych náhradných rodičov a podpora </w:t>
            </w:r>
            <w:proofErr w:type="spellStart"/>
            <w:r w:rsidRPr="00FF57EC">
              <w:rPr>
                <w:rFonts w:ascii="Times New Roman" w:hAnsi="Times New Roman" w:cs="Times New Roman"/>
                <w:bCs/>
                <w:sz w:val="20"/>
                <w:szCs w:val="20"/>
              </w:rPr>
              <w:t>deinštitucionalizácie</w:t>
            </w:r>
            <w:proofErr w:type="spellEnd"/>
            <w:r w:rsidRPr="00FF57EC">
              <w:rPr>
                <w:rFonts w:ascii="Times New Roman" w:hAnsi="Times New Roman" w:cs="Times New Roman"/>
                <w:bCs/>
                <w:sz w:val="20"/>
                <w:szCs w:val="20"/>
              </w:rPr>
              <w:t xml:space="preserve"> systému náhradnej starostlivosti s osobitným zameraním na utváranie podmienok starostlivosti o deti so zdravotným znevýhodnením, ktoré sú umiestňované v centrách pre deti a rodiny na základe rozhodnutia súdu najmä (zavedením prestávky na obnovu kondície profesionálneho náhradného rodiča,  ak sa stará o dieťa s ťažkým zdravotným postihnutím; sprísnením možností výnimiek pre zaraďovanie zdravotne znevýhodnených detí do profesionálnych náhradných rodín a s tým súvisiacim navýšením počtu profesionálnych náhradných rodičov najmä pre deti so zdravotným znevýhodnením; zavedením finančnej podpory na úpravu/</w:t>
            </w:r>
            <w:proofErr w:type="spellStart"/>
            <w:r w:rsidRPr="00FF57EC">
              <w:rPr>
                <w:rFonts w:ascii="Times New Roman" w:hAnsi="Times New Roman" w:cs="Times New Roman"/>
                <w:bCs/>
                <w:sz w:val="20"/>
                <w:szCs w:val="20"/>
              </w:rPr>
              <w:t>debarierizáciu</w:t>
            </w:r>
            <w:proofErr w:type="spellEnd"/>
            <w:r w:rsidRPr="00FF57EC">
              <w:rPr>
                <w:rFonts w:ascii="Times New Roman" w:hAnsi="Times New Roman" w:cs="Times New Roman"/>
                <w:bCs/>
                <w:sz w:val="20"/>
                <w:szCs w:val="20"/>
              </w:rPr>
              <w:t xml:space="preserve"> domu/bytu profesionálneho náhradného rodiča,  ak sa stará o dieťa s ťažkým zdravotným postihnutím; zavedenie možnosti výkonu práce profesionálneho náhradného rodiča a materského/otcovského). </w:t>
            </w:r>
          </w:p>
          <w:p w14:paraId="12163BF6" w14:textId="77777777" w:rsidR="0070357E" w:rsidRPr="00FF57EC"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Uvedené návrhy opatrení teda zakladajú pozitívne sociálne vplyvy, ktoré je potrebné v súlade s Jednotnou metodikou na posudzovanie vybraných vplyvov zhodnotiť v analýze sociálnych vplyvov v časti 4.1 a 4.2.</w:t>
            </w:r>
          </w:p>
          <w:p w14:paraId="7A070875" w14:textId="77777777" w:rsidR="0070357E" w:rsidRPr="00612E08" w:rsidRDefault="0070357E" w:rsidP="0070357E">
            <w:pPr>
              <w:spacing w:line="276" w:lineRule="auto"/>
              <w:jc w:val="both"/>
              <w:rPr>
                <w:rFonts w:ascii="Times New Roman" w:eastAsia="Times New Roman" w:hAnsi="Times New Roman" w:cs="Times New Roman"/>
                <w:b/>
                <w:sz w:val="20"/>
                <w:szCs w:val="20"/>
                <w:lang w:eastAsia="sk-SK"/>
              </w:rPr>
            </w:pPr>
          </w:p>
          <w:p w14:paraId="7ADC6444" w14:textId="77777777" w:rsidR="0070357E" w:rsidRPr="00BF51AE" w:rsidRDefault="0070357E" w:rsidP="0070357E">
            <w:pPr>
              <w:rPr>
                <w:rFonts w:ascii="Times New Roman" w:eastAsia="Times New Roman" w:hAnsi="Times New Roman" w:cs="Times New Roman"/>
                <w:b/>
                <w:i/>
                <w:sz w:val="20"/>
                <w:szCs w:val="20"/>
                <w:lang w:eastAsia="sk-SK"/>
              </w:rPr>
            </w:pPr>
            <w:r w:rsidRPr="00BF51AE">
              <w:rPr>
                <w:rFonts w:ascii="Times New Roman" w:eastAsia="Times New Roman" w:hAnsi="Times New Roman" w:cs="Times New Roman"/>
                <w:b/>
                <w:i/>
                <w:sz w:val="20"/>
                <w:szCs w:val="20"/>
                <w:lang w:eastAsia="sk-SK"/>
              </w:rPr>
              <w:t xml:space="preserve">Vyjadrenie MPSVR SR: </w:t>
            </w:r>
          </w:p>
          <w:p w14:paraId="0A754C40" w14:textId="73FF76F7" w:rsidR="001B23B7" w:rsidRPr="00612E08" w:rsidRDefault="0070357E" w:rsidP="0070357E">
            <w:pPr>
              <w:spacing w:line="276" w:lineRule="auto"/>
              <w:rPr>
                <w:rFonts w:ascii="Times New Roman" w:eastAsia="Times New Roman" w:hAnsi="Times New Roman" w:cs="Times New Roman"/>
                <w:b/>
                <w:sz w:val="20"/>
                <w:szCs w:val="20"/>
                <w:lang w:eastAsia="sk-SK"/>
              </w:rPr>
            </w:pPr>
            <w:r w:rsidRPr="00BF51AE">
              <w:rPr>
                <w:rFonts w:ascii="Times New Roman" w:eastAsia="Times New Roman" w:hAnsi="Times New Roman" w:cs="Times New Roman"/>
                <w:i/>
                <w:sz w:val="20"/>
                <w:szCs w:val="20"/>
                <w:lang w:eastAsia="sk-SK"/>
              </w:rPr>
              <w:t>Akceptovaná pripomienka.</w:t>
            </w:r>
          </w:p>
          <w:p w14:paraId="50FAFABB"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p>
        </w:tc>
      </w:tr>
      <w:tr w:rsidR="00612E08" w:rsidRPr="00612E08" w14:paraId="433AB35F"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16177B8" w14:textId="2DA5ABF4" w:rsidR="001B23B7" w:rsidRPr="00612E08" w:rsidRDefault="001B23B7" w:rsidP="00C93945">
            <w:pPr>
              <w:numPr>
                <w:ilvl w:val="0"/>
                <w:numId w:val="1"/>
              </w:numPr>
              <w:spacing w:line="276" w:lineRule="auto"/>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w:t>
            </w:r>
            <w:r w:rsidR="00C93945">
              <w:rPr>
                <w:rFonts w:ascii="Times New Roman" w:eastAsia="Calibri" w:hAnsi="Times New Roman" w:cs="Times New Roman"/>
                <w:b/>
              </w:rPr>
              <w:t>184_2/2024</w:t>
            </w:r>
            <w:r w:rsidRPr="00612E08">
              <w:rPr>
                <w:rFonts w:ascii="Times New Roman" w:eastAsia="Calibri" w:hAnsi="Times New Roman" w:cs="Times New Roman"/>
              </w:rPr>
              <w:t xml:space="preserve"> (v prípade, ak sa uskutočnilo v zmysle bodu 9.1. Jednotnej metodiky) </w:t>
            </w:r>
          </w:p>
        </w:tc>
      </w:tr>
      <w:tr w:rsidR="00612E08" w:rsidRPr="00612E08" w14:paraId="6AAD93EB" w14:textId="77777777" w:rsidTr="000800FC">
        <w:tblPrEx>
          <w:tblBorders>
            <w:insideH w:val="single" w:sz="4" w:space="0" w:color="FFFFFF"/>
            <w:insideV w:val="single" w:sz="4" w:space="0" w:color="FFFFFF"/>
          </w:tblBorders>
        </w:tblPrEx>
        <w:tc>
          <w:tcPr>
            <w:tcW w:w="9176" w:type="dxa"/>
            <w:shd w:val="clear" w:color="auto" w:fill="FFFFFF"/>
          </w:tcPr>
          <w:p w14:paraId="3E002226"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3AB152CA" w14:textId="77777777" w:rsidTr="000800FC">
              <w:trPr>
                <w:trHeight w:val="396"/>
              </w:trPr>
              <w:tc>
                <w:tcPr>
                  <w:tcW w:w="2552" w:type="dxa"/>
                </w:tcPr>
                <w:p w14:paraId="262ACF18" w14:textId="296641A5" w:rsidR="001B23B7" w:rsidRPr="00612E08" w:rsidRDefault="004630D2" w:rsidP="00835A56">
                  <w:pPr>
                    <w:spacing w:line="276"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sidR="00C93945">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5357838A" w14:textId="77777777" w:rsidR="001B23B7" w:rsidRPr="00612E08" w:rsidRDefault="004630D2" w:rsidP="00835A56">
                  <w:pPr>
                    <w:spacing w:line="276"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5F5E2B55" w14:textId="10D16C7B" w:rsidR="001B23B7" w:rsidRPr="00612E08" w:rsidRDefault="004630D2" w:rsidP="00835A56">
                  <w:pPr>
                    <w:spacing w:line="276"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0357E">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3FC1F356" w14:textId="77777777" w:rsidR="001B23B7" w:rsidRDefault="001B23B7" w:rsidP="00835A56">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D278954" w14:textId="36BFCECE" w:rsidR="00C93945" w:rsidRPr="00C93945" w:rsidRDefault="00C93945" w:rsidP="00C93945">
            <w:pPr>
              <w:jc w:val="both"/>
              <w:rPr>
                <w:rFonts w:ascii="Times New Roman" w:hAnsi="Times New Roman" w:cs="Times New Roman"/>
                <w:bCs/>
                <w:sz w:val="20"/>
                <w:szCs w:val="20"/>
              </w:rPr>
            </w:pPr>
            <w:r w:rsidRPr="00C93945">
              <w:rPr>
                <w:rFonts w:ascii="Times New Roman" w:hAnsi="Times New Roman" w:cs="Times New Roman"/>
                <w:bCs/>
                <w:sz w:val="20"/>
                <w:szCs w:val="20"/>
              </w:rPr>
              <w:t>Komisia neuplatnila k materiálu pripomienky ani odporúčania.</w:t>
            </w:r>
          </w:p>
          <w:p w14:paraId="0EA10FEC" w14:textId="77777777" w:rsidR="00FF57EC" w:rsidRDefault="00FF57EC" w:rsidP="00835A56">
            <w:pPr>
              <w:spacing w:line="276" w:lineRule="auto"/>
              <w:jc w:val="both"/>
              <w:rPr>
                <w:rFonts w:ascii="Times New Roman" w:eastAsia="Times New Roman" w:hAnsi="Times New Roman" w:cs="Times New Roman"/>
                <w:b/>
                <w:sz w:val="20"/>
                <w:szCs w:val="20"/>
                <w:lang w:eastAsia="sk-SK"/>
              </w:rPr>
            </w:pPr>
          </w:p>
          <w:p w14:paraId="39256557" w14:textId="7CA12D39" w:rsidR="001B23B7" w:rsidRPr="00BF51AE" w:rsidRDefault="00BF51AE" w:rsidP="00BF51AE">
            <w:pPr>
              <w:jc w:val="both"/>
              <w:rPr>
                <w:rFonts w:ascii="Times New Roman" w:eastAsia="Times New Roman" w:hAnsi="Times New Roman" w:cs="Times New Roman"/>
                <w:sz w:val="20"/>
                <w:szCs w:val="20"/>
                <w:lang w:eastAsia="sk-SK"/>
              </w:rPr>
            </w:pPr>
            <w:r w:rsidRPr="00BF51AE">
              <w:rPr>
                <w:rFonts w:ascii="Times New Roman" w:eastAsia="Times New Roman" w:hAnsi="Times New Roman" w:cs="Times New Roman"/>
                <w:i/>
                <w:sz w:val="20"/>
                <w:szCs w:val="20"/>
                <w:lang w:eastAsia="sk-SK"/>
              </w:rPr>
              <w:t xml:space="preserve"> </w:t>
            </w:r>
          </w:p>
        </w:tc>
      </w:tr>
    </w:tbl>
    <w:p w14:paraId="20108BFE" w14:textId="77777777" w:rsidR="00274130" w:rsidRPr="00612E08" w:rsidRDefault="004630D2" w:rsidP="00835A56">
      <w:pPr>
        <w:spacing w:after="0" w:line="276" w:lineRule="auto"/>
      </w:pPr>
    </w:p>
    <w:p w14:paraId="0C6A2D82" w14:textId="77777777" w:rsidR="00913927" w:rsidRPr="00612E08" w:rsidRDefault="00913927">
      <w:pPr>
        <w:spacing w:after="0" w:line="276" w:lineRule="auto"/>
      </w:pPr>
    </w:p>
    <w:sectPr w:rsidR="00913927" w:rsidRPr="00612E08" w:rsidSect="001E35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47EFD" w14:textId="77777777" w:rsidR="004630D2" w:rsidRDefault="004630D2" w:rsidP="001B23B7">
      <w:pPr>
        <w:spacing w:after="0" w:line="240" w:lineRule="auto"/>
      </w:pPr>
      <w:r>
        <w:separator/>
      </w:r>
    </w:p>
  </w:endnote>
  <w:endnote w:type="continuationSeparator" w:id="0">
    <w:p w14:paraId="287FBDE7" w14:textId="77777777" w:rsidR="004630D2" w:rsidRDefault="004630D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120940"/>
      <w:docPartObj>
        <w:docPartGallery w:val="Page Numbers (Bottom of Page)"/>
        <w:docPartUnique/>
      </w:docPartObj>
    </w:sdtPr>
    <w:sdtEndPr>
      <w:rPr>
        <w:rFonts w:ascii="Times New Roman" w:hAnsi="Times New Roman" w:cs="Times New Roman"/>
      </w:rPr>
    </w:sdtEndPr>
    <w:sdtContent>
      <w:p w14:paraId="554CF7DD" w14:textId="07C088C6" w:rsidR="00E00078" w:rsidRPr="00FF1CAB" w:rsidRDefault="00E00078">
        <w:pPr>
          <w:pStyle w:val="Pta"/>
          <w:jc w:val="center"/>
          <w:rPr>
            <w:rFonts w:ascii="Times New Roman" w:hAnsi="Times New Roman" w:cs="Times New Roman"/>
          </w:rPr>
        </w:pPr>
        <w:r w:rsidRPr="00FF1CAB">
          <w:rPr>
            <w:rFonts w:ascii="Times New Roman" w:hAnsi="Times New Roman" w:cs="Times New Roman"/>
          </w:rPr>
          <w:fldChar w:fldCharType="begin"/>
        </w:r>
        <w:r w:rsidRPr="00FF1CAB">
          <w:rPr>
            <w:rFonts w:ascii="Times New Roman" w:hAnsi="Times New Roman" w:cs="Times New Roman"/>
          </w:rPr>
          <w:instrText>PAGE   \* MERGEFORMAT</w:instrText>
        </w:r>
        <w:r w:rsidRPr="00FF1CAB">
          <w:rPr>
            <w:rFonts w:ascii="Times New Roman" w:hAnsi="Times New Roman" w:cs="Times New Roman"/>
          </w:rPr>
          <w:fldChar w:fldCharType="separate"/>
        </w:r>
        <w:r w:rsidR="00470684">
          <w:rPr>
            <w:rFonts w:ascii="Times New Roman" w:hAnsi="Times New Roman" w:cs="Times New Roman"/>
            <w:noProof/>
          </w:rPr>
          <w:t>6</w:t>
        </w:r>
        <w:r w:rsidRPr="00FF1CAB">
          <w:rPr>
            <w:rFonts w:ascii="Times New Roman" w:hAnsi="Times New Roman" w:cs="Times New Roman"/>
          </w:rPr>
          <w:fldChar w:fldCharType="end"/>
        </w:r>
      </w:p>
    </w:sdtContent>
  </w:sdt>
  <w:p w14:paraId="04CDBE38"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E26D" w14:textId="77777777" w:rsidR="004630D2" w:rsidRDefault="004630D2" w:rsidP="001B23B7">
      <w:pPr>
        <w:spacing w:after="0" w:line="240" w:lineRule="auto"/>
      </w:pPr>
      <w:r>
        <w:separator/>
      </w:r>
    </w:p>
  </w:footnote>
  <w:footnote w:type="continuationSeparator" w:id="0">
    <w:p w14:paraId="639B3B4B" w14:textId="77777777" w:rsidR="004630D2" w:rsidRDefault="004630D2"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14DF"/>
    <w:multiLevelType w:val="hybridMultilevel"/>
    <w:tmpl w:val="BBA6637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DC130B8"/>
    <w:multiLevelType w:val="hybridMultilevel"/>
    <w:tmpl w:val="E7706944"/>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9F00DB"/>
    <w:multiLevelType w:val="hybridMultilevel"/>
    <w:tmpl w:val="477E2908"/>
    <w:lvl w:ilvl="0" w:tplc="1B0AD5B0">
      <w:start w:val="2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770ECC"/>
    <w:multiLevelType w:val="hybridMultilevel"/>
    <w:tmpl w:val="6664A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FBC2CD5"/>
    <w:multiLevelType w:val="hybridMultilevel"/>
    <w:tmpl w:val="2146BD80"/>
    <w:lvl w:ilvl="0" w:tplc="33ACD7EC">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5CE5"/>
    <w:rsid w:val="0001370B"/>
    <w:rsid w:val="00043706"/>
    <w:rsid w:val="00054C27"/>
    <w:rsid w:val="00086336"/>
    <w:rsid w:val="00097069"/>
    <w:rsid w:val="000D348F"/>
    <w:rsid w:val="000F2BE9"/>
    <w:rsid w:val="000F5317"/>
    <w:rsid w:val="00113AE4"/>
    <w:rsid w:val="00120F7F"/>
    <w:rsid w:val="0012607E"/>
    <w:rsid w:val="0012634A"/>
    <w:rsid w:val="001374ED"/>
    <w:rsid w:val="00156064"/>
    <w:rsid w:val="00177DB8"/>
    <w:rsid w:val="00187182"/>
    <w:rsid w:val="001B23B7"/>
    <w:rsid w:val="001B75D5"/>
    <w:rsid w:val="001D7CB8"/>
    <w:rsid w:val="001E3562"/>
    <w:rsid w:val="00203EE3"/>
    <w:rsid w:val="002243BB"/>
    <w:rsid w:val="0023360B"/>
    <w:rsid w:val="00243652"/>
    <w:rsid w:val="00273F50"/>
    <w:rsid w:val="002F51D4"/>
    <w:rsid w:val="002F656B"/>
    <w:rsid w:val="002F6ADB"/>
    <w:rsid w:val="00313DDC"/>
    <w:rsid w:val="003145AE"/>
    <w:rsid w:val="003553ED"/>
    <w:rsid w:val="003A057B"/>
    <w:rsid w:val="003A381E"/>
    <w:rsid w:val="003D2376"/>
    <w:rsid w:val="003E592D"/>
    <w:rsid w:val="00411898"/>
    <w:rsid w:val="0043424A"/>
    <w:rsid w:val="00452162"/>
    <w:rsid w:val="004630D2"/>
    <w:rsid w:val="00470684"/>
    <w:rsid w:val="0049476D"/>
    <w:rsid w:val="004A4383"/>
    <w:rsid w:val="004C6831"/>
    <w:rsid w:val="004F05A0"/>
    <w:rsid w:val="004F71DA"/>
    <w:rsid w:val="00547D1A"/>
    <w:rsid w:val="00572AB7"/>
    <w:rsid w:val="00591EC6"/>
    <w:rsid w:val="00591ED3"/>
    <w:rsid w:val="005937F8"/>
    <w:rsid w:val="00612E08"/>
    <w:rsid w:val="0064019C"/>
    <w:rsid w:val="00643816"/>
    <w:rsid w:val="00653AB8"/>
    <w:rsid w:val="00681757"/>
    <w:rsid w:val="00683732"/>
    <w:rsid w:val="0068754F"/>
    <w:rsid w:val="006C6ED0"/>
    <w:rsid w:val="006D7FEC"/>
    <w:rsid w:val="006F678E"/>
    <w:rsid w:val="006F6B62"/>
    <w:rsid w:val="0070357E"/>
    <w:rsid w:val="00720322"/>
    <w:rsid w:val="0075197E"/>
    <w:rsid w:val="00761208"/>
    <w:rsid w:val="007756BE"/>
    <w:rsid w:val="00794228"/>
    <w:rsid w:val="007B40C1"/>
    <w:rsid w:val="007C5312"/>
    <w:rsid w:val="007D6F2C"/>
    <w:rsid w:val="007E5E43"/>
    <w:rsid w:val="007F587A"/>
    <w:rsid w:val="0080042A"/>
    <w:rsid w:val="00834EDF"/>
    <w:rsid w:val="00835A56"/>
    <w:rsid w:val="00853656"/>
    <w:rsid w:val="00865E81"/>
    <w:rsid w:val="008801B5"/>
    <w:rsid w:val="00881E07"/>
    <w:rsid w:val="008B0CC3"/>
    <w:rsid w:val="008B222D"/>
    <w:rsid w:val="008C10B5"/>
    <w:rsid w:val="008C79B7"/>
    <w:rsid w:val="008F43F5"/>
    <w:rsid w:val="00913927"/>
    <w:rsid w:val="009431E3"/>
    <w:rsid w:val="009475F5"/>
    <w:rsid w:val="009615BE"/>
    <w:rsid w:val="00964434"/>
    <w:rsid w:val="009717F5"/>
    <w:rsid w:val="0098472E"/>
    <w:rsid w:val="009B5F1C"/>
    <w:rsid w:val="009C424C"/>
    <w:rsid w:val="009D4247"/>
    <w:rsid w:val="009E09F7"/>
    <w:rsid w:val="009F4832"/>
    <w:rsid w:val="00A050DD"/>
    <w:rsid w:val="00A2586C"/>
    <w:rsid w:val="00A317BC"/>
    <w:rsid w:val="00A340BB"/>
    <w:rsid w:val="00A574B0"/>
    <w:rsid w:val="00A60413"/>
    <w:rsid w:val="00A6239A"/>
    <w:rsid w:val="00A7788F"/>
    <w:rsid w:val="00AB439B"/>
    <w:rsid w:val="00AC30D6"/>
    <w:rsid w:val="00AE0A34"/>
    <w:rsid w:val="00B00B6E"/>
    <w:rsid w:val="00B03DAE"/>
    <w:rsid w:val="00B06076"/>
    <w:rsid w:val="00B547F5"/>
    <w:rsid w:val="00B7406B"/>
    <w:rsid w:val="00B84F87"/>
    <w:rsid w:val="00B951F3"/>
    <w:rsid w:val="00BA2BF4"/>
    <w:rsid w:val="00BA4328"/>
    <w:rsid w:val="00BF51AE"/>
    <w:rsid w:val="00C71309"/>
    <w:rsid w:val="00C770F9"/>
    <w:rsid w:val="00C86674"/>
    <w:rsid w:val="00C86714"/>
    <w:rsid w:val="00C87DCB"/>
    <w:rsid w:val="00C93945"/>
    <w:rsid w:val="00C94E4E"/>
    <w:rsid w:val="00CB08AE"/>
    <w:rsid w:val="00CD6E04"/>
    <w:rsid w:val="00CE0FA8"/>
    <w:rsid w:val="00CE11A1"/>
    <w:rsid w:val="00CE6AAE"/>
    <w:rsid w:val="00CF1A25"/>
    <w:rsid w:val="00D2313B"/>
    <w:rsid w:val="00D32941"/>
    <w:rsid w:val="00D50F1E"/>
    <w:rsid w:val="00DA117E"/>
    <w:rsid w:val="00DC1954"/>
    <w:rsid w:val="00DF357C"/>
    <w:rsid w:val="00E00078"/>
    <w:rsid w:val="00E440B4"/>
    <w:rsid w:val="00ED165A"/>
    <w:rsid w:val="00ED1AC0"/>
    <w:rsid w:val="00ED7D10"/>
    <w:rsid w:val="00F0692F"/>
    <w:rsid w:val="00F21B4C"/>
    <w:rsid w:val="00F40339"/>
    <w:rsid w:val="00F4274D"/>
    <w:rsid w:val="00F50A84"/>
    <w:rsid w:val="00F52CAF"/>
    <w:rsid w:val="00F87681"/>
    <w:rsid w:val="00FA02DB"/>
    <w:rsid w:val="00FF1CAB"/>
    <w:rsid w:val="00FF57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9D3A"/>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1">
    <w:name w:val="heading 1"/>
    <w:basedOn w:val="Normlny"/>
    <w:link w:val="Nadpis1Char"/>
    <w:uiPriority w:val="9"/>
    <w:qFormat/>
    <w:rsid w:val="00640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64019C"/>
    <w:rPr>
      <w:rFonts w:ascii="Times New Roman" w:eastAsia="Times New Roman" w:hAnsi="Times New Roman" w:cs="Times New Roman"/>
      <w:b/>
      <w:bCs/>
      <w:kern w:val="36"/>
      <w:sz w:val="48"/>
      <w:szCs w:val="48"/>
      <w:lang w:eastAsia="sk-SK"/>
    </w:rPr>
  </w:style>
  <w:style w:type="paragraph" w:styleId="Odsekzoznamu">
    <w:name w:val="List Paragraph"/>
    <w:aliases w:val="body,Odsek zoznamu2,List Paragraph"/>
    <w:basedOn w:val="Normlny"/>
    <w:link w:val="OdsekzoznamuChar"/>
    <w:uiPriority w:val="34"/>
    <w:qFormat/>
    <w:rsid w:val="00ED7D10"/>
    <w:pPr>
      <w:ind w:left="720"/>
      <w:contextualSpacing/>
    </w:pPr>
  </w:style>
  <w:style w:type="character" w:customStyle="1" w:styleId="OdsekzoznamuChar">
    <w:name w:val="Odsek zoznamu Char"/>
    <w:aliases w:val="body Char,Odsek zoznamu2 Char,List Paragraph Char"/>
    <w:basedOn w:val="Predvolenpsmoodseku"/>
    <w:link w:val="Odsekzoznamu"/>
    <w:uiPriority w:val="34"/>
    <w:locked/>
    <w:rsid w:val="002F656B"/>
  </w:style>
  <w:style w:type="character" w:customStyle="1" w:styleId="markedcontent">
    <w:name w:val="markedcontent"/>
    <w:basedOn w:val="Predvolenpsmoodseku"/>
    <w:rsid w:val="006D7FEC"/>
  </w:style>
  <w:style w:type="character" w:styleId="Hypertextovprepojenie">
    <w:name w:val="Hyperlink"/>
    <w:basedOn w:val="Predvolenpsmoodseku"/>
    <w:uiPriority w:val="99"/>
    <w:unhideWhenUsed/>
    <w:rsid w:val="006D7FEC"/>
    <w:rPr>
      <w:color w:val="0000FF"/>
      <w:u w:val="single"/>
    </w:rPr>
  </w:style>
  <w:style w:type="character" w:styleId="Odkaznakomentr">
    <w:name w:val="annotation reference"/>
    <w:basedOn w:val="Predvolenpsmoodseku"/>
    <w:uiPriority w:val="99"/>
    <w:semiHidden/>
    <w:unhideWhenUsed/>
    <w:rsid w:val="00120F7F"/>
    <w:rPr>
      <w:sz w:val="16"/>
      <w:szCs w:val="16"/>
    </w:rPr>
  </w:style>
  <w:style w:type="paragraph" w:styleId="Textkomentra">
    <w:name w:val="annotation text"/>
    <w:basedOn w:val="Normlny"/>
    <w:link w:val="TextkomentraChar"/>
    <w:uiPriority w:val="99"/>
    <w:semiHidden/>
    <w:unhideWhenUsed/>
    <w:rsid w:val="00120F7F"/>
    <w:pPr>
      <w:spacing w:line="240" w:lineRule="auto"/>
    </w:pPr>
    <w:rPr>
      <w:sz w:val="20"/>
      <w:szCs w:val="20"/>
    </w:rPr>
  </w:style>
  <w:style w:type="character" w:customStyle="1" w:styleId="TextkomentraChar">
    <w:name w:val="Text komentára Char"/>
    <w:basedOn w:val="Predvolenpsmoodseku"/>
    <w:link w:val="Textkomentra"/>
    <w:uiPriority w:val="99"/>
    <w:semiHidden/>
    <w:rsid w:val="00120F7F"/>
    <w:rPr>
      <w:sz w:val="20"/>
      <w:szCs w:val="20"/>
    </w:rPr>
  </w:style>
  <w:style w:type="paragraph" w:styleId="Predmetkomentra">
    <w:name w:val="annotation subject"/>
    <w:basedOn w:val="Textkomentra"/>
    <w:next w:val="Textkomentra"/>
    <w:link w:val="PredmetkomentraChar"/>
    <w:uiPriority w:val="99"/>
    <w:semiHidden/>
    <w:unhideWhenUsed/>
    <w:rsid w:val="00120F7F"/>
    <w:rPr>
      <w:b/>
      <w:bCs/>
    </w:rPr>
  </w:style>
  <w:style w:type="character" w:customStyle="1" w:styleId="PredmetkomentraChar">
    <w:name w:val="Predmet komentára Char"/>
    <w:basedOn w:val="TextkomentraChar"/>
    <w:link w:val="Predmetkomentra"/>
    <w:uiPriority w:val="99"/>
    <w:semiHidden/>
    <w:rsid w:val="00120F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5080">
      <w:bodyDiv w:val="1"/>
      <w:marLeft w:val="0"/>
      <w:marRight w:val="0"/>
      <w:marTop w:val="0"/>
      <w:marBottom w:val="0"/>
      <w:divBdr>
        <w:top w:val="none" w:sz="0" w:space="0" w:color="auto"/>
        <w:left w:val="none" w:sz="0" w:space="0" w:color="auto"/>
        <w:bottom w:val="none" w:sz="0" w:space="0" w:color="auto"/>
        <w:right w:val="none" w:sz="0" w:space="0" w:color="auto"/>
      </w:divBdr>
    </w:div>
    <w:div w:id="429349446">
      <w:bodyDiv w:val="1"/>
      <w:marLeft w:val="0"/>
      <w:marRight w:val="0"/>
      <w:marTop w:val="0"/>
      <w:marBottom w:val="0"/>
      <w:divBdr>
        <w:top w:val="none" w:sz="0" w:space="0" w:color="auto"/>
        <w:left w:val="none" w:sz="0" w:space="0" w:color="auto"/>
        <w:bottom w:val="none" w:sz="0" w:space="0" w:color="auto"/>
        <w:right w:val="none" w:sz="0" w:space="0" w:color="auto"/>
      </w:divBdr>
    </w:div>
    <w:div w:id="16209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ristian.kovacs@employment.gov.sk" TargetMode="External"/><Relationship Id="rId4" Type="http://schemas.openxmlformats.org/officeDocument/2006/relationships/styles" Target="styles.xml"/><Relationship Id="rId9" Type="http://schemas.openxmlformats.org/officeDocument/2006/relationships/hyperlink" Target="mailto:renata.brennerova@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FEF1AA3-8BA7-486A-926A-9973B464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3014</Words>
  <Characters>17186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Vároš Juraj</cp:lastModifiedBy>
  <cp:revision>6</cp:revision>
  <cp:lastPrinted>2024-11-11T07:42:00Z</cp:lastPrinted>
  <dcterms:created xsi:type="dcterms:W3CDTF">2024-12-10T15:00:00Z</dcterms:created>
  <dcterms:modified xsi:type="dcterms:W3CDTF">2025-01-15T09:02:00Z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