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6268" w14:textId="77777777" w:rsidR="00C475E1" w:rsidRDefault="00000000">
      <w:pPr>
        <w:pStyle w:val="Normlnywebov"/>
        <w:spacing w:before="0" w:after="0"/>
        <w:jc w:val="center"/>
        <w:rPr>
          <w:b/>
          <w:bCs/>
        </w:rPr>
      </w:pPr>
      <w:proofErr w:type="spellStart"/>
      <w:r>
        <w:rPr>
          <w:b/>
          <w:bCs/>
        </w:rPr>
        <w:t>Doložka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vybraných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vplyvov</w:t>
      </w:r>
      <w:proofErr w:type="spellEnd"/>
    </w:p>
    <w:p w14:paraId="136323EC" w14:textId="77777777" w:rsidR="00C475E1" w:rsidRDefault="00C475E1">
      <w:pPr>
        <w:pStyle w:val="Normlnywebov"/>
        <w:spacing w:before="0" w:after="0"/>
        <w:rPr>
          <w:sz w:val="22"/>
          <w:szCs w:val="22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453"/>
        <w:gridCol w:w="3635"/>
      </w:tblGrid>
      <w:tr w:rsidR="00C475E1" w14:paraId="27DDAD57" w14:textId="77777777">
        <w:trPr>
          <w:trHeight w:val="27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DD0A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1.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Základné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údaje</w:t>
            </w:r>
            <w:proofErr w:type="spellEnd"/>
          </w:p>
        </w:tc>
      </w:tr>
      <w:tr w:rsidR="00C475E1" w14:paraId="4EF56D06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9AE0" w14:textId="4DAA5ABC" w:rsidR="00C475E1" w:rsidRPr="00F54B93" w:rsidRDefault="00000000">
            <w:pPr>
              <w:rPr>
                <w:rFonts w:cs="Times New Roman"/>
                <w:sz w:val="22"/>
                <w:szCs w:val="22"/>
              </w:rPr>
            </w:pPr>
            <w:r w:rsidRPr="00F54B93">
              <w:rPr>
                <w:rFonts w:cs="Times New Roman"/>
                <w:b/>
                <w:bCs/>
                <w:sz w:val="22"/>
                <w:szCs w:val="22"/>
              </w:rPr>
              <w:t xml:space="preserve">  </w:t>
            </w:r>
            <w:proofErr w:type="spellStart"/>
            <w:r w:rsidRPr="00F54B93">
              <w:rPr>
                <w:rFonts w:cs="Times New Roman"/>
                <w:b/>
                <w:bCs/>
                <w:sz w:val="22"/>
                <w:szCs w:val="22"/>
              </w:rPr>
              <w:t>Názov</w:t>
            </w:r>
            <w:proofErr w:type="spellEnd"/>
            <w:r w:rsidRPr="00F54B9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4B93">
              <w:rPr>
                <w:rFonts w:cs="Times New Roman"/>
                <w:b/>
                <w:bCs/>
                <w:sz w:val="22"/>
                <w:szCs w:val="22"/>
              </w:rPr>
              <w:t>materiálu</w:t>
            </w:r>
            <w:proofErr w:type="spellEnd"/>
            <w:r w:rsidR="00CB5F3C" w:rsidRPr="00F54B93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F54B93" w:rsidRPr="00F54B93">
              <w:rPr>
                <w:rFonts w:cs="Times New Roman"/>
                <w:sz w:val="22"/>
                <w:szCs w:val="22"/>
              </w:rPr>
              <w:t>Zákon</w:t>
            </w:r>
            <w:proofErr w:type="spellEnd"/>
            <w:r w:rsidR="00F54B93" w:rsidRPr="00F54B93">
              <w:rPr>
                <w:rFonts w:cs="Times New Roman"/>
                <w:sz w:val="22"/>
                <w:szCs w:val="22"/>
              </w:rPr>
              <w:t xml:space="preserve"> </w:t>
            </w:r>
            <w:r w:rsidR="004F1001" w:rsidRPr="004F1001">
              <w:rPr>
                <w:rFonts w:cs="Times New Roman"/>
                <w:sz w:val="22"/>
                <w:szCs w:val="22"/>
              </w:rPr>
              <w:t xml:space="preserve">č. 350/1996 Z. z. o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rokovacom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poriadku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Národnej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rady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Slovenskej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republiky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v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znení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neskorších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predpisov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a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ktorým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sa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menia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a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dopĺňajú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niektoré</w:t>
            </w:r>
            <w:proofErr w:type="spellEnd"/>
            <w:r w:rsidR="004F1001" w:rsidRPr="004F100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F1001" w:rsidRPr="004F1001">
              <w:rPr>
                <w:rFonts w:cs="Times New Roman"/>
                <w:sz w:val="22"/>
                <w:szCs w:val="22"/>
              </w:rPr>
              <w:t>zákony</w:t>
            </w:r>
            <w:proofErr w:type="spellEnd"/>
          </w:p>
        </w:tc>
      </w:tr>
      <w:tr w:rsidR="00C475E1" w14:paraId="7D645EBA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5D84" w14:textId="77777777" w:rsidR="00C475E1" w:rsidRDefault="00C475E1"/>
        </w:tc>
      </w:tr>
      <w:tr w:rsidR="00C475E1" w14:paraId="36B0ACF1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F43E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Predkladateľ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(a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spolupredkladateľ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>)</w:t>
            </w:r>
          </w:p>
        </w:tc>
      </w:tr>
      <w:tr w:rsidR="00C475E1" w14:paraId="704622E8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758CB" w14:textId="77777777" w:rsidR="00C475E1" w:rsidRDefault="00000000">
            <w:proofErr w:type="spellStart"/>
            <w:r>
              <w:rPr>
                <w:rFonts w:ascii="Times Roman" w:hAnsi="Times Roman"/>
                <w:sz w:val="20"/>
                <w:szCs w:val="20"/>
              </w:rPr>
              <w:t>poslankyňa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Národnej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rady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Slovenskej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republiky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Martina </w:t>
            </w:r>
            <w:r w:rsidR="005B67C5">
              <w:rPr>
                <w:rFonts w:ascii="Times Roman" w:hAnsi="Times Roman"/>
                <w:sz w:val="20"/>
                <w:szCs w:val="20"/>
              </w:rPr>
              <w:t xml:space="preserve">BAJO </w:t>
            </w:r>
            <w:r>
              <w:rPr>
                <w:rFonts w:ascii="Times Roman" w:hAnsi="Times Roman"/>
                <w:sz w:val="20"/>
                <w:szCs w:val="20"/>
              </w:rPr>
              <w:t>HOLEČKOVÁ.</w:t>
            </w:r>
          </w:p>
        </w:tc>
      </w:tr>
      <w:tr w:rsidR="00C475E1" w14:paraId="1C31D717" w14:textId="77777777">
        <w:trPr>
          <w:trHeight w:val="315"/>
          <w:jc w:val="center"/>
        </w:trPr>
        <w:tc>
          <w:tcPr>
            <w:tcW w:w="5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2334" w14:textId="77777777" w:rsidR="00C475E1" w:rsidRDefault="00000000">
            <w:pPr>
              <w:jc w:val="center"/>
            </w:pP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Charakter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predkladan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ho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materiálu</w:t>
            </w:r>
            <w:proofErr w:type="spellEnd"/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164B8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Materi</w:t>
            </w:r>
            <w:r>
              <w:rPr>
                <w:rFonts w:ascii="Times Roman" w:hAnsi="Times Roman"/>
                <w:sz w:val="20"/>
                <w:szCs w:val="20"/>
              </w:rPr>
              <w:t>ál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nelegislatívnej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povahy</w:t>
            </w:r>
            <w:proofErr w:type="spellEnd"/>
          </w:p>
        </w:tc>
      </w:tr>
      <w:tr w:rsidR="00C475E1" w14:paraId="200D63A6" w14:textId="77777777">
        <w:trPr>
          <w:trHeight w:val="27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F154494" w14:textId="77777777" w:rsidR="00C475E1" w:rsidRDefault="00C475E1"/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4B696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proofErr w:type="gramStart"/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Materi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á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l</w:t>
            </w:r>
            <w:proofErr w:type="gramEnd"/>
            <w:r>
              <w:rPr>
                <w:rFonts w:ascii="Times Roman" w:hAnsi="Times Roman"/>
                <w:sz w:val="20"/>
                <w:szCs w:val="20"/>
                <w:lang w:val="it-IT"/>
              </w:rPr>
              <w:t xml:space="preserve"> legislat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povahy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</w:p>
        </w:tc>
      </w:tr>
      <w:tr w:rsidR="00C475E1" w14:paraId="29647785" w14:textId="77777777">
        <w:trPr>
          <w:trHeight w:val="31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B491E6" w14:textId="77777777" w:rsidR="00C475E1" w:rsidRDefault="00C475E1"/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E000A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Transpozí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pt-PT"/>
              </w:rPr>
              <w:t>cia pr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áva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EÚ </w:t>
            </w:r>
          </w:p>
        </w:tc>
      </w:tr>
      <w:tr w:rsidR="00C475E1" w14:paraId="46400009" w14:textId="77777777">
        <w:trPr>
          <w:trHeight w:val="530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F4C6" w14:textId="77777777" w:rsidR="00C475E1" w:rsidRDefault="00C475E1"/>
        </w:tc>
      </w:tr>
      <w:tr w:rsidR="00C475E1" w14:paraId="52647382" w14:textId="77777777">
        <w:trPr>
          <w:trHeight w:val="53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E2446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it-IT"/>
              </w:rPr>
              <w:t>Term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í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nl-NL"/>
              </w:rPr>
              <w:t>n za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čiatku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ukončenia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PPK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26473" w14:textId="77777777" w:rsidR="00C475E1" w:rsidRDefault="00000000">
            <w:proofErr w:type="spellStart"/>
            <w:r>
              <w:rPr>
                <w:rFonts w:ascii="Times Roman" w:hAnsi="Times Roman"/>
                <w:sz w:val="20"/>
                <w:szCs w:val="20"/>
              </w:rPr>
              <w:t>Začiatok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:    </w:t>
            </w:r>
            <w:r>
              <w:rPr>
                <w:rFonts w:ascii="Times Roman" w:hAnsi="Times Roman"/>
                <w:sz w:val="20"/>
                <w:szCs w:val="20"/>
              </w:rPr>
              <w:br/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Ukončenie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: </w:t>
            </w:r>
          </w:p>
        </w:tc>
      </w:tr>
      <w:tr w:rsidR="00C475E1" w14:paraId="7B80807D" w14:textId="77777777">
        <w:trPr>
          <w:trHeight w:val="30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01312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Predpokladaný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termín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predloženia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MPK*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8995D" w14:textId="77777777" w:rsidR="00C475E1" w:rsidRDefault="00C475E1"/>
        </w:tc>
      </w:tr>
      <w:tr w:rsidR="00C475E1" w14:paraId="5A3F701E" w14:textId="77777777">
        <w:trPr>
          <w:trHeight w:val="79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E3758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Predpokladaný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termín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predloženia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Rokovanie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r w:rsidR="00CB5F3C"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vlády</w:t>
            </w:r>
            <w:proofErr w:type="spellEnd"/>
            <w:r w:rsidR="00CB5F3C">
              <w:rPr>
                <w:rFonts w:ascii="Times Roman" w:eastAsia="Times Roman" w:hAnsi="Times Roman" w:cs="Times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SR*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EF3C" w14:textId="05DC151E" w:rsidR="00C475E1" w:rsidRDefault="00C475E1"/>
        </w:tc>
      </w:tr>
    </w:tbl>
    <w:p w14:paraId="4EBD05E4" w14:textId="77777777" w:rsidR="00C475E1" w:rsidRDefault="00C475E1">
      <w:pPr>
        <w:pStyle w:val="Normlnywebov"/>
        <w:widowControl w:val="0"/>
        <w:spacing w:before="0" w:after="0"/>
        <w:jc w:val="center"/>
        <w:rPr>
          <w:sz w:val="22"/>
          <w:szCs w:val="22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88"/>
      </w:tblGrid>
      <w:tr w:rsidR="00C475E1" w14:paraId="10FB06A4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DCB6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2.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Definí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pt-PT"/>
              </w:rPr>
              <w:t>cia probl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fr-FR"/>
              </w:rPr>
              <w:t>é</w:t>
            </w:r>
            <w:r>
              <w:rPr>
                <w:rFonts w:ascii="Times Roman" w:hAnsi="Times Roman"/>
                <w:b/>
                <w:bCs/>
                <w:sz w:val="22"/>
                <w:szCs w:val="22"/>
              </w:rPr>
              <w:t>mu</w:t>
            </w:r>
          </w:p>
        </w:tc>
      </w:tr>
      <w:tr w:rsidR="00C475E1" w14:paraId="22087301" w14:textId="77777777">
        <w:trPr>
          <w:trHeight w:val="15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70DD" w14:textId="644E7F12" w:rsidR="00C475E1" w:rsidRPr="005B67C5" w:rsidRDefault="005B67C5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Absencia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jasných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mechanizmov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overenie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či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poslanci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Národnej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rady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Slovenskej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republiky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vykonávajú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svoje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povinnosti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v stave,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ktorý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umožňuje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plnohodnotné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zodpovedné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rozhodovanie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oslabuje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dôveru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verejnosti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integritu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zákonodarného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procesu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Navrhovaná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povinnosť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vykonávať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testy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alkohol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prípadoch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keď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navrhne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podporí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aspoň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1001">
              <w:rPr>
                <w:rFonts w:ascii="Times New Roman" w:hAnsi="Times New Roman" w:cs="Times New Roman"/>
                <w:sz w:val="20"/>
                <w:szCs w:val="20"/>
              </w:rPr>
              <w:t>tretina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poslancov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reaguje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potrebu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zabezpečiť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transparentnosť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zodpovednosť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volených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zástupcov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Táto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úprava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má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cieľ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posilniť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dôveru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občanov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demokratické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inštitúcie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minimalizovať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riziko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nevhodného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správania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počas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výkonu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verejnej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funkcie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75E1" w14:paraId="199CE985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A0FD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3.  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it-IT"/>
              </w:rPr>
              <w:t>Ciele a v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ýsledný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stav</w:t>
            </w:r>
            <w:proofErr w:type="spellEnd"/>
          </w:p>
        </w:tc>
      </w:tr>
      <w:tr w:rsidR="00C475E1" w14:paraId="7D2F11F6" w14:textId="77777777"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6477" w14:textId="77777777" w:rsidR="005B67C5" w:rsidRPr="005B67C5" w:rsidRDefault="005B67C5" w:rsidP="005B67C5">
            <w:pPr>
              <w:pStyle w:val="Normlnywebov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B67C5">
              <w:rPr>
                <w:rFonts w:cs="Times New Roman"/>
                <w:sz w:val="20"/>
                <w:szCs w:val="20"/>
              </w:rPr>
              <w:t>Hlavným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cieľom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zavedenia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možnosti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vykonávať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testy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na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alkohol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pre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poslancov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Národnej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rady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Slovenskej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republiky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je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zvýšiť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transparentnosť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zodpovednosť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v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zákonodarnom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procese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Navrhovaná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právna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úprava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zabezpečuje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mechanizmus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ktorým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je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možné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overiť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či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poslanci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vykonávajú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svoje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povinnosti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v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stave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spôsobilom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na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plnohodnotné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rozhodovanie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Tento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krok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reflektuje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potrebu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zvyšovania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dôvery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verejnosti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vo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fungovanie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demokratických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inštitúcií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  <w:p w14:paraId="1D95F835" w14:textId="77777777" w:rsidR="00CB5F3C" w:rsidRDefault="00CB5F3C" w:rsidP="005B67C5">
            <w:pPr>
              <w:pStyle w:val="Normlnywebov"/>
              <w:jc w:val="both"/>
              <w:rPr>
                <w:rFonts w:cs="Times New Roman"/>
                <w:sz w:val="20"/>
                <w:szCs w:val="20"/>
              </w:rPr>
            </w:pPr>
          </w:p>
          <w:p w14:paraId="1D5FCDF7" w14:textId="77777777" w:rsidR="005B67C5" w:rsidRPr="005B67C5" w:rsidRDefault="005B67C5" w:rsidP="005B67C5">
            <w:pPr>
              <w:pStyle w:val="Normlnywebov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B67C5">
              <w:rPr>
                <w:rFonts w:cs="Times New Roman"/>
                <w:sz w:val="20"/>
                <w:szCs w:val="20"/>
              </w:rPr>
              <w:t>Očakávaným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výsledkom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je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posilnenie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integrity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dôveryhodnosti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zákonodarného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procesu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vytvorenie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prevencie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voči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prípadnému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zneužívaniu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alkoholu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počas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výkonu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poslaneckých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povinností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podpora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kultúry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zodpovednosti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medzi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volenými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zástupcami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Tento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mechanizmus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tiež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prispieva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k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vyššej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kvalite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legislatívnej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činnosti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ochrane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verejného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záujmu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>.</w:t>
            </w:r>
          </w:p>
          <w:p w14:paraId="7F6D45DB" w14:textId="77777777" w:rsidR="00CB5F3C" w:rsidRDefault="00CB5F3C">
            <w:pPr>
              <w:jc w:val="both"/>
            </w:pPr>
          </w:p>
          <w:p w14:paraId="1E1DED8E" w14:textId="77777777" w:rsidR="00CB5F3C" w:rsidRDefault="00CB5F3C">
            <w:pPr>
              <w:jc w:val="both"/>
            </w:pPr>
          </w:p>
        </w:tc>
      </w:tr>
      <w:tr w:rsidR="00C475E1" w14:paraId="19D788A6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0FF1C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lastRenderedPageBreak/>
              <w:t xml:space="preserve">  4.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Dotknut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subjekty</w:t>
            </w:r>
            <w:proofErr w:type="spellEnd"/>
          </w:p>
        </w:tc>
      </w:tr>
      <w:tr w:rsidR="00C475E1" w14:paraId="1F7735F3" w14:textId="77777777">
        <w:trPr>
          <w:trHeight w:val="409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219F9" w14:textId="77777777" w:rsidR="005B67C5" w:rsidRPr="005B67C5" w:rsidRDefault="005B67C5" w:rsidP="005B67C5">
            <w:pPr>
              <w:pStyle w:val="Normlnywebov"/>
              <w:rPr>
                <w:rFonts w:cs="Times New Roman"/>
                <w:sz w:val="20"/>
                <w:szCs w:val="20"/>
              </w:rPr>
            </w:pPr>
            <w:proofErr w:type="spellStart"/>
            <w:r w:rsidRPr="005B67C5">
              <w:rPr>
                <w:sz w:val="20"/>
                <w:szCs w:val="20"/>
              </w:rPr>
              <w:t>Ovplyvnené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budú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subjekty</w:t>
            </w:r>
            <w:proofErr w:type="spellEnd"/>
            <w:r w:rsidRPr="005B67C5">
              <w:rPr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sz w:val="20"/>
                <w:szCs w:val="20"/>
              </w:rPr>
              <w:t>osoby</w:t>
            </w:r>
            <w:proofErr w:type="spellEnd"/>
            <w:r w:rsidRPr="005B67C5">
              <w:rPr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sz w:val="20"/>
                <w:szCs w:val="20"/>
              </w:rPr>
              <w:t>ktoré</w:t>
            </w:r>
            <w:proofErr w:type="spellEnd"/>
            <w:r w:rsidRPr="005B67C5">
              <w:rPr>
                <w:sz w:val="20"/>
                <w:szCs w:val="20"/>
              </w:rPr>
              <w:t>:</w:t>
            </w:r>
          </w:p>
          <w:p w14:paraId="71CB6535" w14:textId="519E0725" w:rsidR="005B67C5" w:rsidRPr="005B67C5" w:rsidRDefault="005B67C5" w:rsidP="005B67C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proofErr w:type="spellStart"/>
            <w:r w:rsidRPr="005B67C5">
              <w:rPr>
                <w:rFonts w:cs="Times New Roman"/>
                <w:sz w:val="20"/>
                <w:szCs w:val="20"/>
              </w:rPr>
              <w:t>výko</w:t>
            </w:r>
            <w:r w:rsidR="004F1001">
              <w:rPr>
                <w:rFonts w:cs="Times New Roman"/>
                <w:sz w:val="20"/>
                <w:szCs w:val="20"/>
              </w:rPr>
              <w:t>návajúce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mandát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poslanca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Národnej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rady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Slovenskej</w:t>
            </w:r>
            <w:proofErr w:type="spellEnd"/>
            <w:r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cs="Times New Roman"/>
                <w:sz w:val="20"/>
                <w:szCs w:val="20"/>
              </w:rPr>
              <w:t>republiky</w:t>
            </w:r>
            <w:proofErr w:type="spellEnd"/>
          </w:p>
          <w:p w14:paraId="6908882A" w14:textId="780089D2" w:rsidR="005B67C5" w:rsidRPr="004F1001" w:rsidRDefault="005B67C5" w:rsidP="004F100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budú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prítomné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rokovacej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sále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právom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vystúpiť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Národnej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rade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teda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aj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premiér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členovia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vlády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prezident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europoslanci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vedúci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štátnych</w:t>
            </w:r>
            <w:proofErr w:type="spellEnd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67C5">
              <w:rPr>
                <w:rFonts w:cs="Times New Roman"/>
                <w:color w:val="121010"/>
                <w:sz w:val="20"/>
                <w:szCs w:val="20"/>
                <w:shd w:val="clear" w:color="auto" w:fill="FFFFFF"/>
              </w:rPr>
              <w:t>inštitúcií</w:t>
            </w:r>
            <w:proofErr w:type="spellEnd"/>
          </w:p>
          <w:p w14:paraId="075CA873" w14:textId="77777777" w:rsidR="005B67C5" w:rsidRPr="005B67C5" w:rsidRDefault="005B67C5" w:rsidP="005B67C5">
            <w:pPr>
              <w:pStyle w:val="Normlnywebov"/>
              <w:rPr>
                <w:sz w:val="20"/>
                <w:szCs w:val="20"/>
              </w:rPr>
            </w:pPr>
            <w:r w:rsidRPr="005B67C5">
              <w:rPr>
                <w:sz w:val="20"/>
                <w:szCs w:val="20"/>
              </w:rPr>
              <w:t xml:space="preserve">Z </w:t>
            </w:r>
            <w:proofErr w:type="spellStart"/>
            <w:r w:rsidRPr="005B67C5">
              <w:rPr>
                <w:sz w:val="20"/>
                <w:szCs w:val="20"/>
              </w:rPr>
              <w:t>hľadiska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orgánov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štátnej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správy</w:t>
            </w:r>
            <w:proofErr w:type="spellEnd"/>
            <w:r w:rsidRPr="005B67C5">
              <w:rPr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sz w:val="20"/>
                <w:szCs w:val="20"/>
              </w:rPr>
              <w:t>nimi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zriadených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organizácií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budú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dotknuté</w:t>
            </w:r>
            <w:proofErr w:type="spellEnd"/>
            <w:r w:rsidRPr="005B67C5">
              <w:rPr>
                <w:sz w:val="20"/>
                <w:szCs w:val="20"/>
              </w:rPr>
              <w:t>:</w:t>
            </w:r>
          </w:p>
          <w:p w14:paraId="08B6FA8E" w14:textId="77777777" w:rsidR="005B67C5" w:rsidRPr="005B67C5" w:rsidRDefault="005B67C5" w:rsidP="005B67C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B67C5">
              <w:rPr>
                <w:sz w:val="20"/>
                <w:szCs w:val="20"/>
              </w:rPr>
              <w:t>Kancelária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Národnej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rady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Slovenskej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republiky</w:t>
            </w:r>
            <w:proofErr w:type="spellEnd"/>
            <w:r w:rsidRPr="005B67C5">
              <w:rPr>
                <w:sz w:val="20"/>
                <w:szCs w:val="20"/>
              </w:rPr>
              <w:t xml:space="preserve">, </w:t>
            </w:r>
            <w:proofErr w:type="spellStart"/>
            <w:r w:rsidRPr="005B67C5">
              <w:rPr>
                <w:sz w:val="20"/>
                <w:szCs w:val="20"/>
              </w:rPr>
              <w:t>ktorá</w:t>
            </w:r>
            <w:proofErr w:type="spellEnd"/>
            <w:r w:rsidRPr="005B67C5">
              <w:rPr>
                <w:sz w:val="20"/>
                <w:szCs w:val="20"/>
              </w:rPr>
              <w:t xml:space="preserve"> by bola </w:t>
            </w:r>
            <w:proofErr w:type="spellStart"/>
            <w:r w:rsidRPr="005B67C5">
              <w:rPr>
                <w:sz w:val="20"/>
                <w:szCs w:val="20"/>
              </w:rPr>
              <w:t>zodpovedná</w:t>
            </w:r>
            <w:proofErr w:type="spellEnd"/>
            <w:r w:rsidRPr="005B67C5">
              <w:rPr>
                <w:sz w:val="20"/>
                <w:szCs w:val="20"/>
              </w:rPr>
              <w:t xml:space="preserve"> za </w:t>
            </w:r>
            <w:proofErr w:type="spellStart"/>
            <w:r w:rsidRPr="005B67C5">
              <w:rPr>
                <w:sz w:val="20"/>
                <w:szCs w:val="20"/>
              </w:rPr>
              <w:t>organizačné</w:t>
            </w:r>
            <w:proofErr w:type="spellEnd"/>
            <w:r w:rsidRPr="005B67C5">
              <w:rPr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sz w:val="20"/>
                <w:szCs w:val="20"/>
              </w:rPr>
              <w:t>technické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zabezpečenie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testovania</w:t>
            </w:r>
            <w:proofErr w:type="spellEnd"/>
            <w:r w:rsidRPr="005B67C5">
              <w:rPr>
                <w:sz w:val="20"/>
                <w:szCs w:val="20"/>
              </w:rPr>
              <w:t>,</w:t>
            </w:r>
          </w:p>
          <w:p w14:paraId="6EB6C498" w14:textId="77777777" w:rsidR="005B67C5" w:rsidRPr="005B67C5" w:rsidRDefault="005B67C5" w:rsidP="005B67C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B67C5">
              <w:rPr>
                <w:sz w:val="20"/>
                <w:szCs w:val="20"/>
              </w:rPr>
              <w:t>orgány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gramStart"/>
            <w:r w:rsidRPr="005B67C5">
              <w:rPr>
                <w:sz w:val="20"/>
                <w:szCs w:val="20"/>
              </w:rPr>
              <w:t>a</w:t>
            </w:r>
            <w:proofErr w:type="gram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inštitúcie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zodpovedné</w:t>
            </w:r>
            <w:proofErr w:type="spellEnd"/>
            <w:r w:rsidRPr="005B67C5">
              <w:rPr>
                <w:sz w:val="20"/>
                <w:szCs w:val="20"/>
              </w:rPr>
              <w:t xml:space="preserve"> za </w:t>
            </w:r>
            <w:proofErr w:type="spellStart"/>
            <w:r w:rsidRPr="005B67C5">
              <w:rPr>
                <w:sz w:val="20"/>
                <w:szCs w:val="20"/>
              </w:rPr>
              <w:t>kontrolu</w:t>
            </w:r>
            <w:proofErr w:type="spellEnd"/>
            <w:r w:rsidRPr="005B67C5">
              <w:rPr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sz w:val="20"/>
                <w:szCs w:val="20"/>
              </w:rPr>
              <w:t>implementáciu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právnych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predpisov</w:t>
            </w:r>
            <w:proofErr w:type="spellEnd"/>
            <w:r w:rsidRPr="005B67C5">
              <w:rPr>
                <w:sz w:val="20"/>
                <w:szCs w:val="20"/>
              </w:rPr>
              <w:t xml:space="preserve"> v </w:t>
            </w:r>
            <w:proofErr w:type="spellStart"/>
            <w:r w:rsidRPr="005B67C5">
              <w:rPr>
                <w:sz w:val="20"/>
                <w:szCs w:val="20"/>
              </w:rPr>
              <w:t>oblasti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výkonu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mandátu</w:t>
            </w:r>
            <w:proofErr w:type="spellEnd"/>
            <w:r w:rsidRPr="005B67C5">
              <w:rPr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sz w:val="20"/>
                <w:szCs w:val="20"/>
              </w:rPr>
              <w:t>správania</w:t>
            </w:r>
            <w:proofErr w:type="spellEnd"/>
            <w:r w:rsidRPr="005B67C5">
              <w:rPr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sz w:val="20"/>
                <w:szCs w:val="20"/>
              </w:rPr>
              <w:t>poslancov</w:t>
            </w:r>
            <w:proofErr w:type="spellEnd"/>
            <w:r w:rsidRPr="005B67C5">
              <w:rPr>
                <w:sz w:val="20"/>
                <w:szCs w:val="20"/>
              </w:rPr>
              <w:t>,</w:t>
            </w:r>
          </w:p>
          <w:p w14:paraId="74A0DF18" w14:textId="5FCF4DB4" w:rsidR="005B67C5" w:rsidRPr="005B67C5" w:rsidRDefault="005B67C5" w:rsidP="004F1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5A9BA0DD" w14:textId="77777777" w:rsidR="00C475E1" w:rsidRPr="005B67C5" w:rsidRDefault="005B67C5" w:rsidP="005B67C5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after="240" w:line="240" w:lineRule="auto"/>
              <w:rPr>
                <w:rFonts w:ascii="Times New Roman" w:hAnsi="Times New Roman" w:cs="Times New Roman"/>
              </w:rPr>
            </w:pPr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pohľadu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celej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spoločnosti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sú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dotknutými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subjektmi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všetci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občania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Slovenskej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republiky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, pre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ktorých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tento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návrh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predstavuje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krok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k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obnoveniu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posilneniu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dôvery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demokratické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inštitúcie</w:t>
            </w:r>
            <w:proofErr w:type="spellEnd"/>
            <w:r w:rsidRPr="005B6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75E1" w14:paraId="087EBE7D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61D3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5.  </w:t>
            </w:r>
            <w:r>
              <w:rPr>
                <w:rFonts w:ascii="Times Roman" w:hAnsi="Times Roman"/>
                <w:b/>
                <w:bCs/>
                <w:sz w:val="22"/>
                <w:szCs w:val="22"/>
                <w:lang w:val="de-DE"/>
              </w:rPr>
              <w:t>Alternat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ívne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riešenia</w:t>
            </w:r>
            <w:proofErr w:type="spellEnd"/>
          </w:p>
        </w:tc>
      </w:tr>
      <w:tr w:rsidR="00C475E1" w14:paraId="1D52B5AF" w14:textId="77777777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E64EE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Nie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sú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alternat</w:t>
            </w:r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riešenia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.</w:t>
            </w:r>
          </w:p>
        </w:tc>
      </w:tr>
      <w:tr w:rsidR="00C475E1" w14:paraId="64F12C58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0CF66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6.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Vykonávacie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predpisy</w:t>
            </w:r>
            <w:proofErr w:type="spellEnd"/>
          </w:p>
        </w:tc>
      </w:tr>
      <w:tr w:rsidR="00C475E1" w14:paraId="7CF0A8B3" w14:textId="77777777">
        <w:trPr>
          <w:trHeight w:val="3192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F1B94" w14:textId="77777777" w:rsidR="005B67C5" w:rsidRPr="005B67C5" w:rsidRDefault="00000000" w:rsidP="00CB5F3C">
            <w:pPr>
              <w:pStyle w:val="Normlnywebov"/>
              <w:jc w:val="both"/>
              <w:rPr>
                <w:rFonts w:cs="Times New Roman"/>
              </w:rPr>
            </w:pPr>
            <w:proofErr w:type="spellStart"/>
            <w:r>
              <w:rPr>
                <w:rFonts w:ascii="Times Roman" w:hAnsi="Times Roman"/>
                <w:sz w:val="20"/>
                <w:szCs w:val="20"/>
              </w:rPr>
              <w:t>Predpokladá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prijatie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/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zmena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vykonávacích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predpisov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?                          </w:t>
            </w:r>
            <w:proofErr w:type="gramStart"/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>  Á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no</w:t>
            </w:r>
            <w:proofErr w:type="gramEnd"/>
            <w:r>
              <w:rPr>
                <w:rFonts w:ascii="Times Roman" w:hAnsi="Times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Roman" w:hAnsi="Times Roman"/>
                <w:sz w:val="20"/>
                <w:szCs w:val="20"/>
              </w:rPr>
              <w:t>           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Times Roman" w:hAnsi="Times Roman"/>
                <w:sz w:val="20"/>
                <w:szCs w:val="20"/>
                <w:lang w:val="nl-NL"/>
              </w:rPr>
              <w:t>Nie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 w:rsidRPr="005B67C5">
              <w:rPr>
                <w:rFonts w:ascii="Times Roman" w:hAnsi="Times Roman"/>
                <w:sz w:val="20"/>
                <w:szCs w:val="20"/>
              </w:rPr>
              <w:t xml:space="preserve">- </w:t>
            </w:r>
            <w:proofErr w:type="spellStart"/>
            <w:r w:rsidR="005B67C5" w:rsidRPr="005B67C5">
              <w:rPr>
                <w:sz w:val="20"/>
                <w:szCs w:val="20"/>
              </w:rPr>
              <w:t>Predpokladá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prijatie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vykonávacieho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predpisu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ktorým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CB5F3C">
              <w:rPr>
                <w:sz w:val="20"/>
                <w:szCs w:val="20"/>
              </w:rPr>
              <w:t>nastaví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organizačný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a </w:t>
            </w:r>
            <w:proofErr w:type="spellStart"/>
            <w:r w:rsidR="005B67C5" w:rsidRPr="005B67C5">
              <w:rPr>
                <w:sz w:val="20"/>
                <w:szCs w:val="20"/>
              </w:rPr>
              <w:t>procedurálny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rámec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testovania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poslancov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na </w:t>
            </w:r>
            <w:proofErr w:type="spellStart"/>
            <w:r w:rsidR="005B67C5" w:rsidRPr="005B67C5">
              <w:rPr>
                <w:sz w:val="20"/>
                <w:szCs w:val="20"/>
              </w:rPr>
              <w:t>prítomnosť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alkoholu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. </w:t>
            </w:r>
            <w:proofErr w:type="spellStart"/>
            <w:r w:rsidR="005B67C5" w:rsidRPr="005B67C5">
              <w:rPr>
                <w:sz w:val="20"/>
                <w:szCs w:val="20"/>
              </w:rPr>
              <w:t>Tento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predpis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môže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zahŕňať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zmenu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a </w:t>
            </w:r>
            <w:proofErr w:type="spellStart"/>
            <w:r w:rsidR="005B67C5" w:rsidRPr="005B67C5">
              <w:rPr>
                <w:sz w:val="20"/>
                <w:szCs w:val="20"/>
              </w:rPr>
              <w:t>doplnenie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rokovacieho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poriadku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Národnej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rady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Slovenskej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republiky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alebo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prijatie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novej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vyhlášky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ktorá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podrobne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stanoví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podmienky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vykonávania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testov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spôsob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hlasovania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poslancov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o ich </w:t>
            </w:r>
            <w:proofErr w:type="spellStart"/>
            <w:r w:rsidR="005B67C5" w:rsidRPr="005B67C5">
              <w:rPr>
                <w:sz w:val="20"/>
                <w:szCs w:val="20"/>
              </w:rPr>
              <w:t>realizácii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a </w:t>
            </w:r>
            <w:proofErr w:type="spellStart"/>
            <w:r w:rsidR="005B67C5" w:rsidRPr="005B67C5">
              <w:rPr>
                <w:sz w:val="20"/>
                <w:szCs w:val="20"/>
              </w:rPr>
              <w:t>zodpovednosti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zabezpečenie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testovacieho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procesu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. </w:t>
            </w:r>
            <w:proofErr w:type="spellStart"/>
            <w:r w:rsidR="005B67C5" w:rsidRPr="005B67C5">
              <w:rPr>
                <w:sz w:val="20"/>
                <w:szCs w:val="20"/>
              </w:rPr>
              <w:t>Zároveň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by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v </w:t>
            </w:r>
            <w:proofErr w:type="spellStart"/>
            <w:r w:rsidR="005B67C5" w:rsidRPr="005B67C5">
              <w:rPr>
                <w:sz w:val="20"/>
                <w:szCs w:val="20"/>
              </w:rPr>
              <w:t>rámci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legislatívneho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procesu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mali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definovať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technické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a </w:t>
            </w:r>
            <w:proofErr w:type="spellStart"/>
            <w:r w:rsidR="005B67C5" w:rsidRPr="005B67C5">
              <w:rPr>
                <w:sz w:val="20"/>
                <w:szCs w:val="20"/>
              </w:rPr>
              <w:t>administratívne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postupy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ako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výber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vhodných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testovacích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zariadení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protokoly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zaznamenanie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výsledkov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a </w:t>
            </w:r>
            <w:proofErr w:type="spellStart"/>
            <w:r w:rsidR="005B67C5" w:rsidRPr="005B67C5">
              <w:rPr>
                <w:sz w:val="20"/>
                <w:szCs w:val="20"/>
              </w:rPr>
              <w:t>ochranu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dôvernosti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údajov</w:t>
            </w:r>
            <w:proofErr w:type="spellEnd"/>
            <w:r w:rsidR="005B67C5" w:rsidRPr="005B67C5">
              <w:rPr>
                <w:sz w:val="20"/>
                <w:szCs w:val="20"/>
              </w:rPr>
              <w:t>.</w:t>
            </w:r>
            <w:r w:rsidR="005B67C5" w:rsidRPr="005B67C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Očakáva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vypracovanie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metodických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pokynov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strany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Kancelárie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Národnej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rady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Slovenskej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republiky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ktoré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zabezpečia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praktické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usmernenia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organizáciu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testovania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čím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minimalizujú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možné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nejasnosti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v praxi a </w:t>
            </w:r>
            <w:proofErr w:type="spellStart"/>
            <w:r w:rsidR="005B67C5" w:rsidRPr="005B67C5">
              <w:rPr>
                <w:sz w:val="20"/>
                <w:szCs w:val="20"/>
              </w:rPr>
              <w:t>zabezpečí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konzistentná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aplikácia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nových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pravidiel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. V </w:t>
            </w:r>
            <w:proofErr w:type="spellStart"/>
            <w:r w:rsidR="005B67C5" w:rsidRPr="005B67C5">
              <w:rPr>
                <w:sz w:val="20"/>
                <w:szCs w:val="20"/>
              </w:rPr>
              <w:t>prípade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potreby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plánuje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aktualizácia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interných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smerníc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a </w:t>
            </w:r>
            <w:proofErr w:type="spellStart"/>
            <w:r w:rsidR="005B67C5" w:rsidRPr="005B67C5">
              <w:rPr>
                <w:sz w:val="20"/>
                <w:szCs w:val="20"/>
              </w:rPr>
              <w:t>predpisov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týkajúcich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sa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pracovnej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disciplíny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poslancov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, </w:t>
            </w:r>
            <w:proofErr w:type="spellStart"/>
            <w:r w:rsidR="005B67C5" w:rsidRPr="005B67C5">
              <w:rPr>
                <w:sz w:val="20"/>
                <w:szCs w:val="20"/>
              </w:rPr>
              <w:t>aby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nový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systém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mohol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byť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plne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integrovaný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do </w:t>
            </w:r>
            <w:proofErr w:type="spellStart"/>
            <w:r w:rsidR="005B67C5" w:rsidRPr="005B67C5">
              <w:rPr>
                <w:sz w:val="20"/>
                <w:szCs w:val="20"/>
              </w:rPr>
              <w:t>existujúceho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legislatívneho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a </w:t>
            </w:r>
            <w:proofErr w:type="spellStart"/>
            <w:r w:rsidR="005B67C5" w:rsidRPr="005B67C5">
              <w:rPr>
                <w:sz w:val="20"/>
                <w:szCs w:val="20"/>
              </w:rPr>
              <w:t>organizačného</w:t>
            </w:r>
            <w:proofErr w:type="spellEnd"/>
            <w:r w:rsidR="005B67C5" w:rsidRPr="005B67C5">
              <w:rPr>
                <w:sz w:val="20"/>
                <w:szCs w:val="20"/>
              </w:rPr>
              <w:t xml:space="preserve"> </w:t>
            </w:r>
            <w:proofErr w:type="spellStart"/>
            <w:r w:rsidR="005B67C5" w:rsidRPr="005B67C5">
              <w:rPr>
                <w:sz w:val="20"/>
                <w:szCs w:val="20"/>
              </w:rPr>
              <w:t>rámca</w:t>
            </w:r>
            <w:proofErr w:type="spellEnd"/>
            <w:r w:rsidR="005B67C5" w:rsidRPr="005B67C5">
              <w:rPr>
                <w:sz w:val="20"/>
                <w:szCs w:val="20"/>
              </w:rPr>
              <w:t>.</w:t>
            </w:r>
          </w:p>
          <w:p w14:paraId="7711B243" w14:textId="77777777" w:rsidR="00C475E1" w:rsidRDefault="00C475E1"/>
        </w:tc>
      </w:tr>
      <w:tr w:rsidR="00C475E1" w14:paraId="7F5F723A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DEAD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7.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Transpozí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  <w:lang w:val="pt-PT"/>
              </w:rPr>
              <w:t>cia pr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áva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EÚ </w:t>
            </w:r>
          </w:p>
        </w:tc>
      </w:tr>
      <w:tr w:rsidR="00C475E1" w14:paraId="6FE330DC" w14:textId="77777777">
        <w:trPr>
          <w:trHeight w:val="183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240B" w14:textId="77777777" w:rsidR="005B67C5" w:rsidRPr="00CB5F3C" w:rsidRDefault="005B67C5" w:rsidP="00CB5F3C">
            <w:pPr>
              <w:pStyle w:val="Normlnywebov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B5F3C">
              <w:rPr>
                <w:sz w:val="20"/>
                <w:szCs w:val="20"/>
              </w:rPr>
              <w:t>Návrh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zákona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zameriava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zavedenie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mechanizmov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ktoré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zlepšia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transparentnosť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zodpovednosť</w:t>
            </w:r>
            <w:proofErr w:type="spellEnd"/>
            <w:r w:rsidRPr="00CB5F3C">
              <w:rPr>
                <w:sz w:val="20"/>
                <w:szCs w:val="20"/>
              </w:rPr>
              <w:t xml:space="preserve"> v </w:t>
            </w:r>
            <w:proofErr w:type="spellStart"/>
            <w:r w:rsidRPr="00CB5F3C">
              <w:rPr>
                <w:sz w:val="20"/>
                <w:szCs w:val="20"/>
              </w:rPr>
              <w:t>rámci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výkonu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poslaneckého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mandátu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pričom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priamo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nenadväzuje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transpozíciu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práva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Európskej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únie</w:t>
            </w:r>
            <w:proofErr w:type="spellEnd"/>
            <w:r w:rsidRPr="00CB5F3C">
              <w:rPr>
                <w:sz w:val="20"/>
                <w:szCs w:val="20"/>
              </w:rPr>
              <w:t xml:space="preserve">. </w:t>
            </w:r>
            <w:proofErr w:type="spellStart"/>
            <w:r w:rsidRPr="00CB5F3C">
              <w:rPr>
                <w:sz w:val="20"/>
                <w:szCs w:val="20"/>
              </w:rPr>
              <w:t>Legislatívny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návrh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vychádza</w:t>
            </w:r>
            <w:proofErr w:type="spellEnd"/>
            <w:r w:rsidRPr="00CB5F3C">
              <w:rPr>
                <w:sz w:val="20"/>
                <w:szCs w:val="20"/>
              </w:rPr>
              <w:t xml:space="preserve"> z </w:t>
            </w:r>
            <w:proofErr w:type="spellStart"/>
            <w:r w:rsidRPr="00CB5F3C">
              <w:rPr>
                <w:sz w:val="20"/>
                <w:szCs w:val="20"/>
              </w:rPr>
              <w:t>národnej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potreby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reagovať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aktuálne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spoločenské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očakávania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týkajúce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správania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volených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zástupcov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posilnenia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dôvery</w:t>
            </w:r>
            <w:proofErr w:type="spellEnd"/>
            <w:r w:rsidRPr="00CB5F3C">
              <w:rPr>
                <w:sz w:val="20"/>
                <w:szCs w:val="20"/>
              </w:rPr>
              <w:t xml:space="preserve"> v </w:t>
            </w:r>
            <w:proofErr w:type="spellStart"/>
            <w:r w:rsidRPr="00CB5F3C">
              <w:rPr>
                <w:sz w:val="20"/>
                <w:szCs w:val="20"/>
              </w:rPr>
              <w:t>demokratické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inštitúcie</w:t>
            </w:r>
            <w:proofErr w:type="spellEnd"/>
            <w:r w:rsidRPr="00CB5F3C">
              <w:rPr>
                <w:sz w:val="20"/>
                <w:szCs w:val="20"/>
              </w:rPr>
              <w:t>.</w:t>
            </w:r>
          </w:p>
          <w:p w14:paraId="32A96EF9" w14:textId="77777777" w:rsidR="00CB5F3C" w:rsidRDefault="00CB5F3C" w:rsidP="00CB5F3C">
            <w:pPr>
              <w:pStyle w:val="Normlnywebov"/>
              <w:jc w:val="both"/>
              <w:rPr>
                <w:sz w:val="20"/>
                <w:szCs w:val="20"/>
              </w:rPr>
            </w:pPr>
          </w:p>
          <w:p w14:paraId="29130A0B" w14:textId="77777777" w:rsidR="005B67C5" w:rsidRPr="00CB5F3C" w:rsidRDefault="005B67C5" w:rsidP="00CB5F3C">
            <w:pPr>
              <w:pStyle w:val="Normlnywebov"/>
              <w:jc w:val="both"/>
              <w:rPr>
                <w:sz w:val="20"/>
                <w:szCs w:val="20"/>
              </w:rPr>
            </w:pPr>
            <w:proofErr w:type="spellStart"/>
            <w:r w:rsidRPr="00CB5F3C">
              <w:rPr>
                <w:sz w:val="20"/>
                <w:szCs w:val="20"/>
              </w:rPr>
              <w:t>Tento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návrh</w:t>
            </w:r>
            <w:proofErr w:type="spellEnd"/>
            <w:r w:rsidRPr="00CB5F3C">
              <w:rPr>
                <w:sz w:val="20"/>
                <w:szCs w:val="20"/>
              </w:rPr>
              <w:t xml:space="preserve"> je </w:t>
            </w:r>
            <w:proofErr w:type="spellStart"/>
            <w:r w:rsidRPr="00CB5F3C">
              <w:rPr>
                <w:sz w:val="20"/>
                <w:szCs w:val="20"/>
              </w:rPr>
              <w:t>plne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kompatibilný</w:t>
            </w:r>
            <w:proofErr w:type="spellEnd"/>
            <w:r w:rsidRPr="00CB5F3C">
              <w:rPr>
                <w:sz w:val="20"/>
                <w:szCs w:val="20"/>
              </w:rPr>
              <w:t xml:space="preserve"> s </w:t>
            </w:r>
            <w:proofErr w:type="spellStart"/>
            <w:r w:rsidRPr="00CB5F3C">
              <w:rPr>
                <w:sz w:val="20"/>
                <w:szCs w:val="20"/>
              </w:rPr>
              <w:t>existujúcim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právnym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rámcom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Slovenskej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republiky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nepredpokladá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konflikt</w:t>
            </w:r>
            <w:proofErr w:type="spellEnd"/>
            <w:r w:rsidRPr="00CB5F3C">
              <w:rPr>
                <w:sz w:val="20"/>
                <w:szCs w:val="20"/>
              </w:rPr>
              <w:t xml:space="preserve"> s </w:t>
            </w:r>
            <w:proofErr w:type="spellStart"/>
            <w:r w:rsidRPr="00CB5F3C">
              <w:rPr>
                <w:sz w:val="20"/>
                <w:szCs w:val="20"/>
              </w:rPr>
              <w:t>legislatívou</w:t>
            </w:r>
            <w:proofErr w:type="spellEnd"/>
            <w:r w:rsidRPr="00CB5F3C">
              <w:rPr>
                <w:sz w:val="20"/>
                <w:szCs w:val="20"/>
              </w:rPr>
              <w:t xml:space="preserve"> EÚ. </w:t>
            </w:r>
            <w:proofErr w:type="spellStart"/>
            <w:r w:rsidRPr="00CB5F3C">
              <w:rPr>
                <w:sz w:val="20"/>
                <w:szCs w:val="20"/>
              </w:rPr>
              <w:t>Zároveň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reflektuje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hodnoty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transparentnosti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integrity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ochrany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verejného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záujmu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ktoré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sú</w:t>
            </w:r>
            <w:proofErr w:type="spellEnd"/>
            <w:r w:rsidRPr="00CB5F3C">
              <w:rPr>
                <w:sz w:val="20"/>
                <w:szCs w:val="20"/>
              </w:rPr>
              <w:t xml:space="preserve"> v </w:t>
            </w:r>
            <w:proofErr w:type="spellStart"/>
            <w:r w:rsidRPr="00CB5F3C">
              <w:rPr>
                <w:sz w:val="20"/>
                <w:szCs w:val="20"/>
              </w:rPr>
              <w:t>súlade</w:t>
            </w:r>
            <w:proofErr w:type="spellEnd"/>
            <w:r w:rsidRPr="00CB5F3C">
              <w:rPr>
                <w:sz w:val="20"/>
                <w:szCs w:val="20"/>
              </w:rPr>
              <w:t xml:space="preserve"> so </w:t>
            </w:r>
            <w:proofErr w:type="spellStart"/>
            <w:r w:rsidRPr="00CB5F3C">
              <w:rPr>
                <w:sz w:val="20"/>
                <w:szCs w:val="20"/>
              </w:rPr>
              <w:t>všeobecnými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princípmi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dobrej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správy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demokratického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riadenia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uznávanými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aj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úrovni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Európskej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únie</w:t>
            </w:r>
            <w:proofErr w:type="spellEnd"/>
            <w:r w:rsidRPr="00CB5F3C">
              <w:rPr>
                <w:sz w:val="20"/>
                <w:szCs w:val="20"/>
              </w:rPr>
              <w:t xml:space="preserve">. </w:t>
            </w:r>
            <w:proofErr w:type="spellStart"/>
            <w:r w:rsidRPr="00CB5F3C">
              <w:rPr>
                <w:sz w:val="20"/>
                <w:szCs w:val="20"/>
              </w:rPr>
              <w:t>Návrh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teda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predstavuje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systémové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riešenie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podporujúce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kultúru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zodpovednosti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etického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správania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verejných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funkciách</w:t>
            </w:r>
            <w:proofErr w:type="spellEnd"/>
            <w:r w:rsidRPr="00CB5F3C">
              <w:rPr>
                <w:sz w:val="20"/>
                <w:szCs w:val="20"/>
              </w:rPr>
              <w:t>.</w:t>
            </w:r>
          </w:p>
          <w:p w14:paraId="5A751BB1" w14:textId="77777777" w:rsidR="00C475E1" w:rsidRDefault="00C475E1"/>
          <w:p w14:paraId="59B42B04" w14:textId="77777777" w:rsidR="00CB5F3C" w:rsidRDefault="00CB5F3C"/>
        </w:tc>
      </w:tr>
      <w:tr w:rsidR="00C475E1" w14:paraId="30CD0C4D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66426" w14:textId="77777777" w:rsidR="00C475E1" w:rsidRPr="00CB5F3C" w:rsidRDefault="00000000">
            <w:pPr>
              <w:rPr>
                <w:rFonts w:ascii="Times Roman" w:hAnsi="Times Roman" w:hint="eastAsia"/>
                <w:b/>
                <w:bCs/>
                <w:sz w:val="22"/>
                <w:szCs w:val="22"/>
              </w:rPr>
            </w:pPr>
            <w:r>
              <w:rPr>
                <w:rFonts w:ascii="Times Roman" w:hAnsi="Times Roman"/>
                <w:b/>
                <w:bCs/>
                <w:sz w:val="22"/>
                <w:szCs w:val="22"/>
              </w:rPr>
              <w:lastRenderedPageBreak/>
              <w:t xml:space="preserve">  8.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Preskúmanie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účelnosti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>**</w:t>
            </w:r>
          </w:p>
        </w:tc>
      </w:tr>
      <w:tr w:rsidR="00C475E1" w14:paraId="38D95D22" w14:textId="77777777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C19C" w14:textId="77777777" w:rsidR="00C475E1" w:rsidRDefault="00C475E1"/>
        </w:tc>
      </w:tr>
    </w:tbl>
    <w:p w14:paraId="1673FF88" w14:textId="77777777" w:rsidR="00CB5F3C" w:rsidRDefault="00CB5F3C" w:rsidP="004F1001">
      <w:pPr>
        <w:widowControl w:val="0"/>
      </w:pPr>
    </w:p>
    <w:p w14:paraId="7B1EC85D" w14:textId="77777777" w:rsidR="00C475E1" w:rsidRDefault="00C475E1">
      <w:pPr>
        <w:pStyle w:val="Normlnywebov"/>
        <w:spacing w:before="0" w:after="0"/>
        <w:rPr>
          <w:sz w:val="22"/>
          <w:szCs w:val="22"/>
        </w:rPr>
      </w:pPr>
    </w:p>
    <w:p w14:paraId="66F98E52" w14:textId="77777777" w:rsidR="00C475E1" w:rsidRDefault="00000000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vyplniť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iba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prípade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materiál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zahrnutý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>do Pl</w:t>
      </w:r>
      <w:proofErr w:type="spellStart"/>
      <w:r>
        <w:rPr>
          <w:sz w:val="20"/>
          <w:szCs w:val="20"/>
        </w:rPr>
        <w:t>ánu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vlády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Slovenskej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Plánu</w:t>
      </w:r>
      <w:proofErr w:type="spellEnd"/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legislatívnych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úloh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vlády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Slovenskej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republiky</w:t>
      </w:r>
      <w:proofErr w:type="spellEnd"/>
      <w:r>
        <w:rPr>
          <w:sz w:val="20"/>
          <w:szCs w:val="20"/>
        </w:rPr>
        <w:t xml:space="preserve">. </w:t>
      </w:r>
    </w:p>
    <w:p w14:paraId="0ED5C76B" w14:textId="77777777" w:rsidR="00C475E1" w:rsidRDefault="00000000">
      <w:pPr>
        <w:pStyle w:val="Normlnywebov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proofErr w:type="spellStart"/>
      <w:r>
        <w:rPr>
          <w:sz w:val="20"/>
          <w:szCs w:val="20"/>
        </w:rPr>
        <w:t>nepovinn</w:t>
      </w:r>
      <w:proofErr w:type="spellEnd"/>
      <w:r>
        <w:rPr>
          <w:sz w:val="20"/>
          <w:szCs w:val="20"/>
          <w:lang w:val="fr-FR"/>
        </w:rPr>
        <w:t>é</w:t>
      </w:r>
    </w:p>
    <w:p w14:paraId="3A500F5D" w14:textId="77777777" w:rsidR="00C475E1" w:rsidRDefault="00C475E1">
      <w:pPr>
        <w:pStyle w:val="Normlnywebov"/>
        <w:spacing w:before="0" w:after="0"/>
        <w:rPr>
          <w:sz w:val="20"/>
          <w:szCs w:val="20"/>
        </w:rPr>
      </w:pPr>
    </w:p>
    <w:p w14:paraId="2C6A452B" w14:textId="77777777" w:rsidR="00C475E1" w:rsidRDefault="00C475E1">
      <w:pPr>
        <w:pStyle w:val="Normlnywebov"/>
        <w:spacing w:before="0" w:after="0"/>
        <w:rPr>
          <w:sz w:val="22"/>
          <w:szCs w:val="22"/>
        </w:rPr>
      </w:pPr>
    </w:p>
    <w:p w14:paraId="03EC490F" w14:textId="77777777" w:rsidR="00CB5F3C" w:rsidRDefault="00CB5F3C">
      <w:pPr>
        <w:pStyle w:val="Normlnywebov"/>
        <w:spacing w:before="0" w:after="0"/>
        <w:rPr>
          <w:sz w:val="22"/>
          <w:szCs w:val="22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C475E1" w14:paraId="237921D8" w14:textId="77777777">
        <w:trPr>
          <w:trHeight w:val="305"/>
          <w:jc w:val="center"/>
        </w:trPr>
        <w:tc>
          <w:tcPr>
            <w:tcW w:w="9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6E09" w14:textId="77777777" w:rsidR="00C475E1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9.  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navrhovan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ho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materiálu</w:t>
            </w:r>
            <w:proofErr w:type="spellEnd"/>
          </w:p>
        </w:tc>
      </w:tr>
      <w:tr w:rsidR="00C475E1" w14:paraId="4D003A00" w14:textId="77777777">
        <w:trPr>
          <w:trHeight w:val="31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41563" w14:textId="77777777" w:rsidR="00C475E1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rozpočet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verejnej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správy</w:t>
            </w:r>
            <w:proofErr w:type="spellEnd"/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r>
              <w:rPr>
                <w:rFonts w:ascii="Times Roman" w:hAnsi="Times Roman"/>
                <w:sz w:val="20"/>
                <w:szCs w:val="20"/>
              </w:rPr>
              <w:t xml:space="preserve">z toho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rozpočtovo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zabezpečen</w:t>
            </w:r>
            <w:proofErr w:type="spellEnd"/>
            <w:r>
              <w:rPr>
                <w:rFonts w:ascii="Times Roman" w:hAnsi="Times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vplyvy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56078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2857B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87C4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C475E1" w14:paraId="7D8601CC" w14:textId="77777777">
        <w:trPr>
          <w:trHeight w:val="315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CBDFD00" w14:textId="77777777" w:rsidR="00C475E1" w:rsidRDefault="00C475E1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FAB29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Áno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62CA4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r>
              <w:rPr>
                <w:rFonts w:ascii="Times Roman" w:hAnsi="Times Roman"/>
                <w:sz w:val="20"/>
                <w:szCs w:val="20"/>
                <w:lang w:val="nl-NL"/>
              </w:rPr>
              <w:t>Nie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B8D3C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Čiastočne</w:t>
            </w:r>
            <w:proofErr w:type="spellEnd"/>
          </w:p>
        </w:tc>
      </w:tr>
      <w:tr w:rsidR="00C475E1" w14:paraId="3963506F" w14:textId="77777777">
        <w:trPr>
          <w:trHeight w:val="31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E87F" w14:textId="77777777" w:rsidR="00C475E1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podnikateľsk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prostredie</w:t>
            </w:r>
            <w:proofErr w:type="spellEnd"/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r>
              <w:rPr>
                <w:rFonts w:ascii="Times Roman" w:hAnsi="Times Roman"/>
                <w:sz w:val="20"/>
                <w:szCs w:val="20"/>
              </w:rPr>
              <w:t xml:space="preserve">z toho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na MSP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70D81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DDEA3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CB5F3C"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E5B7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CB5F3C"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C475E1" w14:paraId="2E7BFF7A" w14:textId="77777777">
        <w:trPr>
          <w:trHeight w:val="315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2117995" w14:textId="77777777" w:rsidR="00C475E1" w:rsidRDefault="00C475E1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21900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606F8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CB5F3C"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61622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 </w:t>
            </w:r>
            <w:r w:rsidR="00CB5F3C"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 w:rsidR="00CB5F3C">
              <w:rPr>
                <w:rFonts w:ascii="Wingdings 2" w:hAnsi="Wingdings 2"/>
                <w:sz w:val="4"/>
                <w:szCs w:val="4"/>
              </w:rPr>
              <w:t xml:space="preserve">   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C475E1" w14:paraId="4E489F5B" w14:textId="77777777"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17" w14:textId="77777777" w:rsidR="00C475E1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Sociálne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vplyvy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3B20A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CB5F3C"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21DEB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CB5F3C"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2BCF9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C475E1" w14:paraId="42815976" w14:textId="77777777"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64C7C" w14:textId="77777777" w:rsidR="00C475E1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životn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prostredie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11681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CB5F3C"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0418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> 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CB5F3C"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ECD27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C475E1" w14:paraId="42B9F301" w14:textId="77777777"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1ED4A" w14:textId="77777777" w:rsidR="00C475E1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informatizáciu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91F87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4A66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1E20E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C475E1" w14:paraId="5E55EC00" w14:textId="77777777">
        <w:trPr>
          <w:trHeight w:val="57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3582" w14:textId="77777777" w:rsidR="00C475E1" w:rsidRDefault="00000000"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služby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Roman" w:hAnsi="Times Roman"/>
                <w:b/>
                <w:bCs/>
                <w:sz w:val="20"/>
                <w:szCs w:val="20"/>
              </w:rPr>
              <w:t>občana</w:t>
            </w:r>
            <w:proofErr w:type="spellEnd"/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 z toho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služieb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verejnej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správy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na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občana</w:t>
            </w:r>
            <w:proofErr w:type="spellEnd"/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na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procesy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služieb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vo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verejnej</w:t>
            </w:r>
            <w:proofErr w:type="spellEnd"/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  </w:t>
            </w:r>
            <w:proofErr w:type="spellStart"/>
            <w:r>
              <w:rPr>
                <w:rFonts w:ascii="Times Roman" w:hAnsi="Times Roman"/>
                <w:sz w:val="20"/>
                <w:szCs w:val="20"/>
                <w:lang w:val="de-DE"/>
              </w:rPr>
              <w:t>spr</w:t>
            </w:r>
            <w:r>
              <w:rPr>
                <w:rFonts w:ascii="Times Roman" w:hAnsi="Times Roman"/>
                <w:sz w:val="20"/>
                <w:szCs w:val="20"/>
              </w:rPr>
              <w:t>áve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DAA12" w14:textId="77777777" w:rsidR="00C475E1" w:rsidRDefault="00000000"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5977" w14:textId="77777777" w:rsidR="00C475E1" w:rsidRDefault="00000000"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1DC5" w14:textId="77777777" w:rsidR="00C475E1" w:rsidRDefault="00000000"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  <w:tr w:rsidR="00C475E1" w14:paraId="3B6D08CC" w14:textId="77777777">
        <w:trPr>
          <w:trHeight w:val="580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14BA93F" w14:textId="77777777" w:rsidR="00C475E1" w:rsidRDefault="00C475E1"/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8A948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30F5D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Arial Unicode MS" w:hAnsi="Arial Unicode MS"/>
                <w:sz w:val="20"/>
                <w:szCs w:val="20"/>
              </w:rPr>
              <w:t>☒</w:t>
            </w:r>
            <w:r>
              <w:rPr>
                <w:rFonts w:ascii="Times Roman" w:hAnsi="Times Roman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14550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  </w:t>
            </w:r>
            <w:r>
              <w:rPr>
                <w:rFonts w:ascii="Wingdings 2" w:hAnsi="Wingdings 2"/>
                <w:sz w:val="28"/>
                <w:szCs w:val="28"/>
              </w:rPr>
              <w:sym w:font="Wingdings 2" w:char="F02A"/>
            </w:r>
            <w:r>
              <w:rPr>
                <w:rFonts w:ascii="Times Roman" w:hAnsi="Times Roman"/>
                <w:sz w:val="20"/>
                <w:szCs w:val="20"/>
              </w:rPr>
              <w:t xml:space="preserve">   </w:t>
            </w:r>
            <w:r>
              <w:rPr>
                <w:rFonts w:ascii="Times Roman" w:hAnsi="Times Roman"/>
                <w:sz w:val="20"/>
                <w:szCs w:val="20"/>
                <w:lang w:val="it-IT"/>
              </w:rPr>
              <w:t>Negat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ívne</w:t>
            </w:r>
            <w:proofErr w:type="spellEnd"/>
          </w:p>
        </w:tc>
      </w:tr>
    </w:tbl>
    <w:p w14:paraId="60F741F7" w14:textId="77777777" w:rsidR="00C475E1" w:rsidRDefault="00C475E1">
      <w:pPr>
        <w:pStyle w:val="Normlnywebov"/>
        <w:widowControl w:val="0"/>
        <w:spacing w:before="0" w:after="0"/>
        <w:jc w:val="center"/>
        <w:rPr>
          <w:sz w:val="22"/>
          <w:szCs w:val="22"/>
        </w:rPr>
      </w:pPr>
    </w:p>
    <w:p w14:paraId="08AA81FE" w14:textId="77777777" w:rsidR="00C475E1" w:rsidRDefault="00C475E1">
      <w:pPr>
        <w:pStyle w:val="Normlnywebov"/>
        <w:spacing w:before="0" w:after="0"/>
        <w:rPr>
          <w:sz w:val="20"/>
          <w:szCs w:val="20"/>
        </w:rPr>
      </w:pPr>
    </w:p>
    <w:p w14:paraId="104997E9" w14:textId="77777777" w:rsidR="00CB5F3C" w:rsidRDefault="00CB5F3C">
      <w:pPr>
        <w:pStyle w:val="Normlnywebov"/>
        <w:spacing w:before="0" w:after="0"/>
        <w:rPr>
          <w:sz w:val="20"/>
          <w:szCs w:val="20"/>
        </w:rPr>
      </w:pPr>
    </w:p>
    <w:p w14:paraId="725586AE" w14:textId="77777777" w:rsidR="00C475E1" w:rsidRDefault="00C475E1">
      <w:pPr>
        <w:pStyle w:val="Normlnywebov"/>
        <w:spacing w:before="0" w:after="0"/>
        <w:rPr>
          <w:sz w:val="22"/>
          <w:szCs w:val="22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88"/>
      </w:tblGrid>
      <w:tr w:rsidR="00C475E1" w14:paraId="26466780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CB486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10.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Poznámky</w:t>
            </w:r>
            <w:proofErr w:type="spellEnd"/>
          </w:p>
        </w:tc>
      </w:tr>
      <w:tr w:rsidR="00C475E1" w14:paraId="08D4A2C3" w14:textId="77777777"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65C6" w14:textId="77777777" w:rsidR="00CB5F3C" w:rsidRPr="00CB5F3C" w:rsidRDefault="00CB5F3C" w:rsidP="00CB5F3C">
            <w:pPr>
              <w:pStyle w:val="Normlnywebov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B5F3C">
              <w:rPr>
                <w:sz w:val="20"/>
                <w:szCs w:val="20"/>
              </w:rPr>
              <w:t>Návrh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zákona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zavádza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mechanizmus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testovanie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poslancov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Národnej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rady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Slovenskej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republiky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prítomnosť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alkoholu</w:t>
            </w:r>
            <w:proofErr w:type="spellEnd"/>
            <w:r w:rsidRPr="00CB5F3C">
              <w:rPr>
                <w:sz w:val="20"/>
                <w:szCs w:val="20"/>
              </w:rPr>
              <w:t xml:space="preserve"> s </w:t>
            </w:r>
            <w:proofErr w:type="spellStart"/>
            <w:r w:rsidRPr="00CB5F3C">
              <w:rPr>
                <w:sz w:val="20"/>
                <w:szCs w:val="20"/>
              </w:rPr>
              <w:t>cieľom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posilniť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transparentnosť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zodpovednosť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dôveru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verejnosti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fungovanie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demokratických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inštitúcií</w:t>
            </w:r>
            <w:proofErr w:type="spellEnd"/>
            <w:r w:rsidRPr="00CB5F3C">
              <w:rPr>
                <w:sz w:val="20"/>
                <w:szCs w:val="20"/>
              </w:rPr>
              <w:t xml:space="preserve">. </w:t>
            </w:r>
            <w:proofErr w:type="spellStart"/>
            <w:r w:rsidRPr="00CB5F3C">
              <w:rPr>
                <w:sz w:val="20"/>
                <w:szCs w:val="20"/>
              </w:rPr>
              <w:t>Očakávané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náklady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implementáciu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tohto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opatrenia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budú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závisieť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od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organizačných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technických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požiadaviek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ako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sú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náklady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testovacie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zariadenia</w:t>
            </w:r>
            <w:proofErr w:type="spellEnd"/>
            <w:r w:rsidRPr="00CB5F3C">
              <w:rPr>
                <w:sz w:val="20"/>
                <w:szCs w:val="20"/>
              </w:rPr>
              <w:t xml:space="preserve">, </w:t>
            </w:r>
            <w:proofErr w:type="spellStart"/>
            <w:r w:rsidRPr="00CB5F3C">
              <w:rPr>
                <w:sz w:val="20"/>
                <w:szCs w:val="20"/>
              </w:rPr>
              <w:t>personálne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zabezpečenie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administratívnu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podporu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procesu</w:t>
            </w:r>
            <w:proofErr w:type="spellEnd"/>
            <w:r w:rsidRPr="00CB5F3C">
              <w:rPr>
                <w:sz w:val="20"/>
                <w:szCs w:val="20"/>
              </w:rPr>
              <w:t>.</w:t>
            </w:r>
          </w:p>
          <w:p w14:paraId="153659B0" w14:textId="77777777" w:rsidR="00CB5F3C" w:rsidRDefault="00CB5F3C" w:rsidP="00CB5F3C">
            <w:pPr>
              <w:pStyle w:val="Normlnywebov"/>
              <w:jc w:val="both"/>
              <w:rPr>
                <w:sz w:val="20"/>
                <w:szCs w:val="20"/>
              </w:rPr>
            </w:pPr>
          </w:p>
          <w:p w14:paraId="611B790C" w14:textId="77777777" w:rsidR="00CB5F3C" w:rsidRPr="00CB5F3C" w:rsidRDefault="00CB5F3C" w:rsidP="00CB5F3C">
            <w:pPr>
              <w:pStyle w:val="Normlnywebov"/>
              <w:jc w:val="both"/>
              <w:rPr>
                <w:sz w:val="20"/>
                <w:szCs w:val="20"/>
              </w:rPr>
            </w:pPr>
            <w:proofErr w:type="spellStart"/>
            <w:r w:rsidRPr="00CB5F3C">
              <w:rPr>
                <w:sz w:val="20"/>
                <w:szCs w:val="20"/>
              </w:rPr>
              <w:lastRenderedPageBreak/>
              <w:t>Dlhodobé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účinky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tejto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legislatívy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by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mali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prispieť</w:t>
            </w:r>
            <w:proofErr w:type="spellEnd"/>
            <w:r w:rsidRPr="00CB5F3C">
              <w:rPr>
                <w:sz w:val="20"/>
                <w:szCs w:val="20"/>
              </w:rPr>
              <w:t xml:space="preserve"> k </w:t>
            </w:r>
            <w:proofErr w:type="spellStart"/>
            <w:r w:rsidRPr="00CB5F3C">
              <w:rPr>
                <w:sz w:val="20"/>
                <w:szCs w:val="20"/>
              </w:rPr>
              <w:t>zvýšeniu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integrity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kultúry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zodpovednosti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medzi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volenými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zástupcami</w:t>
            </w:r>
            <w:proofErr w:type="spellEnd"/>
            <w:r w:rsidRPr="00CB5F3C">
              <w:rPr>
                <w:sz w:val="20"/>
                <w:szCs w:val="20"/>
              </w:rPr>
              <w:t xml:space="preserve">. </w:t>
            </w:r>
            <w:proofErr w:type="spellStart"/>
            <w:r w:rsidRPr="00CB5F3C">
              <w:rPr>
                <w:sz w:val="20"/>
                <w:szCs w:val="20"/>
              </w:rPr>
              <w:t>Návrh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zároveň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otvára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priestor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širšiu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diskusiu</w:t>
            </w:r>
            <w:proofErr w:type="spellEnd"/>
            <w:r w:rsidRPr="00CB5F3C">
              <w:rPr>
                <w:sz w:val="20"/>
                <w:szCs w:val="20"/>
              </w:rPr>
              <w:t xml:space="preserve"> o </w:t>
            </w:r>
            <w:proofErr w:type="spellStart"/>
            <w:r w:rsidRPr="00CB5F3C">
              <w:rPr>
                <w:sz w:val="20"/>
                <w:szCs w:val="20"/>
              </w:rPr>
              <w:t>opatreniach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zameraných</w:t>
            </w:r>
            <w:proofErr w:type="spellEnd"/>
            <w:r w:rsidRPr="00CB5F3C">
              <w:rPr>
                <w:sz w:val="20"/>
                <w:szCs w:val="20"/>
              </w:rPr>
              <w:t xml:space="preserve"> na </w:t>
            </w:r>
            <w:proofErr w:type="spellStart"/>
            <w:r w:rsidRPr="00CB5F3C">
              <w:rPr>
                <w:sz w:val="20"/>
                <w:szCs w:val="20"/>
              </w:rPr>
              <w:t>zlepšenie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etických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štandardov</w:t>
            </w:r>
            <w:proofErr w:type="spellEnd"/>
            <w:r w:rsidRPr="00CB5F3C">
              <w:rPr>
                <w:sz w:val="20"/>
                <w:szCs w:val="20"/>
              </w:rPr>
              <w:t xml:space="preserve"> a </w:t>
            </w:r>
            <w:proofErr w:type="spellStart"/>
            <w:r w:rsidRPr="00CB5F3C">
              <w:rPr>
                <w:sz w:val="20"/>
                <w:szCs w:val="20"/>
              </w:rPr>
              <w:t>správania</w:t>
            </w:r>
            <w:proofErr w:type="spellEnd"/>
            <w:r w:rsidRPr="00CB5F3C">
              <w:rPr>
                <w:sz w:val="20"/>
                <w:szCs w:val="20"/>
              </w:rPr>
              <w:t xml:space="preserve"> v </w:t>
            </w:r>
            <w:proofErr w:type="spellStart"/>
            <w:r w:rsidRPr="00CB5F3C">
              <w:rPr>
                <w:sz w:val="20"/>
                <w:szCs w:val="20"/>
              </w:rPr>
              <w:t>rámci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výkonu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verejných</w:t>
            </w:r>
            <w:proofErr w:type="spellEnd"/>
            <w:r w:rsidRPr="00CB5F3C">
              <w:rPr>
                <w:sz w:val="20"/>
                <w:szCs w:val="20"/>
              </w:rPr>
              <w:t xml:space="preserve"> </w:t>
            </w:r>
            <w:proofErr w:type="spellStart"/>
            <w:r w:rsidRPr="00CB5F3C">
              <w:rPr>
                <w:sz w:val="20"/>
                <w:szCs w:val="20"/>
              </w:rPr>
              <w:t>funkcií</w:t>
            </w:r>
            <w:proofErr w:type="spellEnd"/>
            <w:r w:rsidRPr="00CB5F3C">
              <w:rPr>
                <w:sz w:val="20"/>
                <w:szCs w:val="20"/>
              </w:rPr>
              <w:t>.</w:t>
            </w:r>
          </w:p>
          <w:p w14:paraId="75FF9F77" w14:textId="77777777" w:rsidR="00CB5F3C" w:rsidRDefault="00CB5F3C"/>
          <w:p w14:paraId="6A959DD3" w14:textId="77777777" w:rsidR="00CB5F3C" w:rsidRDefault="00CB5F3C"/>
        </w:tc>
      </w:tr>
      <w:tr w:rsidR="00C475E1" w14:paraId="7D69E641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4D706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lastRenderedPageBreak/>
              <w:t xml:space="preserve">  11.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Kontakt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spracovateľa</w:t>
            </w:r>
            <w:proofErr w:type="spellEnd"/>
          </w:p>
        </w:tc>
      </w:tr>
      <w:tr w:rsidR="00C475E1" w14:paraId="13A14067" w14:textId="77777777"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4D16" w14:textId="77777777" w:rsidR="00C475E1" w:rsidRDefault="00000000">
            <w:r>
              <w:rPr>
                <w:rFonts w:ascii="Times Roman" w:hAnsi="Times Roman"/>
                <w:sz w:val="20"/>
                <w:szCs w:val="20"/>
              </w:rPr>
              <w:t xml:space="preserve">Mgr. Martina </w:t>
            </w:r>
            <w:r w:rsidR="00CB5F3C">
              <w:rPr>
                <w:rFonts w:ascii="Times Roman" w:hAnsi="Times Roman"/>
                <w:sz w:val="20"/>
                <w:szCs w:val="20"/>
              </w:rPr>
              <w:t xml:space="preserve">Bajo </w:t>
            </w:r>
            <w:r>
              <w:rPr>
                <w:rFonts w:ascii="Times Roman" w:hAnsi="Times Roman"/>
                <w:sz w:val="20"/>
                <w:szCs w:val="20"/>
              </w:rPr>
              <w:t xml:space="preserve">Holečková, 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poslankyňa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Národnej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rady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Slovenskej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Roman" w:hAnsi="Times Roman"/>
                <w:sz w:val="20"/>
                <w:szCs w:val="20"/>
              </w:rPr>
              <w:t>republiky</w:t>
            </w:r>
            <w:proofErr w:type="spellEnd"/>
            <w:r>
              <w:rPr>
                <w:rFonts w:ascii="Times Roman" w:hAnsi="Times Roman"/>
                <w:sz w:val="20"/>
                <w:szCs w:val="20"/>
              </w:rPr>
              <w:t>,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hAnsi="Times Roman"/>
                <w:sz w:val="20"/>
                <w:szCs w:val="20"/>
              </w:rPr>
              <w:t>martina.holeckova@nrsr.sk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  <w:r>
              <w:rPr>
                <w:rFonts w:ascii="Times Roman" w:hAnsi="Times Roman"/>
                <w:sz w:val="20"/>
                <w:szCs w:val="20"/>
              </w:rPr>
              <w:t>Mobil: +421 907 141 704</w:t>
            </w:r>
            <w:r>
              <w:rPr>
                <w:rFonts w:ascii="Times Roman" w:eastAsia="Times Roman" w:hAnsi="Times Roman" w:cs="Times Roman"/>
                <w:sz w:val="20"/>
                <w:szCs w:val="20"/>
              </w:rPr>
              <w:br/>
            </w:r>
          </w:p>
        </w:tc>
      </w:tr>
      <w:tr w:rsidR="00C475E1" w14:paraId="583D5221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0691D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12.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Zdroje</w:t>
            </w:r>
            <w:proofErr w:type="spellEnd"/>
          </w:p>
        </w:tc>
      </w:tr>
      <w:tr w:rsidR="00C475E1" w14:paraId="50DF12E7" w14:textId="77777777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989A" w14:textId="77777777" w:rsidR="00C475E1" w:rsidRDefault="00C475E1"/>
        </w:tc>
      </w:tr>
      <w:tr w:rsidR="00C475E1" w14:paraId="2495603F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0249" w14:textId="77777777" w:rsidR="00C475E1" w:rsidRDefault="00000000"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  13. 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Stanovisko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Komisie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pre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posudzovanie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vybraných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Roman" w:hAnsi="Times Roman"/>
                <w:b/>
                <w:bCs/>
                <w:sz w:val="22"/>
                <w:szCs w:val="22"/>
              </w:rPr>
              <w:t>vplyvov</w:t>
            </w:r>
            <w:proofErr w:type="spellEnd"/>
            <w:r>
              <w:rPr>
                <w:rFonts w:ascii="Times Roman" w:hAnsi="Times Roman"/>
                <w:b/>
                <w:bCs/>
                <w:sz w:val="22"/>
                <w:szCs w:val="22"/>
              </w:rPr>
              <w:t xml:space="preserve"> z PPK</w:t>
            </w:r>
          </w:p>
        </w:tc>
      </w:tr>
      <w:tr w:rsidR="00C475E1" w14:paraId="5E0205CF" w14:textId="77777777">
        <w:trPr>
          <w:trHeight w:val="10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0D6F" w14:textId="77777777" w:rsidR="00C475E1" w:rsidRDefault="00C475E1"/>
        </w:tc>
      </w:tr>
    </w:tbl>
    <w:p w14:paraId="0EA5AFAB" w14:textId="77777777" w:rsidR="00C475E1" w:rsidRDefault="00C475E1">
      <w:pPr>
        <w:pStyle w:val="Normlnywebov"/>
        <w:widowControl w:val="0"/>
        <w:spacing w:before="0" w:after="0"/>
        <w:jc w:val="center"/>
      </w:pPr>
    </w:p>
    <w:sectPr w:rsidR="00C475E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5494" w14:textId="77777777" w:rsidR="000326B9" w:rsidRDefault="000326B9">
      <w:r>
        <w:separator/>
      </w:r>
    </w:p>
  </w:endnote>
  <w:endnote w:type="continuationSeparator" w:id="0">
    <w:p w14:paraId="0A65D6AE" w14:textId="77777777" w:rsidR="000326B9" w:rsidRDefault="0003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C0CC" w14:textId="77777777" w:rsidR="00C475E1" w:rsidRDefault="00000000">
    <w:pPr>
      <w:pStyle w:val="Pt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B67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884C" w14:textId="77777777" w:rsidR="000326B9" w:rsidRDefault="000326B9">
      <w:r>
        <w:separator/>
      </w:r>
    </w:p>
  </w:footnote>
  <w:footnote w:type="continuationSeparator" w:id="0">
    <w:p w14:paraId="07CCBC2E" w14:textId="77777777" w:rsidR="000326B9" w:rsidRDefault="0003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3FE9" w14:textId="77777777" w:rsidR="00C475E1" w:rsidRDefault="00C475E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C4E"/>
    <w:multiLevelType w:val="hybridMultilevel"/>
    <w:tmpl w:val="5B6CC52A"/>
    <w:lvl w:ilvl="0" w:tplc="6CD804B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26A91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D872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1EAB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EEB2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69E0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6E5A1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6AB2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6463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7A376B"/>
    <w:multiLevelType w:val="multilevel"/>
    <w:tmpl w:val="9C5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D1423"/>
    <w:multiLevelType w:val="multilevel"/>
    <w:tmpl w:val="6654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711275">
    <w:abstractNumId w:val="0"/>
  </w:num>
  <w:num w:numId="2" w16cid:durableId="646477119">
    <w:abstractNumId w:val="1"/>
  </w:num>
  <w:num w:numId="3" w16cid:durableId="127108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E1"/>
    <w:rsid w:val="000326B9"/>
    <w:rsid w:val="004F1001"/>
    <w:rsid w:val="005B67C5"/>
    <w:rsid w:val="00605C51"/>
    <w:rsid w:val="00C475E1"/>
    <w:rsid w:val="00CB5F3C"/>
    <w:rsid w:val="00E53CC4"/>
    <w:rsid w:val="00F25F35"/>
    <w:rsid w:val="00F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F0DC"/>
  <w15:docId w15:val="{C47BBA4A-AA8C-E44D-8D1F-1462F8B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nywebov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Holeckova</cp:lastModifiedBy>
  <cp:revision>5</cp:revision>
  <dcterms:created xsi:type="dcterms:W3CDTF">2025-01-10T16:54:00Z</dcterms:created>
  <dcterms:modified xsi:type="dcterms:W3CDTF">2025-01-14T21:17:00Z</dcterms:modified>
</cp:coreProperties>
</file>