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57D9" w14:textId="77777777" w:rsidR="00153B43" w:rsidRPr="00002F51" w:rsidRDefault="00153B43" w:rsidP="00305EFA">
      <w:pPr>
        <w:spacing w:after="120"/>
        <w:jc w:val="both"/>
        <w:rPr>
          <w:rFonts w:ascii="Cambria" w:hAnsi="Cambria"/>
          <w:sz w:val="22"/>
          <w:szCs w:val="22"/>
          <w:lang w:val="sk-SK"/>
        </w:rPr>
      </w:pPr>
    </w:p>
    <w:p w14:paraId="0A2BE6CB" w14:textId="4BB3A691" w:rsidR="00153B43" w:rsidRPr="00002F51" w:rsidRDefault="00E94E3A" w:rsidP="00305EFA">
      <w:pPr>
        <w:pStyle w:val="Heading1"/>
        <w:tabs>
          <w:tab w:val="right" w:pos="8958"/>
        </w:tabs>
        <w:spacing w:after="120"/>
        <w:rPr>
          <w:rFonts w:ascii="Cambria" w:hAnsi="Cambria"/>
          <w:sz w:val="22"/>
          <w:szCs w:val="22"/>
        </w:rPr>
      </w:pPr>
      <w:r w:rsidRPr="00002F51">
        <w:rPr>
          <w:rFonts w:ascii="Cambria" w:hAnsi="Cambria"/>
          <w:sz w:val="22"/>
          <w:szCs w:val="22"/>
        </w:rPr>
        <w:t>PREDKLADACIA SPRÁVA</w:t>
      </w:r>
    </w:p>
    <w:p w14:paraId="5141ADBF" w14:textId="77777777" w:rsidR="00153B43" w:rsidRPr="00002F51" w:rsidRDefault="00153B43" w:rsidP="00305EFA">
      <w:pPr>
        <w:pStyle w:val="BodyText"/>
        <w:spacing w:after="120"/>
        <w:jc w:val="both"/>
        <w:rPr>
          <w:rFonts w:ascii="Cambria" w:hAnsi="Cambria"/>
          <w:sz w:val="22"/>
          <w:szCs w:val="22"/>
          <w:lang w:val="sk-SK"/>
        </w:rPr>
      </w:pPr>
    </w:p>
    <w:p w14:paraId="7DBC88DC" w14:textId="77777777" w:rsidR="00153B43" w:rsidRPr="00002F51" w:rsidRDefault="00153B43" w:rsidP="00305EFA">
      <w:pPr>
        <w:pStyle w:val="BodyText"/>
        <w:spacing w:after="120"/>
        <w:ind w:right="902" w:firstLine="720"/>
        <w:jc w:val="both"/>
        <w:rPr>
          <w:rFonts w:ascii="Cambria" w:hAnsi="Cambria"/>
          <w:sz w:val="22"/>
          <w:szCs w:val="22"/>
          <w:lang w:val="sk-SK"/>
        </w:rPr>
      </w:pPr>
    </w:p>
    <w:p w14:paraId="44DB5722" w14:textId="47CC5B20" w:rsidR="00571795" w:rsidRPr="006B3328" w:rsidRDefault="00210C2D" w:rsidP="008F322A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 xml:space="preserve">Správu </w:t>
      </w:r>
      <w:r w:rsidR="004F18C7" w:rsidRPr="006B3328">
        <w:rPr>
          <w:rFonts w:ascii="Cambria" w:hAnsi="Cambria"/>
          <w:sz w:val="22"/>
          <w:szCs w:val="22"/>
          <w:lang w:val="sk-SK"/>
        </w:rPr>
        <w:t>o </w:t>
      </w:r>
      <w:r w:rsidRPr="006B3328">
        <w:rPr>
          <w:rFonts w:ascii="Cambria" w:hAnsi="Cambria"/>
          <w:sz w:val="22"/>
          <w:szCs w:val="22"/>
          <w:lang w:val="sk-SK"/>
        </w:rPr>
        <w:t xml:space="preserve">finančnej stabilite </w:t>
      </w:r>
      <w:r w:rsidR="00B07737" w:rsidRPr="006B3328">
        <w:rPr>
          <w:rFonts w:ascii="Cambria" w:hAnsi="Cambria"/>
          <w:sz w:val="22"/>
          <w:szCs w:val="22"/>
          <w:lang w:val="sk-SK"/>
        </w:rPr>
        <w:t>–</w:t>
      </w:r>
      <w:r w:rsidR="000A09D6" w:rsidRPr="006B3328">
        <w:rPr>
          <w:rFonts w:ascii="Cambria" w:hAnsi="Cambria"/>
          <w:sz w:val="22"/>
          <w:szCs w:val="22"/>
          <w:lang w:val="sk-SK"/>
        </w:rPr>
        <w:t xml:space="preserve"> </w:t>
      </w:r>
      <w:r w:rsidR="006B3328" w:rsidRPr="006B3328">
        <w:rPr>
          <w:rFonts w:ascii="Cambria" w:hAnsi="Cambria"/>
          <w:sz w:val="22"/>
          <w:szCs w:val="22"/>
          <w:lang w:val="sk-SK"/>
        </w:rPr>
        <w:t>november</w:t>
      </w:r>
      <w:r w:rsidR="00B07737" w:rsidRPr="006B3328">
        <w:rPr>
          <w:rFonts w:ascii="Cambria" w:hAnsi="Cambria"/>
          <w:sz w:val="22"/>
          <w:szCs w:val="22"/>
          <w:lang w:val="sk-SK"/>
        </w:rPr>
        <w:t xml:space="preserve"> 202</w:t>
      </w:r>
      <w:r w:rsidR="00305EFA" w:rsidRPr="006B3328">
        <w:rPr>
          <w:rFonts w:ascii="Cambria" w:hAnsi="Cambria"/>
          <w:sz w:val="22"/>
          <w:szCs w:val="22"/>
          <w:lang w:val="sk-SK"/>
        </w:rPr>
        <w:t>4</w:t>
      </w:r>
      <w:r w:rsidR="00A42C91" w:rsidRPr="006B3328">
        <w:rPr>
          <w:rFonts w:ascii="Cambria" w:hAnsi="Cambria"/>
          <w:sz w:val="22"/>
          <w:szCs w:val="22"/>
          <w:lang w:val="sk-SK"/>
        </w:rPr>
        <w:t xml:space="preserve"> </w:t>
      </w:r>
      <w:r w:rsidR="00571795" w:rsidRPr="006B3328">
        <w:rPr>
          <w:rFonts w:ascii="Cambria" w:hAnsi="Cambria"/>
          <w:sz w:val="22"/>
          <w:szCs w:val="22"/>
          <w:lang w:val="sk-SK"/>
        </w:rPr>
        <w:t xml:space="preserve">predkladá Národná banka Slovenska po jej schválení Bankovou radou NBS na základe povinnosti, ktorá Národnej banke Slovenska vyplýva </w:t>
      </w:r>
      <w:r w:rsidR="004F18C7" w:rsidRPr="006B3328">
        <w:rPr>
          <w:rFonts w:ascii="Cambria" w:hAnsi="Cambria"/>
          <w:sz w:val="22"/>
          <w:szCs w:val="22"/>
          <w:lang w:val="sk-SK"/>
        </w:rPr>
        <w:t>z </w:t>
      </w:r>
      <w:r w:rsidR="00571795" w:rsidRPr="006B3328">
        <w:rPr>
          <w:rFonts w:ascii="Cambria" w:hAnsi="Cambria"/>
          <w:sz w:val="22"/>
          <w:szCs w:val="22"/>
          <w:lang w:val="sk-SK"/>
        </w:rPr>
        <w:t>§</w:t>
      </w:r>
      <w:r w:rsidR="00A04579" w:rsidRPr="006B3328">
        <w:rPr>
          <w:rFonts w:ascii="Cambria" w:hAnsi="Cambria"/>
          <w:sz w:val="22"/>
          <w:szCs w:val="22"/>
          <w:lang w:val="sk-SK"/>
        </w:rPr>
        <w:t> </w:t>
      </w:r>
      <w:r w:rsidR="00571795" w:rsidRPr="006B3328">
        <w:rPr>
          <w:rFonts w:ascii="Cambria" w:hAnsi="Cambria"/>
          <w:sz w:val="22"/>
          <w:szCs w:val="22"/>
          <w:lang w:val="sk-SK"/>
        </w:rPr>
        <w:t xml:space="preserve">1 ods. 3 písm. </w:t>
      </w:r>
      <w:r w:rsidR="00384192" w:rsidRPr="006B3328">
        <w:rPr>
          <w:rFonts w:ascii="Cambria" w:hAnsi="Cambria"/>
          <w:sz w:val="22"/>
          <w:szCs w:val="22"/>
          <w:lang w:val="sk-SK"/>
        </w:rPr>
        <w:t>i</w:t>
      </w:r>
      <w:r w:rsidR="00571795" w:rsidRPr="006B3328">
        <w:rPr>
          <w:rFonts w:ascii="Cambria" w:hAnsi="Cambria"/>
          <w:sz w:val="22"/>
          <w:szCs w:val="22"/>
          <w:lang w:val="sk-SK"/>
        </w:rPr>
        <w:t xml:space="preserve">) zákona </w:t>
      </w:r>
      <w:r w:rsidR="004F18C7" w:rsidRPr="006B3328">
        <w:rPr>
          <w:rFonts w:ascii="Cambria" w:hAnsi="Cambria"/>
          <w:sz w:val="22"/>
          <w:szCs w:val="22"/>
          <w:lang w:val="sk-SK"/>
        </w:rPr>
        <w:t>č. </w:t>
      </w:r>
      <w:r w:rsidR="00571795" w:rsidRPr="006B3328">
        <w:rPr>
          <w:rFonts w:ascii="Cambria" w:hAnsi="Cambria"/>
          <w:sz w:val="22"/>
          <w:szCs w:val="22"/>
          <w:lang w:val="sk-SK"/>
        </w:rPr>
        <w:t xml:space="preserve">747/2004 Z. z. </w:t>
      </w:r>
      <w:r w:rsidR="004F18C7" w:rsidRPr="006B3328">
        <w:rPr>
          <w:rFonts w:ascii="Cambria" w:hAnsi="Cambria"/>
          <w:sz w:val="22"/>
          <w:szCs w:val="22"/>
          <w:lang w:val="sk-SK"/>
        </w:rPr>
        <w:t>o </w:t>
      </w:r>
      <w:r w:rsidR="00571795" w:rsidRPr="006B3328">
        <w:rPr>
          <w:rFonts w:ascii="Cambria" w:hAnsi="Cambria"/>
          <w:sz w:val="22"/>
          <w:szCs w:val="22"/>
          <w:lang w:val="sk-SK"/>
        </w:rPr>
        <w:t xml:space="preserve">dohľade nad finančným trhom </w:t>
      </w:r>
      <w:r w:rsidR="000A09D6" w:rsidRPr="006B3328">
        <w:rPr>
          <w:rFonts w:ascii="Cambria" w:hAnsi="Cambria"/>
          <w:sz w:val="22"/>
          <w:szCs w:val="22"/>
          <w:lang w:val="sk-SK"/>
        </w:rPr>
        <w:t>a </w:t>
      </w:r>
      <w:r w:rsidR="004F18C7" w:rsidRPr="006B3328">
        <w:rPr>
          <w:rFonts w:ascii="Cambria" w:hAnsi="Cambria"/>
          <w:sz w:val="22"/>
          <w:szCs w:val="22"/>
          <w:lang w:val="sk-SK"/>
        </w:rPr>
        <w:t>o </w:t>
      </w:r>
      <w:r w:rsidR="000A09D6" w:rsidRPr="006B3328">
        <w:rPr>
          <w:rFonts w:ascii="Cambria" w:hAnsi="Cambria"/>
          <w:sz w:val="22"/>
          <w:szCs w:val="22"/>
          <w:lang w:val="sk-SK"/>
        </w:rPr>
        <w:t>zmene a doplnení niektorých zákonov</w:t>
      </w:r>
      <w:r w:rsidR="00AF1010" w:rsidRPr="006B3328">
        <w:rPr>
          <w:rFonts w:ascii="Cambria" w:hAnsi="Cambria"/>
          <w:sz w:val="22"/>
          <w:szCs w:val="22"/>
          <w:lang w:val="sk-SK"/>
        </w:rPr>
        <w:t xml:space="preserve"> </w:t>
      </w:r>
      <w:r w:rsidR="004F18C7" w:rsidRPr="006B3328">
        <w:rPr>
          <w:rFonts w:ascii="Cambria" w:hAnsi="Cambria"/>
          <w:sz w:val="22"/>
          <w:szCs w:val="22"/>
          <w:lang w:val="sk-SK"/>
        </w:rPr>
        <w:t>v </w:t>
      </w:r>
      <w:r w:rsidR="00AF1010" w:rsidRPr="006B3328">
        <w:rPr>
          <w:rFonts w:ascii="Cambria" w:hAnsi="Cambria"/>
          <w:sz w:val="22"/>
          <w:szCs w:val="22"/>
          <w:lang w:val="sk-SK"/>
        </w:rPr>
        <w:t>znení neskorších predpisov</w:t>
      </w:r>
      <w:r w:rsidR="000A09D6" w:rsidRPr="006B3328">
        <w:rPr>
          <w:rFonts w:ascii="Cambria" w:hAnsi="Cambria"/>
          <w:sz w:val="22"/>
          <w:szCs w:val="22"/>
          <w:lang w:val="sk-SK"/>
        </w:rPr>
        <w:t>.</w:t>
      </w:r>
    </w:p>
    <w:p w14:paraId="5317B59D" w14:textId="77777777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>Hlavným záverom správy je, že situácia vo finančnom sektore sa z pohľadu finančnej stability vyvíja pomerne priaznivo. Predchádzajúce riziká spojené s prudkým nárastom nákladov a vyššími úrokovými sadzbami sa postupne uvoľňujú. Pre mnohých dlžníkov by to mohlo postupne priniesť vítanú úľavu. Pri pohľade na budúce riziká sa pozornosť presúva od inflácie k neistému výhľadu hospodárskeho rastu.</w:t>
      </w:r>
    </w:p>
    <w:p w14:paraId="4F9F1BCE" w14:textId="77777777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 xml:space="preserve">Zmena vývoja úrokových sadzieb postupne prináša náznaky, že trh s hypotékami by sa mohol čiastočne oživiť. Náznakov oživenia je viacero, zatiaľ sú však len veľmi mierne. Na druhej strane, pri úverovaní podnikov zatiaľ oživenie nevidno a portfólio medziročne klesá. Dôvodom je najmä nižší záujem firiem o úvery. </w:t>
      </w:r>
    </w:p>
    <w:p w14:paraId="25FA8A86" w14:textId="77777777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>Dlžníci zatiaľ zvládli obdobie zvýšených úrokových sadzieb bez výraznejšieho nárastu nesplácaných úverov. Isté náznaky zhoršenia vidíme len v sektore komerčných nehnuteľností. Aj tu však ide viac o snahu dohodnúť isté úpravy splátkových kalendárov, než o neschopnosť splácať.</w:t>
      </w:r>
    </w:p>
    <w:p w14:paraId="17A1049C" w14:textId="77777777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>Predchádzajúce obdobie však prinieslo nárast rizikovosti úverových portfólií. Portfóliá – najmä hypotekárne úvery a úvery poskytnuté sektoru komerčných nehnuteľností – sú dnes citlivejšie na externé šoky ako v minulosti. Hlavným dôvodom je predchádzajúci pokles reálnych príjmov domácností, nárast úrokových nákladov a pokles hodnoty nehnuteľností zabezpečujúcich úvery. Ďalší výhľad je však pozitívny.</w:t>
      </w:r>
    </w:p>
    <w:p w14:paraId="173A848E" w14:textId="12B97049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 xml:space="preserve">Z dôvodu zvýšenej citlivosti úverových portfólií sa zatiaľ nemení ani nastavenie </w:t>
      </w:r>
      <w:proofErr w:type="spellStart"/>
      <w:r w:rsidRPr="006B3328">
        <w:rPr>
          <w:rFonts w:ascii="Cambria" w:hAnsi="Cambria"/>
          <w:sz w:val="22"/>
          <w:szCs w:val="22"/>
          <w:lang w:val="sk-SK"/>
        </w:rPr>
        <w:t>makroprudenciálnej</w:t>
      </w:r>
      <w:proofErr w:type="spellEnd"/>
      <w:r w:rsidRPr="006B3328">
        <w:rPr>
          <w:rFonts w:ascii="Cambria" w:hAnsi="Cambria"/>
          <w:sz w:val="22"/>
          <w:szCs w:val="22"/>
          <w:lang w:val="sk-SK"/>
        </w:rPr>
        <w:t xml:space="preserve"> politiky. Tento záver je v súlade s</w:t>
      </w:r>
      <w:r w:rsidR="00392C0A">
        <w:rPr>
          <w:rFonts w:ascii="Cambria" w:hAnsi="Cambria"/>
          <w:sz w:val="22"/>
          <w:szCs w:val="22"/>
          <w:lang w:val="sk-SK"/>
        </w:rPr>
        <w:t>o</w:t>
      </w:r>
      <w:r w:rsidRPr="006B3328">
        <w:rPr>
          <w:rFonts w:ascii="Cambria" w:hAnsi="Cambria"/>
          <w:sz w:val="22"/>
          <w:szCs w:val="22"/>
          <w:lang w:val="sk-SK"/>
        </w:rPr>
        <w:t xml:space="preserve"> stanoviskom ECB, podľa ktor</w:t>
      </w:r>
      <w:r w:rsidR="00392C0A">
        <w:rPr>
          <w:rFonts w:ascii="Cambria" w:hAnsi="Cambria"/>
          <w:sz w:val="22"/>
          <w:szCs w:val="22"/>
          <w:lang w:val="sk-SK"/>
        </w:rPr>
        <w:t>ého</w:t>
      </w:r>
      <w:r w:rsidRPr="006B3328">
        <w:rPr>
          <w:rFonts w:ascii="Cambria" w:hAnsi="Cambria"/>
          <w:sz w:val="22"/>
          <w:szCs w:val="22"/>
          <w:lang w:val="sk-SK"/>
        </w:rPr>
        <w:t xml:space="preserve"> sa uvoľňovanie kapitálových vankúšov alebo limitov na poskytovanie úverov aktuálne neodporúča.</w:t>
      </w:r>
    </w:p>
    <w:p w14:paraId="3AFBF1AF" w14:textId="77777777" w:rsidR="006B3328" w:rsidRPr="006B3328" w:rsidRDefault="006B3328" w:rsidP="008F322A">
      <w:pPr>
        <w:tabs>
          <w:tab w:val="left" w:pos="9072"/>
        </w:tabs>
        <w:spacing w:after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>Banky naďalej vykazujú vysokú mieru odolnosti a sú schopné zvládnuť aj nové výzvy. Vysokú odolnosť voči rizikám potvrdzuje silná ziskovosť. Ukazovatele kapitálovej primeranosti a likvidity dosiahli úrovne blízko svojich historických maxím.</w:t>
      </w:r>
    </w:p>
    <w:p w14:paraId="6E73A5F5" w14:textId="77777777" w:rsidR="006B3328" w:rsidRPr="006B3328" w:rsidRDefault="006B3328" w:rsidP="008F322A">
      <w:pPr>
        <w:tabs>
          <w:tab w:val="left" w:pos="9072"/>
        </w:tabs>
        <w:spacing w:before="120"/>
        <w:ind w:firstLine="709"/>
        <w:jc w:val="both"/>
        <w:rPr>
          <w:rFonts w:ascii="Cambria" w:hAnsi="Cambria"/>
          <w:sz w:val="22"/>
          <w:szCs w:val="22"/>
          <w:lang w:val="sk-SK"/>
        </w:rPr>
      </w:pPr>
      <w:r w:rsidRPr="006B3328">
        <w:rPr>
          <w:rFonts w:ascii="Cambria" w:hAnsi="Cambria"/>
          <w:sz w:val="22"/>
          <w:szCs w:val="22"/>
          <w:lang w:val="sk-SK"/>
        </w:rPr>
        <w:t xml:space="preserve">Správa obsahuje dva boxy. Prvý box sa venuje prijatému konsolidačnému balíku, a to najmä z pohľadu jeho vplyvu na finančnú stabilitu. Z pohľadu finančnej stability je pozitívne, že balík prispieva k zlepšeniu udržateľnosti verejných financií. Konsolidačné opatrenia by navyše zásadným spôsobom nemali ovplyvniť schopnosť domácností a podnikov splácať úvery. Druhý box sumarizuje hlavné závery analýzy vplyvu digitálneho eura na finančnú stabilitu. Hoci slovenské banky sú v porovnaní s eurozónou vystavené potenciálne väčšiemu vplyvu zavedenia digitálneho eura, tento vplyv sa zatiaľ nejaví ako zásadný. Táto analýza bola začiatkom novembra zverejnená ako samostatný analytický komentár. </w:t>
      </w:r>
    </w:p>
    <w:p w14:paraId="6CA5AB8D" w14:textId="0F5DCE02" w:rsidR="006C2A8B" w:rsidRPr="00305EFA" w:rsidRDefault="006C2A8B" w:rsidP="006C2A8B">
      <w:pPr>
        <w:pStyle w:val="BodyText"/>
        <w:tabs>
          <w:tab w:val="right" w:pos="8958"/>
        </w:tabs>
        <w:spacing w:after="120"/>
        <w:ind w:right="-42" w:firstLine="720"/>
        <w:jc w:val="both"/>
        <w:rPr>
          <w:rFonts w:ascii="Cambria" w:hAnsi="Cambria"/>
          <w:sz w:val="22"/>
          <w:szCs w:val="22"/>
          <w:lang w:val="sk-SK"/>
        </w:rPr>
      </w:pPr>
    </w:p>
    <w:sectPr w:rsidR="006C2A8B" w:rsidRPr="00305EFA" w:rsidSect="006C105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B24D" w14:textId="77777777" w:rsidR="00E94E3A" w:rsidRDefault="00E94E3A" w:rsidP="00E94E3A">
      <w:r>
        <w:separator/>
      </w:r>
    </w:p>
  </w:endnote>
  <w:endnote w:type="continuationSeparator" w:id="0">
    <w:p w14:paraId="73A05D16" w14:textId="77777777" w:rsidR="00E94E3A" w:rsidRDefault="00E94E3A" w:rsidP="00E9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89884" w14:textId="17DD54C0" w:rsidR="00E94E3A" w:rsidRDefault="00E94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4F18C7">
          <w:rPr>
            <w:noProof/>
          </w:rPr>
          <w:fldChar w:fldCharType="begin"/>
        </w:r>
        <w:r w:rsidR="004F18C7">
          <w:rPr>
            <w:noProof/>
          </w:rPr>
          <w:instrText xml:space="preserve"> NUMPAGES  \* Arabic  \* MERGEFORMAT </w:instrText>
        </w:r>
        <w:r w:rsidR="004F18C7">
          <w:rPr>
            <w:noProof/>
          </w:rPr>
          <w:fldChar w:fldCharType="separate"/>
        </w:r>
        <w:r w:rsidR="004F18C7">
          <w:rPr>
            <w:noProof/>
          </w:rPr>
          <w:t>1</w:t>
        </w:r>
        <w:r w:rsidR="004F18C7">
          <w:rPr>
            <w:noProof/>
          </w:rPr>
          <w:fldChar w:fldCharType="end"/>
        </w:r>
      </w:p>
    </w:sdtContent>
  </w:sdt>
  <w:p w14:paraId="7A8E70CE" w14:textId="77777777" w:rsidR="00E94E3A" w:rsidRDefault="00E94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2EDB" w14:textId="77777777" w:rsidR="00E94E3A" w:rsidRDefault="00E94E3A" w:rsidP="00E94E3A">
      <w:r>
        <w:separator/>
      </w:r>
    </w:p>
  </w:footnote>
  <w:footnote w:type="continuationSeparator" w:id="0">
    <w:p w14:paraId="44C25F75" w14:textId="77777777" w:rsidR="00E94E3A" w:rsidRDefault="00E94E3A" w:rsidP="00E9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A6"/>
    <w:rsid w:val="00002F51"/>
    <w:rsid w:val="000371ED"/>
    <w:rsid w:val="0009486C"/>
    <w:rsid w:val="000A09D6"/>
    <w:rsid w:val="000E73BA"/>
    <w:rsid w:val="00135B99"/>
    <w:rsid w:val="00153B43"/>
    <w:rsid w:val="001D5BA2"/>
    <w:rsid w:val="001E7E28"/>
    <w:rsid w:val="00210C2D"/>
    <w:rsid w:val="00240614"/>
    <w:rsid w:val="002943D5"/>
    <w:rsid w:val="002D11A6"/>
    <w:rsid w:val="00305EFA"/>
    <w:rsid w:val="00317B4F"/>
    <w:rsid w:val="00345B75"/>
    <w:rsid w:val="00345C57"/>
    <w:rsid w:val="00384192"/>
    <w:rsid w:val="00392C0A"/>
    <w:rsid w:val="00394F1F"/>
    <w:rsid w:val="003C2FDF"/>
    <w:rsid w:val="0047031D"/>
    <w:rsid w:val="004833E3"/>
    <w:rsid w:val="00491E7C"/>
    <w:rsid w:val="004B7CE4"/>
    <w:rsid w:val="004D5DDD"/>
    <w:rsid w:val="004F18C7"/>
    <w:rsid w:val="00505DEE"/>
    <w:rsid w:val="00516EEA"/>
    <w:rsid w:val="00522E3C"/>
    <w:rsid w:val="00533F97"/>
    <w:rsid w:val="00556429"/>
    <w:rsid w:val="00565426"/>
    <w:rsid w:val="00565520"/>
    <w:rsid w:val="00571795"/>
    <w:rsid w:val="005F6137"/>
    <w:rsid w:val="00604D7E"/>
    <w:rsid w:val="00634101"/>
    <w:rsid w:val="006527DB"/>
    <w:rsid w:val="006715F4"/>
    <w:rsid w:val="006836C3"/>
    <w:rsid w:val="006B3328"/>
    <w:rsid w:val="006C105D"/>
    <w:rsid w:val="006C2A8B"/>
    <w:rsid w:val="006D708B"/>
    <w:rsid w:val="007779FC"/>
    <w:rsid w:val="007C11CF"/>
    <w:rsid w:val="008055B5"/>
    <w:rsid w:val="00836AC8"/>
    <w:rsid w:val="0084291B"/>
    <w:rsid w:val="008563A1"/>
    <w:rsid w:val="00866F7C"/>
    <w:rsid w:val="008B6111"/>
    <w:rsid w:val="008D1AB9"/>
    <w:rsid w:val="008F322A"/>
    <w:rsid w:val="00967AFB"/>
    <w:rsid w:val="0098033E"/>
    <w:rsid w:val="009A69AE"/>
    <w:rsid w:val="009B4B0F"/>
    <w:rsid w:val="00A039DF"/>
    <w:rsid w:val="00A04579"/>
    <w:rsid w:val="00A07260"/>
    <w:rsid w:val="00A34032"/>
    <w:rsid w:val="00A42C91"/>
    <w:rsid w:val="00AA5735"/>
    <w:rsid w:val="00AB1659"/>
    <w:rsid w:val="00AF1010"/>
    <w:rsid w:val="00B07737"/>
    <w:rsid w:val="00B41E97"/>
    <w:rsid w:val="00B50A7D"/>
    <w:rsid w:val="00B53766"/>
    <w:rsid w:val="00B92895"/>
    <w:rsid w:val="00BF49B3"/>
    <w:rsid w:val="00BF7751"/>
    <w:rsid w:val="00C117E5"/>
    <w:rsid w:val="00C522F0"/>
    <w:rsid w:val="00C554B7"/>
    <w:rsid w:val="00C726C5"/>
    <w:rsid w:val="00C77CAA"/>
    <w:rsid w:val="00C833FC"/>
    <w:rsid w:val="00D12EEA"/>
    <w:rsid w:val="00D81BB7"/>
    <w:rsid w:val="00D8385B"/>
    <w:rsid w:val="00DB57EC"/>
    <w:rsid w:val="00DD4281"/>
    <w:rsid w:val="00DD7149"/>
    <w:rsid w:val="00E3200B"/>
    <w:rsid w:val="00E36E14"/>
    <w:rsid w:val="00E43567"/>
    <w:rsid w:val="00E51A7E"/>
    <w:rsid w:val="00E52954"/>
    <w:rsid w:val="00E94E3A"/>
    <w:rsid w:val="00E97B58"/>
    <w:rsid w:val="00ED79B4"/>
    <w:rsid w:val="00F065A1"/>
    <w:rsid w:val="00F53712"/>
    <w:rsid w:val="00F65282"/>
    <w:rsid w:val="00FC7587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2A6"/>
  <w15:chartTrackingRefBased/>
  <w15:docId w15:val="{E440C541-29D4-4708-BD58-B05978E5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53B43"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3B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53B43"/>
    <w:pPr>
      <w:ind w:right="903"/>
    </w:pPr>
  </w:style>
  <w:style w:type="character" w:customStyle="1" w:styleId="BodyTextChar">
    <w:name w:val="Body Text Char"/>
    <w:link w:val="BodyText"/>
    <w:rsid w:val="00153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53B43"/>
    <w:pPr>
      <w:jc w:val="center"/>
    </w:pPr>
    <w:rPr>
      <w:b/>
      <w:bCs/>
      <w:lang w:val="sk-SK" w:eastAsia="sk-SK"/>
    </w:rPr>
  </w:style>
  <w:style w:type="character" w:customStyle="1" w:styleId="TitleChar">
    <w:name w:val="Title Char"/>
    <w:link w:val="Title"/>
    <w:rsid w:val="00153B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2EEA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4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E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4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E3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4F4F-A0C4-47B2-AFA4-BB22FD21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Madelova</dc:creator>
  <cp:keywords/>
  <dc:description/>
  <cp:lastModifiedBy>Jurča Pavol</cp:lastModifiedBy>
  <cp:revision>20</cp:revision>
  <cp:lastPrinted>2024-06-14T11:17:00Z</cp:lastPrinted>
  <dcterms:created xsi:type="dcterms:W3CDTF">2022-11-25T06:32:00Z</dcterms:created>
  <dcterms:modified xsi:type="dcterms:W3CDTF">2024-11-28T13:41:00Z</dcterms:modified>
</cp:coreProperties>
</file>