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360737AF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End w:id="1"/>
      <w:bookmarkEnd w:id="2"/>
      <w:bookmarkEnd w:id="3"/>
      <w:r w:rsidR="00F20E0B" w:rsidRPr="00F20E0B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mení a dopĺňa zákon Národnej rady Slovenskej republiky č. 350/1996 Z. z. o rokovacom poriadku Národnej rady Slovenskej republiky v znení neskorších predpisov a ktorým sa menia a dopĺňajú niektoré zákony </w:t>
      </w:r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4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4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bookmarkEnd w:id="0"/>
    <w:p w14:paraId="26E7E638" w14:textId="7BC7D851" w:rsidR="00F20E0B" w:rsidRPr="00F20E0B" w:rsidRDefault="00F20E0B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F20E0B">
        <w:rPr>
          <w:rFonts w:ascii="Book Antiqua" w:hAnsi="Book Antiqua"/>
        </w:rPr>
        <w:t xml:space="preserve">Od vzniku samostatnej Slovenskej republiky je verejným tajomstvom, že mnohí najvyšší ústavní činitelia často vykonávajú svoj mandát pod vplyvom alkoholu. Verejné vystúpenia predsedu vlády </w:t>
      </w:r>
      <w:r w:rsidR="0097235D">
        <w:rPr>
          <w:rFonts w:ascii="Book Antiqua" w:hAnsi="Book Antiqua"/>
        </w:rPr>
        <w:t xml:space="preserve">SR </w:t>
      </w:r>
      <w:r w:rsidRPr="00F20E0B">
        <w:rPr>
          <w:rFonts w:ascii="Book Antiqua" w:hAnsi="Book Antiqua"/>
        </w:rPr>
        <w:t xml:space="preserve">či podpredsedu parlamentu v posledných dňoch a týždňoch sú toho jasným príkladom. </w:t>
      </w:r>
    </w:p>
    <w:p w14:paraId="706BA093" w14:textId="1BA791AF" w:rsidR="00F20E0B" w:rsidRPr="0097235D" w:rsidRDefault="00F20E0B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  <w:b/>
        </w:rPr>
      </w:pPr>
      <w:r w:rsidRPr="00F20E0B">
        <w:rPr>
          <w:rFonts w:ascii="Book Antiqua" w:hAnsi="Book Antiqua"/>
        </w:rPr>
        <w:t>Je zarážajúce, že takmer na všetkých pracoviskách, vrátane štátnych úradov a inštitúcií, sú zamestnanci na príkaz poverenej osoby povinní vykonať dychovú skúšku na prítomnosť alkoholu, pričom v najvyššej zákonodarnej</w:t>
      </w:r>
      <w:r>
        <w:rPr>
          <w:rFonts w:ascii="Book Antiqua" w:hAnsi="Book Antiqua"/>
        </w:rPr>
        <w:t xml:space="preserve"> a ústavodarnej</w:t>
      </w:r>
      <w:r w:rsidRPr="00F20E0B">
        <w:rPr>
          <w:rFonts w:ascii="Book Antiqua" w:hAnsi="Book Antiqua"/>
        </w:rPr>
        <w:t xml:space="preserve"> inštitúcii, ktorou je Národná rada Slovenskej republiky, môžu poslanci </w:t>
      </w:r>
      <w:r>
        <w:rPr>
          <w:rFonts w:ascii="Book Antiqua" w:hAnsi="Book Antiqua"/>
        </w:rPr>
        <w:t xml:space="preserve">a ďalšie osoby, ktoré sa zúčastňujú jej schôdzí, </w:t>
      </w:r>
      <w:r w:rsidRPr="00F20E0B">
        <w:rPr>
          <w:rFonts w:ascii="Book Antiqua" w:hAnsi="Book Antiqua"/>
        </w:rPr>
        <w:t>platení z daní občanov</w:t>
      </w:r>
      <w:r w:rsidR="0097235D">
        <w:rPr>
          <w:rFonts w:ascii="Book Antiqua" w:hAnsi="Book Antiqua"/>
        </w:rPr>
        <w:t>,</w:t>
      </w:r>
      <w:r w:rsidRPr="00F20E0B">
        <w:rPr>
          <w:rFonts w:ascii="Book Antiqua" w:hAnsi="Book Antiqua"/>
        </w:rPr>
        <w:t xml:space="preserve"> požívať alkohol v neobmedzenom množstve. </w:t>
      </w:r>
      <w:r w:rsidRPr="0097235D">
        <w:rPr>
          <w:rFonts w:ascii="Book Antiqua" w:hAnsi="Book Antiqua"/>
          <w:b/>
        </w:rPr>
        <w:t>Poslanci Národnej rady Slovenskej republiky rozhodujú hlasovaním o zákonoch, ktoré ovplyvňujú životy všetkých ľudí na Slovensku, no napriek tomu v súčasnosti žiadny zákon takémuto poslancovi nebráni v tom, aby hlasoval pod vplyvom alkoholu.</w:t>
      </w:r>
    </w:p>
    <w:p w14:paraId="43F57224" w14:textId="106EA08F" w:rsidR="00F20E0B" w:rsidRPr="00F20E0B" w:rsidRDefault="00F20E0B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F20E0B">
        <w:rPr>
          <w:rFonts w:ascii="Book Antiqua" w:hAnsi="Book Antiqua"/>
        </w:rPr>
        <w:t>Podľa nášho názoru je neprípustné, aby sa ktorýkoľvek ústavný činiteľ, či už ide o pos</w:t>
      </w:r>
      <w:r w:rsidR="0097235D">
        <w:rPr>
          <w:rFonts w:ascii="Book Antiqua" w:hAnsi="Book Antiqua"/>
        </w:rPr>
        <w:t>lanca NR SR, člena vlády,</w:t>
      </w:r>
      <w:r w:rsidRPr="00F20E0B">
        <w:rPr>
          <w:rFonts w:ascii="Book Antiqua" w:hAnsi="Book Antiqua"/>
        </w:rPr>
        <w:t xml:space="preserve"> prezidenta SR</w:t>
      </w:r>
      <w:r w:rsidR="0097235D">
        <w:rPr>
          <w:rFonts w:ascii="Book Antiqua" w:hAnsi="Book Antiqua"/>
        </w:rPr>
        <w:t xml:space="preserve"> alebo</w:t>
      </w:r>
      <w:r>
        <w:rPr>
          <w:rFonts w:ascii="Book Antiqua" w:hAnsi="Book Antiqua"/>
        </w:rPr>
        <w:t> ďalších</w:t>
      </w:r>
      <w:r w:rsidRPr="00F20E0B">
        <w:rPr>
          <w:rFonts w:ascii="Book Antiqua" w:hAnsi="Book Antiqua"/>
        </w:rPr>
        <w:t>, zúčastňoval rokovania najvyššieho zákonodarného zboru, či dokonca rozhodoval hlasovaním o zákonoch platných na ú</w:t>
      </w:r>
      <w:r w:rsidR="0097235D">
        <w:rPr>
          <w:rFonts w:ascii="Book Antiqua" w:hAnsi="Book Antiqua"/>
        </w:rPr>
        <w:t xml:space="preserve">zemí celej Slovenskej republiky pod vplyvom alkoholu, či nebodaj iných návykových látok. </w:t>
      </w:r>
    </w:p>
    <w:p w14:paraId="45853541" w14:textId="0EE16BB6" w:rsidR="00F20E0B" w:rsidRDefault="0097235D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Užívanie alkoholu na pôde parlamentu</w:t>
      </w:r>
      <w:r w:rsidR="00F20E0B" w:rsidRPr="00F20E0B">
        <w:rPr>
          <w:rFonts w:ascii="Book Antiqua" w:hAnsi="Book Antiqua"/>
        </w:rPr>
        <w:t xml:space="preserve"> má aj ďalší rozmer, ktorým je negatívny morálny dopad na spoločnosť, ktorá dennodenne sleduje verejné vystúpenia politikov. Zamestnanci v slovenských firmách, verejnej či štátnej správe si nemôžu dovoliť užívať alkohol počas pracovnej doby. V hnutí SLOVENSKO sme toho názoru, že rovnaký meter by mal platiť aj pre ústavných činiteľov. </w:t>
      </w:r>
    </w:p>
    <w:p w14:paraId="78EDDA63" w14:textId="6A076AD2" w:rsidR="0097235D" w:rsidRPr="0097235D" w:rsidRDefault="0097235D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základe vyššie uvedených skutočností </w:t>
      </w:r>
      <w:r w:rsidRPr="0097235D">
        <w:rPr>
          <w:rFonts w:ascii="Book Antiqua" w:hAnsi="Book Antiqua"/>
          <w:b/>
        </w:rPr>
        <w:t>predkladáme novelu</w:t>
      </w:r>
      <w:r w:rsidR="00C371DA">
        <w:rPr>
          <w:rFonts w:ascii="Book Antiqua" w:hAnsi="Book Antiqua"/>
          <w:b/>
        </w:rPr>
        <w:t xml:space="preserve"> </w:t>
      </w:r>
      <w:r w:rsidR="00C371DA" w:rsidRPr="00C371DA">
        <w:rPr>
          <w:rFonts w:ascii="Book Antiqua" w:hAnsi="Book Antiqua"/>
        </w:rPr>
        <w:t xml:space="preserve">zákona </w:t>
      </w:r>
      <w:r w:rsidR="00C371DA">
        <w:rPr>
          <w:rFonts w:ascii="Book Antiqua" w:hAnsi="Book Antiqua"/>
        </w:rPr>
        <w:t xml:space="preserve">Národnej rady Slovenskej republiky </w:t>
      </w:r>
      <w:r w:rsidR="00C371DA" w:rsidRPr="00C371DA">
        <w:rPr>
          <w:rFonts w:ascii="Book Antiqua" w:hAnsi="Book Antiqua"/>
        </w:rPr>
        <w:t>č. 350/1996 Z. z. o</w:t>
      </w:r>
      <w:r w:rsidRPr="00C371DA">
        <w:rPr>
          <w:rFonts w:ascii="Book Antiqua" w:hAnsi="Book Antiqua"/>
        </w:rPr>
        <w:t xml:space="preserve"> rokovac</w:t>
      </w:r>
      <w:r w:rsidR="00C371DA" w:rsidRPr="00C371DA">
        <w:rPr>
          <w:rFonts w:ascii="Book Antiqua" w:hAnsi="Book Antiqua"/>
        </w:rPr>
        <w:t>om</w:t>
      </w:r>
      <w:r w:rsidRPr="00C371DA">
        <w:rPr>
          <w:rFonts w:ascii="Book Antiqua" w:hAnsi="Book Antiqua"/>
        </w:rPr>
        <w:t xml:space="preserve"> poriadku Národnej rady S</w:t>
      </w:r>
      <w:r w:rsidR="00C371DA" w:rsidRPr="00C371DA">
        <w:rPr>
          <w:rFonts w:ascii="Book Antiqua" w:hAnsi="Book Antiqua"/>
        </w:rPr>
        <w:t>lovenskej republiky v znení neskorších predpisov (ďalej len</w:t>
      </w:r>
      <w:r w:rsidR="00C371DA">
        <w:rPr>
          <w:rFonts w:ascii="Book Antiqua" w:hAnsi="Book Antiqua"/>
          <w:b/>
        </w:rPr>
        <w:t xml:space="preserve"> „rokovací poriadok“),</w:t>
      </w:r>
      <w:r w:rsidRPr="0097235D">
        <w:rPr>
          <w:rFonts w:ascii="Book Antiqua" w:hAnsi="Book Antiqua"/>
          <w:b/>
        </w:rPr>
        <w:t xml:space="preserve"> ktorou prijmeme účinný nástroj na zamedzenie účasti opitých ústavných činiteľov na schôdzach Národnej rady Slovenskej republiky a jej </w:t>
      </w:r>
      <w:r>
        <w:rPr>
          <w:rFonts w:ascii="Book Antiqua" w:hAnsi="Book Antiqua"/>
          <w:b/>
        </w:rPr>
        <w:t xml:space="preserve">výboroch pod sankciou straty 6 mesačných platov </w:t>
      </w:r>
      <w:r w:rsidRPr="0097235D">
        <w:rPr>
          <w:rFonts w:ascii="Book Antiqua" w:hAnsi="Book Antiqua"/>
        </w:rPr>
        <w:t>(vrátane paušálnych náhrad a funkčných príplatkov).</w:t>
      </w:r>
    </w:p>
    <w:p w14:paraId="08139216" w14:textId="422CA365" w:rsidR="000F1924" w:rsidRPr="000F1924" w:rsidRDefault="000F1924" w:rsidP="00F20E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má </w:t>
      </w:r>
      <w:r w:rsidR="00F20E0B">
        <w:rPr>
          <w:rFonts w:ascii="Book Antiqua" w:hAnsi="Book Antiqua"/>
        </w:rPr>
        <w:t>pozitív</w:t>
      </w:r>
      <w:r>
        <w:rPr>
          <w:rFonts w:ascii="Book Antiqua" w:hAnsi="Book Antiqua"/>
        </w:rPr>
        <w:t xml:space="preserve">ny </w:t>
      </w:r>
      <w:r w:rsidRPr="000F1924">
        <w:rPr>
          <w:rFonts w:ascii="Book Antiqua" w:hAnsi="Book Antiqua"/>
        </w:rPr>
        <w:t>vplyv na rozpočet verejnej správy a</w:t>
      </w:r>
      <w:r w:rsidR="00126C54">
        <w:rPr>
          <w:rFonts w:ascii="Book Antiqua" w:hAnsi="Book Antiqua"/>
        </w:rPr>
        <w:t xml:space="preserve"> </w:t>
      </w:r>
      <w:r w:rsidRPr="000F1924">
        <w:rPr>
          <w:rFonts w:ascii="Book Antiqua" w:hAnsi="Book Antiqua"/>
        </w:rPr>
        <w:t>pozitívne sociálne vplyvy. Návrh zákona nemá vplyv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na informatizáciu spoločnosti</w:t>
      </w:r>
      <w:r>
        <w:rPr>
          <w:rFonts w:ascii="Book Antiqua" w:hAnsi="Book Antiqua"/>
        </w:rPr>
        <w:t>, na manželstvo, rodičovstvo a</w:t>
      </w:r>
      <w:r w:rsidR="00F20E0B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F20E0B">
        <w:rPr>
          <w:rFonts w:ascii="Book Antiqua" w:hAnsi="Book Antiqua"/>
        </w:rPr>
        <w:t xml:space="preserve">, </w:t>
      </w:r>
      <w:r w:rsidR="00F20E0B" w:rsidRPr="000F1924">
        <w:rPr>
          <w:rFonts w:ascii="Book Antiqua" w:hAnsi="Book Antiqua"/>
        </w:rPr>
        <w:t>na podnikateľské prostredie</w:t>
      </w:r>
      <w:r>
        <w:rPr>
          <w:rFonts w:ascii="Book Antiqua" w:hAnsi="Book Antiqua"/>
        </w:rPr>
        <w:t xml:space="preserve"> a ani na služby verejnej správy pre občana</w:t>
      </w:r>
      <w:r w:rsidRPr="000F1924">
        <w:rPr>
          <w:rFonts w:ascii="Book Antiqua" w:hAnsi="Book Antiqua"/>
        </w:rPr>
        <w:t>.</w:t>
      </w:r>
    </w:p>
    <w:p w14:paraId="71D817C7" w14:textId="77777777" w:rsidR="000F1924" w:rsidRPr="000F1924" w:rsidRDefault="000F1924" w:rsidP="000F192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je v súlade s Ústavou Slovenskej republiky, ústavnými zákonmi a ostatnými všeobecne záväznými právnymi predpismi Slovenskej republiky, medzinárodnými </w:t>
      </w:r>
      <w:r w:rsidRPr="000F1924">
        <w:rPr>
          <w:rFonts w:ascii="Book Antiqua" w:hAnsi="Book Antiqua"/>
        </w:rPr>
        <w:lastRenderedPageBreak/>
        <w:t>zmluvami a inými medzinárodnými dokumentmi, ktorými je Slovenská republika viazaná, ako aj s právom Európskej únie.</w:t>
      </w:r>
    </w:p>
    <w:p w14:paraId="6DAA04CA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4B98CD84" w14:textId="77777777" w:rsidR="00D81B13" w:rsidRDefault="00D81B13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C56A8BD" w14:textId="77777777" w:rsidR="00293814" w:rsidRDefault="00293814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047665CC" w14:textId="44A5B0A1" w:rsidR="00FD3A84" w:rsidRPr="00FD3A84" w:rsidRDefault="00FD3A84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32EDD360" w14:textId="33933F2E" w:rsidR="002A6D03" w:rsidRDefault="000C544E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0C544E">
        <w:rPr>
          <w:rFonts w:ascii="Book Antiqua" w:eastAsia="Times New Roman" w:hAnsi="Book Antiqua" w:cs="Times New Roman"/>
          <w:color w:val="000000"/>
        </w:rPr>
        <w:t xml:space="preserve">Navrhuje sa </w:t>
      </w:r>
      <w:r w:rsidR="002A6D03">
        <w:rPr>
          <w:rFonts w:ascii="Book Antiqua" w:eastAsia="Times New Roman" w:hAnsi="Book Antiqua" w:cs="Times New Roman"/>
          <w:color w:val="000000"/>
        </w:rPr>
        <w:t>rozšíriť kompetenciu predsedajúceho, aby mohol vyzvať na zachovanie poriadku nielen poslanca, ale aj ďalšie osoby, k</w:t>
      </w:r>
      <w:r w:rsidR="0097235D">
        <w:rPr>
          <w:rFonts w:ascii="Book Antiqua" w:eastAsia="Times New Roman" w:hAnsi="Book Antiqua" w:cs="Times New Roman"/>
          <w:color w:val="000000"/>
        </w:rPr>
        <w:t>toré sa zúčastňujú schôdzí Národnej rady Slovenskej republiky</w:t>
      </w:r>
      <w:r w:rsidR="002A6D03">
        <w:rPr>
          <w:rFonts w:ascii="Book Antiqua" w:eastAsia="Times New Roman" w:hAnsi="Book Antiqua" w:cs="Times New Roman"/>
          <w:color w:val="000000"/>
        </w:rPr>
        <w:t xml:space="preserve"> (§ 20 ods. 1 a 2), keďže posledné týždne ukázali, že aj tieto osoby narúšajú poriadok v sále.</w:t>
      </w:r>
      <w:r w:rsidR="0097235D">
        <w:rPr>
          <w:rFonts w:ascii="Book Antiqua" w:eastAsia="Times New Roman" w:hAnsi="Book Antiqua" w:cs="Times New Roman"/>
          <w:color w:val="000000"/>
        </w:rPr>
        <w:t xml:space="preserve"> Ide o p</w:t>
      </w:r>
      <w:r w:rsidR="0097235D" w:rsidRPr="0097235D">
        <w:rPr>
          <w:rFonts w:ascii="Book Antiqua" w:eastAsia="Times New Roman" w:hAnsi="Book Antiqua" w:cs="Times New Roman"/>
          <w:color w:val="000000"/>
        </w:rPr>
        <w:t>rezident</w:t>
      </w:r>
      <w:r w:rsidR="0097235D">
        <w:rPr>
          <w:rFonts w:ascii="Book Antiqua" w:eastAsia="Times New Roman" w:hAnsi="Book Antiqua" w:cs="Times New Roman"/>
          <w:color w:val="000000"/>
        </w:rPr>
        <w:t>a republiky, predsedu vlády a ostatných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členov vlády, pr</w:t>
      </w:r>
      <w:r w:rsidR="0097235D">
        <w:rPr>
          <w:rFonts w:ascii="Book Antiqua" w:eastAsia="Times New Roman" w:hAnsi="Book Antiqua" w:cs="Times New Roman"/>
          <w:color w:val="000000"/>
        </w:rPr>
        <w:t>edsedu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Ústavného súdu Slovenskej republiky</w:t>
      </w:r>
      <w:r w:rsidR="0097235D">
        <w:rPr>
          <w:rFonts w:ascii="Book Antiqua" w:eastAsia="Times New Roman" w:hAnsi="Book Antiqua" w:cs="Times New Roman"/>
          <w:color w:val="000000"/>
        </w:rPr>
        <w:t>, predsedu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Najvyš</w:t>
      </w:r>
      <w:r w:rsidR="0097235D">
        <w:rPr>
          <w:rFonts w:ascii="Book Antiqua" w:eastAsia="Times New Roman" w:hAnsi="Book Antiqua" w:cs="Times New Roman"/>
          <w:color w:val="000000"/>
        </w:rPr>
        <w:t xml:space="preserve">šieho súdu Slovenskej republiky, </w:t>
      </w:r>
      <w:r w:rsidR="0097235D" w:rsidRPr="0097235D">
        <w:rPr>
          <w:rFonts w:ascii="Book Antiqua" w:eastAsia="Times New Roman" w:hAnsi="Book Antiqua" w:cs="Times New Roman"/>
          <w:color w:val="000000"/>
        </w:rPr>
        <w:t>predsed</w:t>
      </w:r>
      <w:r w:rsidR="0097235D">
        <w:rPr>
          <w:rFonts w:ascii="Book Antiqua" w:eastAsia="Times New Roman" w:hAnsi="Book Antiqua" w:cs="Times New Roman"/>
          <w:color w:val="000000"/>
        </w:rPr>
        <w:t>u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Najvyššieho správneho súdu Slovenskej republiky</w:t>
      </w:r>
      <w:r w:rsidR="0097235D">
        <w:rPr>
          <w:rFonts w:ascii="Book Antiqua" w:eastAsia="Times New Roman" w:hAnsi="Book Antiqua" w:cs="Times New Roman"/>
          <w:color w:val="000000"/>
        </w:rPr>
        <w:t>, predsedu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Najvyššieho kontrol</w:t>
      </w:r>
      <w:r w:rsidR="0097235D">
        <w:rPr>
          <w:rFonts w:ascii="Book Antiqua" w:eastAsia="Times New Roman" w:hAnsi="Book Antiqua" w:cs="Times New Roman"/>
          <w:color w:val="000000"/>
        </w:rPr>
        <w:t>ného úradu Slovenskej republiky, generálneho</w:t>
      </w:r>
      <w:r w:rsidR="0097235D" w:rsidRPr="0097235D">
        <w:rPr>
          <w:rFonts w:ascii="Book Antiqua" w:eastAsia="Times New Roman" w:hAnsi="Book Antiqua" w:cs="Times New Roman"/>
          <w:color w:val="000000"/>
        </w:rPr>
        <w:t xml:space="preserve"> prokurátor</w:t>
      </w:r>
      <w:r w:rsidR="0097235D">
        <w:rPr>
          <w:rFonts w:ascii="Book Antiqua" w:eastAsia="Times New Roman" w:hAnsi="Book Antiqua" w:cs="Times New Roman"/>
          <w:color w:val="000000"/>
        </w:rPr>
        <w:t>a a guvernéra Národnej banky Slovenska.</w:t>
      </w:r>
    </w:p>
    <w:p w14:paraId="12EC0447" w14:textId="368BECA2" w:rsidR="00D756C8" w:rsidRDefault="00D756C8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05B1BA83" w14:textId="26F0B30C" w:rsidR="00126C54" w:rsidRDefault="002A6D03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Navrhuje sa doplnenie ustanovenia, na základe ktorého bude možné vyzvať poslancov a ďalšie osoby zúčastňujúce sa na schôdzi NR SR (§ 20 ods. 1 a 2), aby sa podrobili vyšetreniu na zistenie prítomnosti alkoholu alebo iných návykových látok.</w:t>
      </w:r>
      <w:r w:rsidR="00AC68D6">
        <w:rPr>
          <w:rFonts w:ascii="Book Antiqua" w:eastAsia="Times New Roman" w:hAnsi="Book Antiqua" w:cs="Times New Roman"/>
          <w:color w:val="000000"/>
        </w:rPr>
        <w:t xml:space="preserve"> Vyšetreniu sa musí podrobiť bezodkladne, aby nenastala situácia, kedy by sa vyšetreniu podrobil napríklad až po 15 hodinách.</w:t>
      </w:r>
    </w:p>
    <w:p w14:paraId="4ED457ED" w14:textId="17E49EFD" w:rsidR="002A6D03" w:rsidRDefault="002A6D03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Vyzvať na podrobenie sa vyšetreniu môže predsedajúci z vlastného podnetu alebo na návrh aspoň jedného poslaneckého klubu.</w:t>
      </w:r>
    </w:p>
    <w:p w14:paraId="6BC7CC16" w14:textId="24BF7E35" w:rsidR="002A6D03" w:rsidRDefault="002A6D03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Ak sa osoba odmietne podrobiť vyšetreniu alebo vyšetrenie preukáže prítomnosť alkoholu alebo inej návykovej látky, </w:t>
      </w:r>
      <w:r w:rsidR="00E37FD8">
        <w:rPr>
          <w:rFonts w:ascii="Book Antiqua" w:eastAsia="Times New Roman" w:hAnsi="Book Antiqua" w:cs="Times New Roman"/>
          <w:color w:val="000000"/>
        </w:rPr>
        <w:t>je povinná opustiť rokovaciu sálu, inak ju predsedajúci vykáže</w:t>
      </w:r>
      <w:r>
        <w:rPr>
          <w:rFonts w:ascii="Book Antiqua" w:eastAsia="Times New Roman" w:hAnsi="Book Antiqua" w:cs="Times New Roman"/>
          <w:color w:val="000000"/>
        </w:rPr>
        <w:t xml:space="preserve">. Ak vykázaná osoba </w:t>
      </w:r>
      <w:r w:rsidR="00E37FD8">
        <w:rPr>
          <w:rFonts w:ascii="Book Antiqua" w:eastAsia="Times New Roman" w:hAnsi="Book Antiqua" w:cs="Times New Roman"/>
          <w:color w:val="000000"/>
        </w:rPr>
        <w:t>aj po opakovanej výzve odmietne opustiť rokovaciu sálu, predsedajúci môže dať vykázanú osobu vyviesť.</w:t>
      </w:r>
    </w:p>
    <w:p w14:paraId="4822A4FD" w14:textId="6E4775C7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Osobu možno vyzvať najviac dvakrát počas jedného rokovacieho dňa, aby sa zamedzilo šikane.</w:t>
      </w:r>
    </w:p>
    <w:p w14:paraId="4C6B205E" w14:textId="6B28E375" w:rsidR="00E37FD8" w:rsidRDefault="00E37FD8" w:rsidP="00E37FD8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3</w:t>
      </w:r>
    </w:p>
    <w:p w14:paraId="3FA80ADD" w14:textId="2C9730C6" w:rsidR="00E37FD8" w:rsidRDefault="00E37FD8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eastAsia="Times New Roman" w:hAnsi="Book Antiqua" w:cs="Times New Roman"/>
          <w:color w:val="000000"/>
        </w:rPr>
      </w:pPr>
      <w:r>
        <w:rPr>
          <w:rStyle w:val="awspan"/>
          <w:rFonts w:ascii="Book Antiqua" w:eastAsia="Times New Roman" w:hAnsi="Book Antiqua" w:cs="Times New Roman"/>
          <w:color w:val="000000"/>
        </w:rPr>
        <w:t>V súčasne platnom znení</w:t>
      </w:r>
      <w:r w:rsidR="00C371DA">
        <w:rPr>
          <w:rStyle w:val="awspan"/>
          <w:rFonts w:ascii="Book Antiqua" w:eastAsia="Times New Roman" w:hAnsi="Book Antiqua" w:cs="Times New Roman"/>
          <w:color w:val="000000"/>
        </w:rPr>
        <w:t xml:space="preserve"> rokovacieho poriadku</w:t>
      </w:r>
      <w:r>
        <w:rPr>
          <w:rStyle w:val="awspan"/>
          <w:rFonts w:ascii="Book Antiqua" w:eastAsia="Times New Roman" w:hAnsi="Book Antiqua" w:cs="Times New Roman"/>
          <w:color w:val="000000"/>
        </w:rPr>
        <w:t xml:space="preserve"> je zakázané vnášať do rokovacej sály jedlo. Navrhuje</w:t>
      </w:r>
      <w:r w:rsidR="00C371DA">
        <w:rPr>
          <w:rStyle w:val="awspan"/>
          <w:rFonts w:ascii="Book Antiqua" w:eastAsia="Times New Roman" w:hAnsi="Book Antiqua" w:cs="Times New Roman"/>
          <w:color w:val="000000"/>
        </w:rPr>
        <w:t xml:space="preserve"> sa</w:t>
      </w:r>
      <w:r>
        <w:rPr>
          <w:rStyle w:val="awspan"/>
          <w:rFonts w:ascii="Book Antiqua" w:eastAsia="Times New Roman" w:hAnsi="Book Antiqua" w:cs="Times New Roman"/>
          <w:color w:val="000000"/>
        </w:rPr>
        <w:t xml:space="preserve"> rozšíriť predmetné ustanovenie aj o</w:t>
      </w:r>
      <w:r w:rsidR="00C371DA">
        <w:rPr>
          <w:rStyle w:val="awspan"/>
          <w:rFonts w:ascii="Book Antiqua" w:eastAsia="Times New Roman" w:hAnsi="Book Antiqua" w:cs="Times New Roman"/>
          <w:color w:val="000000"/>
        </w:rPr>
        <w:t xml:space="preserve"> zákaz vnášať </w:t>
      </w:r>
      <w:r>
        <w:rPr>
          <w:rStyle w:val="awspan"/>
          <w:rFonts w:ascii="Book Antiqua" w:eastAsia="Times New Roman" w:hAnsi="Book Antiqua" w:cs="Times New Roman"/>
          <w:color w:val="000000"/>
        </w:rPr>
        <w:t>alkohol a iné návykové látky.</w:t>
      </w:r>
    </w:p>
    <w:p w14:paraId="467E4290" w14:textId="5F43432B" w:rsidR="003C66F7" w:rsidRDefault="003C66F7" w:rsidP="003C66F7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4</w:t>
      </w:r>
    </w:p>
    <w:p w14:paraId="49AB6DF4" w14:textId="5DE46015" w:rsidR="00E37FD8" w:rsidRDefault="003C66F7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eastAsia="Times New Roman" w:hAnsi="Book Antiqua" w:cs="Times New Roman"/>
          <w:color w:val="000000"/>
        </w:rPr>
      </w:pPr>
      <w:r>
        <w:rPr>
          <w:rStyle w:val="awspan"/>
          <w:rFonts w:ascii="Book Antiqua" w:eastAsia="Times New Roman" w:hAnsi="Book Antiqua" w:cs="Times New Roman"/>
          <w:color w:val="000000"/>
        </w:rPr>
        <w:t>Legislatívno-technická úprava.</w:t>
      </w:r>
    </w:p>
    <w:p w14:paraId="47C8F8C9" w14:textId="330315F6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5</w:t>
      </w:r>
    </w:p>
    <w:p w14:paraId="5CFB5242" w14:textId="79AE6045" w:rsidR="003C66F7" w:rsidRPr="00C371DA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C371DA">
        <w:rPr>
          <w:rFonts w:ascii="Book Antiqua" w:eastAsia="Times New Roman" w:hAnsi="Book Antiqua" w:cs="Times New Roman"/>
          <w:color w:val="000000"/>
        </w:rPr>
        <w:t>Legislatívno-technická úprava</w:t>
      </w:r>
      <w:r w:rsidR="00C371DA">
        <w:rPr>
          <w:rFonts w:ascii="Book Antiqua" w:eastAsia="Times New Roman" w:hAnsi="Book Antiqua" w:cs="Times New Roman"/>
          <w:color w:val="000000"/>
        </w:rPr>
        <w:t>.</w:t>
      </w:r>
    </w:p>
    <w:p w14:paraId="368C1DA4" w14:textId="0E3FF7F9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6</w:t>
      </w:r>
    </w:p>
    <w:p w14:paraId="1953A02A" w14:textId="489FFD79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Navrhuje sa, aby predsedajúci mohol vyzvať aj ďalšie osoby zúčastňujúce sa na rokovaní výboru, aby hovorili k veci, napr. členov vlády, štátnych tajomníkov atď., nielen poslancov.</w:t>
      </w:r>
    </w:p>
    <w:p w14:paraId="733A81D9" w14:textId="6D7D1462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7</w:t>
      </w:r>
    </w:p>
    <w:p w14:paraId="48F6B122" w14:textId="33FC87D3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lastRenderedPageBreak/>
        <w:t>Obdobne sa navrhuje, aby predsedajúci mohol vyzvať na zachovanie poriadku aj ďalšie osoby, nielen poslanca.</w:t>
      </w:r>
    </w:p>
    <w:p w14:paraId="4FB5B2DA" w14:textId="41733BC1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8</w:t>
      </w:r>
    </w:p>
    <w:p w14:paraId="263FD65A" w14:textId="318C22FF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Obdobný postup ako počas schôdze NR SR sa navrhuje aj počas schôdze výborov</w:t>
      </w:r>
      <w:r w:rsidR="00C371DA">
        <w:rPr>
          <w:rFonts w:ascii="Book Antiqua" w:eastAsia="Times New Roman" w:hAnsi="Book Antiqua" w:cs="Times New Roman"/>
          <w:color w:val="000000"/>
        </w:rPr>
        <w:t xml:space="preserve"> NR SR</w:t>
      </w:r>
      <w:r>
        <w:rPr>
          <w:rFonts w:ascii="Book Antiqua" w:eastAsia="Times New Roman" w:hAnsi="Book Antiqua" w:cs="Times New Roman"/>
          <w:color w:val="000000"/>
        </w:rPr>
        <w:t>.</w:t>
      </w:r>
    </w:p>
    <w:p w14:paraId="543341F8" w14:textId="519DF0D7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Predsedajúci z vlastného podnetu alebo na návrh najmenej pätiny členov výboru vyzve poslanca alebo </w:t>
      </w:r>
      <w:r w:rsidR="00C371DA">
        <w:rPr>
          <w:rFonts w:ascii="Book Antiqua" w:eastAsia="Times New Roman" w:hAnsi="Book Antiqua" w:cs="Times New Roman"/>
          <w:color w:val="000000"/>
        </w:rPr>
        <w:t>inú</w:t>
      </w:r>
      <w:r>
        <w:rPr>
          <w:rFonts w:ascii="Book Antiqua" w:eastAsia="Times New Roman" w:hAnsi="Book Antiqua" w:cs="Times New Roman"/>
          <w:color w:val="000000"/>
        </w:rPr>
        <w:t xml:space="preserve"> osobu zúčastňujúcu sa schôdze výboru, aby sa podrobila vyšetreniu na zistenie prítomnosti alkoholu alebo iných návykových látok.</w:t>
      </w:r>
      <w:r w:rsidR="00AC68D6">
        <w:rPr>
          <w:rFonts w:ascii="Book Antiqua" w:eastAsia="Times New Roman" w:hAnsi="Book Antiqua" w:cs="Times New Roman"/>
          <w:color w:val="000000"/>
        </w:rPr>
        <w:t xml:space="preserve"> Vyšetreniu sa musí podrobiť bezodkladne, aby nenastala situácia, kedy by sa vyšetreniu podrobil napríklad až po 15 hodinách.</w:t>
      </w:r>
    </w:p>
    <w:p w14:paraId="1B1CBC76" w14:textId="2030852A" w:rsidR="003C66F7" w:rsidRDefault="003C66F7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Ak sa osoba odmietne podrobiť vyšetreniu </w:t>
      </w:r>
      <w:bookmarkStart w:id="5" w:name="_Hlk184817848"/>
      <w:r>
        <w:rPr>
          <w:rFonts w:ascii="Book Antiqua" w:eastAsia="Times New Roman" w:hAnsi="Book Antiqua" w:cs="Times New Roman"/>
          <w:color w:val="000000"/>
        </w:rPr>
        <w:t>alebo vyšetrenie preukáže prítomnosť alkoholu alebo inej návykovej látky</w:t>
      </w:r>
      <w:bookmarkEnd w:id="5"/>
      <w:r>
        <w:rPr>
          <w:rFonts w:ascii="Book Antiqua" w:eastAsia="Times New Roman" w:hAnsi="Book Antiqua" w:cs="Times New Roman"/>
          <w:color w:val="000000"/>
        </w:rPr>
        <w:t xml:space="preserve">, táto osoba je povinná </w:t>
      </w:r>
      <w:r w:rsidR="00FE1E56">
        <w:rPr>
          <w:rFonts w:ascii="Book Antiqua" w:eastAsia="Times New Roman" w:hAnsi="Book Antiqua" w:cs="Times New Roman"/>
          <w:color w:val="000000"/>
        </w:rPr>
        <w:t>opustiť rokovaciu miestnosť, inak ju predsedajúci vykáže.</w:t>
      </w:r>
    </w:p>
    <w:p w14:paraId="66F1B4FA" w14:textId="77777777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9</w:t>
      </w:r>
    </w:p>
    <w:p w14:paraId="0A783536" w14:textId="3DF24686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Navrhuje sa doplniť zákaz vnášať do rokovacej miestnosti </w:t>
      </w:r>
      <w:r w:rsidR="00C371DA">
        <w:rPr>
          <w:rFonts w:ascii="Book Antiqua" w:eastAsia="Times New Roman" w:hAnsi="Book Antiqua" w:cs="Times New Roman"/>
          <w:color w:val="000000"/>
        </w:rPr>
        <w:t xml:space="preserve">výboru </w:t>
      </w:r>
      <w:r>
        <w:rPr>
          <w:rFonts w:ascii="Book Antiqua" w:eastAsia="Times New Roman" w:hAnsi="Book Antiqua" w:cs="Times New Roman"/>
          <w:color w:val="000000"/>
        </w:rPr>
        <w:t>alkoholické nápoje a iné návykové látky.</w:t>
      </w:r>
    </w:p>
    <w:p w14:paraId="1925BF97" w14:textId="1FBBE361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bodom 10 až 13</w:t>
      </w:r>
    </w:p>
    <w:p w14:paraId="7EA3B30B" w14:textId="6BB59DDB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Legislatívno-technické zmeny.</w:t>
      </w:r>
    </w:p>
    <w:p w14:paraId="0F7ED1CD" w14:textId="3C7DFEDD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14</w:t>
      </w:r>
    </w:p>
    <w:p w14:paraId="54155724" w14:textId="105AA09E" w:rsidR="00FE1E56" w:rsidRDefault="00FE1E5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Sankciou, ak sa ústavný činiteľ odmietne podrobiť vyšetreniu na </w:t>
      </w:r>
      <w:r w:rsidRPr="00FE1E56">
        <w:rPr>
          <w:rFonts w:ascii="Book Antiqua" w:eastAsia="Times New Roman" w:hAnsi="Book Antiqua" w:cs="Times New Roman"/>
          <w:color w:val="000000"/>
        </w:rPr>
        <w:t>zistenie prítomnosti alkoholu alebo iných návykových látok</w:t>
      </w:r>
      <w:r w:rsidRPr="00FE1E56">
        <w:t xml:space="preserve"> </w:t>
      </w:r>
      <w:r w:rsidRPr="00FE1E56">
        <w:rPr>
          <w:rFonts w:ascii="Book Antiqua" w:eastAsia="Times New Roman" w:hAnsi="Book Antiqua" w:cs="Times New Roman"/>
          <w:color w:val="000000"/>
        </w:rPr>
        <w:t xml:space="preserve">alebo </w:t>
      </w:r>
      <w:r>
        <w:rPr>
          <w:rFonts w:ascii="Book Antiqua" w:eastAsia="Times New Roman" w:hAnsi="Book Antiqua" w:cs="Times New Roman"/>
          <w:color w:val="000000"/>
        </w:rPr>
        <w:t xml:space="preserve">ak </w:t>
      </w:r>
      <w:r w:rsidRPr="00FE1E56">
        <w:rPr>
          <w:rFonts w:ascii="Book Antiqua" w:eastAsia="Times New Roman" w:hAnsi="Book Antiqua" w:cs="Times New Roman"/>
          <w:color w:val="000000"/>
        </w:rPr>
        <w:t>vyšetrenie preukáže prítomnosť alkoholu alebo inej návykovej látky</w:t>
      </w:r>
      <w:r w:rsidR="00C371DA">
        <w:rPr>
          <w:rFonts w:ascii="Book Antiqua" w:eastAsia="Times New Roman" w:hAnsi="Book Antiqua" w:cs="Times New Roman"/>
          <w:color w:val="000000"/>
        </w:rPr>
        <w:t>,</w:t>
      </w:r>
      <w:r>
        <w:rPr>
          <w:rFonts w:ascii="Book Antiqua" w:eastAsia="Times New Roman" w:hAnsi="Book Antiqua" w:cs="Times New Roman"/>
          <w:color w:val="000000"/>
        </w:rPr>
        <w:t xml:space="preserve"> je strata </w:t>
      </w:r>
      <w:bookmarkStart w:id="6" w:name="_Hlk184818734"/>
      <w:r w:rsidR="00886970" w:rsidRPr="00886970">
        <w:rPr>
          <w:rFonts w:ascii="Book Antiqua" w:eastAsia="Times New Roman" w:hAnsi="Book Antiqua" w:cs="Times New Roman"/>
          <w:color w:val="000000"/>
        </w:rPr>
        <w:t>nárok</w:t>
      </w:r>
      <w:r w:rsidR="00886970">
        <w:rPr>
          <w:rFonts w:ascii="Book Antiqua" w:eastAsia="Times New Roman" w:hAnsi="Book Antiqua" w:cs="Times New Roman"/>
          <w:color w:val="000000"/>
        </w:rPr>
        <w:t>u</w:t>
      </w:r>
      <w:r w:rsidR="00886970" w:rsidRPr="00886970">
        <w:rPr>
          <w:rFonts w:ascii="Book Antiqua" w:eastAsia="Times New Roman" w:hAnsi="Book Antiqua" w:cs="Times New Roman"/>
          <w:color w:val="000000"/>
        </w:rPr>
        <w:t xml:space="preserve"> na šesť platov, funkčných príplatkov a paušálnych náhrad</w:t>
      </w:r>
      <w:r w:rsidR="00886970">
        <w:rPr>
          <w:rFonts w:ascii="Book Antiqua" w:eastAsia="Times New Roman" w:hAnsi="Book Antiqua" w:cs="Times New Roman"/>
          <w:color w:val="000000"/>
        </w:rPr>
        <w:t xml:space="preserve">. </w:t>
      </w:r>
      <w:bookmarkEnd w:id="6"/>
      <w:r w:rsidR="00886970">
        <w:rPr>
          <w:rFonts w:ascii="Book Antiqua" w:eastAsia="Times New Roman" w:hAnsi="Book Antiqua" w:cs="Times New Roman"/>
          <w:color w:val="000000"/>
        </w:rPr>
        <w:t>Aby mohla byť predmetná sankcia vykonaná, je potrebné oznámiť túto skutočnosť príslušnému orgánu.</w:t>
      </w:r>
    </w:p>
    <w:p w14:paraId="2A37AB47" w14:textId="3B962C16" w:rsid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>
        <w:rPr>
          <w:rFonts w:ascii="Book Antiqua" w:eastAsia="Times New Roman" w:hAnsi="Book Antiqua" w:cs="Times New Roman"/>
          <w:color w:val="000000"/>
          <w:u w:val="single"/>
        </w:rPr>
        <w:t>K bodu 15</w:t>
      </w:r>
    </w:p>
    <w:p w14:paraId="4F01302A" w14:textId="296D4E34" w:rsidR="00AC68D6" w:rsidRP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Legislatívno-technická úprava súvisiaca s oprávnením vyviesť nielen poslanca</w:t>
      </w:r>
      <w:r w:rsidR="00C371DA">
        <w:rPr>
          <w:rFonts w:ascii="Book Antiqua" w:eastAsia="Times New Roman" w:hAnsi="Book Antiqua" w:cs="Times New Roman"/>
          <w:color w:val="000000"/>
        </w:rPr>
        <w:t>,</w:t>
      </w:r>
      <w:r>
        <w:rPr>
          <w:rFonts w:ascii="Book Antiqua" w:eastAsia="Times New Roman" w:hAnsi="Book Antiqua" w:cs="Times New Roman"/>
          <w:color w:val="000000"/>
        </w:rPr>
        <w:t xml:space="preserve"> ale aj ďalších činiteľov.</w:t>
      </w:r>
    </w:p>
    <w:p w14:paraId="416CCF1A" w14:textId="77777777" w:rsidR="00C371DA" w:rsidRDefault="00C371DA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2A3FBE0" w14:textId="298A8068" w:rsidR="00AC68D6" w:rsidRDefault="00AC68D6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2CD9DB7A" w14:textId="43F53A96" w:rsidR="00AC68D6" w:rsidRPr="00AC68D6" w:rsidRDefault="00AC68D6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 xml:space="preserve">Navrhuje sa sankcia pre ústavného činiteľa, ktorý sa na výzvu predsedajúceho na schôdzi NR SR alebo výboru NR SR </w:t>
      </w:r>
      <w:r>
        <w:rPr>
          <w:rFonts w:ascii="Book Antiqua" w:eastAsia="Times New Roman" w:hAnsi="Book Antiqua" w:cs="Times New Roman"/>
          <w:color w:val="000000"/>
        </w:rPr>
        <w:t xml:space="preserve">odmietne podrobiť vyšetreniu na </w:t>
      </w:r>
      <w:r w:rsidRPr="00FE1E56">
        <w:rPr>
          <w:rFonts w:ascii="Book Antiqua" w:eastAsia="Times New Roman" w:hAnsi="Book Antiqua" w:cs="Times New Roman"/>
          <w:color w:val="000000"/>
        </w:rPr>
        <w:t>zistenie prítomnosti alkoholu alebo iných návykových látok</w:t>
      </w:r>
      <w:r w:rsidRPr="00FE1E56">
        <w:t xml:space="preserve"> </w:t>
      </w:r>
      <w:r w:rsidRPr="00FE1E56">
        <w:rPr>
          <w:rFonts w:ascii="Book Antiqua" w:eastAsia="Times New Roman" w:hAnsi="Book Antiqua" w:cs="Times New Roman"/>
          <w:color w:val="000000"/>
        </w:rPr>
        <w:t xml:space="preserve">alebo </w:t>
      </w:r>
      <w:r>
        <w:rPr>
          <w:rFonts w:ascii="Book Antiqua" w:eastAsia="Times New Roman" w:hAnsi="Book Antiqua" w:cs="Times New Roman"/>
          <w:color w:val="000000"/>
        </w:rPr>
        <w:t xml:space="preserve">ak </w:t>
      </w:r>
      <w:r w:rsidRPr="00FE1E56">
        <w:rPr>
          <w:rFonts w:ascii="Book Antiqua" w:eastAsia="Times New Roman" w:hAnsi="Book Antiqua" w:cs="Times New Roman"/>
          <w:color w:val="000000"/>
        </w:rPr>
        <w:t>vyšetrenie preukáže prítomnosť alkoholu alebo inej návykovej látky</w:t>
      </w:r>
      <w:r>
        <w:rPr>
          <w:rFonts w:ascii="Book Antiqua" w:eastAsia="Times New Roman" w:hAnsi="Book Antiqua" w:cs="Times New Roman"/>
          <w:color w:val="000000"/>
        </w:rPr>
        <w:t xml:space="preserve">, a to strata </w:t>
      </w:r>
      <w:r w:rsidRPr="00AC68D6">
        <w:rPr>
          <w:rFonts w:ascii="Book Antiqua" w:eastAsia="Times New Roman" w:hAnsi="Book Antiqua" w:cs="Times New Roman"/>
          <w:color w:val="000000"/>
        </w:rPr>
        <w:t>nároku na šesť platov, funkčných príplatkov a paušálnych náhrad.</w:t>
      </w:r>
    </w:p>
    <w:p w14:paraId="636617EA" w14:textId="77777777" w:rsidR="00C371DA" w:rsidRDefault="00C371DA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080282D7" w14:textId="23C1F87A" w:rsidR="00AC68D6" w:rsidRPr="00F5232F" w:rsidRDefault="00AC68D6" w:rsidP="00AC68D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III</w:t>
      </w:r>
    </w:p>
    <w:p w14:paraId="5951B57C" w14:textId="2AE48581" w:rsid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  <w:u w:val="single"/>
        </w:rPr>
      </w:pPr>
      <w:r>
        <w:rPr>
          <w:rStyle w:val="awspan"/>
          <w:rFonts w:ascii="Book Antiqua" w:hAnsi="Book Antiqua"/>
          <w:color w:val="000000"/>
          <w:u w:val="single"/>
        </w:rPr>
        <w:t>K bodu 1</w:t>
      </w:r>
    </w:p>
    <w:p w14:paraId="596703CA" w14:textId="3B7CCC84" w:rsid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 xml:space="preserve">Navrhuje sa doplniť oprávnenie príslušníka policajného zboru podrobiť vyšetreniu na prítomnosť alkoholu a iných návykových látok osoby zúčastňujúce sa schôdze NR SR </w:t>
      </w:r>
      <w:r>
        <w:rPr>
          <w:rStyle w:val="awspan"/>
          <w:rFonts w:ascii="Book Antiqua" w:hAnsi="Book Antiqua"/>
          <w:color w:val="000000"/>
        </w:rPr>
        <w:lastRenderedPageBreak/>
        <w:t>a výborov NR SR, ktoré k tomu vyzval predsedajúci</w:t>
      </w:r>
      <w:r w:rsidR="00C371DA">
        <w:rPr>
          <w:rStyle w:val="awspan"/>
          <w:rFonts w:ascii="Book Antiqua" w:hAnsi="Book Antiqua"/>
          <w:color w:val="000000"/>
        </w:rPr>
        <w:t>,</w:t>
      </w:r>
      <w:r>
        <w:rPr>
          <w:rStyle w:val="awspan"/>
          <w:rFonts w:ascii="Book Antiqua" w:hAnsi="Book Antiqua"/>
          <w:color w:val="000000"/>
        </w:rPr>
        <w:t xml:space="preserve"> a to len s ich súhlasom. Výsledok vyšetrenia oznámi príslušník policajného zboru predsedajúcemu bezodkladne.</w:t>
      </w:r>
    </w:p>
    <w:p w14:paraId="4268ED32" w14:textId="7A24F8EE" w:rsid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  <w:u w:val="single"/>
        </w:rPr>
      </w:pPr>
      <w:r>
        <w:rPr>
          <w:rStyle w:val="awspan"/>
          <w:rFonts w:ascii="Book Antiqua" w:hAnsi="Book Antiqua"/>
          <w:color w:val="000000"/>
          <w:u w:val="single"/>
        </w:rPr>
        <w:t>K bodu 2</w:t>
      </w:r>
    </w:p>
    <w:p w14:paraId="6D76F95D" w14:textId="6437309D" w:rsidR="00AC68D6" w:rsidRPr="00AC68D6" w:rsidRDefault="00AC68D6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>Legislatívno-technická úprava súvisiaca s oprávnením predsedajúceho dať vyviesť aj ďalších ústavných činiteľov.</w:t>
      </w:r>
    </w:p>
    <w:p w14:paraId="13A07A2D" w14:textId="77777777" w:rsidR="00C371DA" w:rsidRDefault="00C371DA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6D258F8E" w14:textId="2744C0AD" w:rsidR="00F5232F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</w:t>
      </w:r>
      <w:r w:rsidR="00AC68D6">
        <w:rPr>
          <w:rStyle w:val="awspan"/>
          <w:rFonts w:ascii="Book Antiqua" w:hAnsi="Book Antiqua"/>
          <w:b/>
          <w:bCs/>
          <w:color w:val="000000"/>
        </w:rPr>
        <w:t>V</w:t>
      </w:r>
    </w:p>
    <w:p w14:paraId="00000029" w14:textId="232921E4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AC68D6">
        <w:rPr>
          <w:rFonts w:ascii="Book Antiqua" w:eastAsia="Times New Roman" w:hAnsi="Book Antiqua" w:cs="Times New Roman"/>
        </w:rPr>
        <w:t>máj</w:t>
      </w:r>
      <w:r w:rsidR="00D81B13">
        <w:rPr>
          <w:rFonts w:ascii="Book Antiqua" w:eastAsia="Times New Roman" w:hAnsi="Book Antiqua" w:cs="Times New Roman"/>
        </w:rPr>
        <w:t>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77777777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C371DA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C371DA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0803A91C" w:rsidR="00F5232F" w:rsidRPr="005F0557" w:rsidRDefault="003B2158" w:rsidP="00C371DA">
      <w:pPr>
        <w:spacing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 xml:space="preserve">ávrh zákona, </w:t>
      </w:r>
      <w:r w:rsidR="0077388C" w:rsidRPr="0077388C">
        <w:rPr>
          <w:rFonts w:ascii="Book Antiqua" w:hAnsi="Book Antiqua"/>
          <w:color w:val="000000" w:themeColor="text1"/>
        </w:rPr>
        <w:t>ktorým sa mení a dopĺňa zákon Národnej rady Slovenskej republiky č. 350/1996 Z. z. o rokovacom poriadku Národnej rady Slovenskej republiky v znení neskorších predpisov a ktorým sa menia a dopĺňajú niektoré zákony</w:t>
      </w:r>
    </w:p>
    <w:p w14:paraId="0F49D5A9" w14:textId="77777777" w:rsidR="0077388C" w:rsidRPr="0077388C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7388C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1E9664BA" w14:textId="77777777" w:rsidR="0077388C" w:rsidRPr="00C371DA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C371DA">
        <w:rPr>
          <w:rFonts w:ascii="Book Antiqua" w:eastAsia="Times New Roman" w:hAnsi="Book Antiqua" w:cs="Times New Roman"/>
          <w:bCs/>
          <w:color w:val="000000" w:themeColor="text1"/>
        </w:rPr>
        <w:t>a)</w:t>
      </w:r>
      <w:r w:rsidRPr="00C371DA">
        <w:rPr>
          <w:rFonts w:ascii="Book Antiqua" w:eastAsia="Times New Roman" w:hAnsi="Book Antiqua" w:cs="Times New Roman"/>
          <w:bCs/>
          <w:color w:val="000000" w:themeColor="text1"/>
        </w:rPr>
        <w:tab/>
        <w:t>nie je upravený v primárnom práve Európskej únie,</w:t>
      </w:r>
    </w:p>
    <w:p w14:paraId="0AA2ED1E" w14:textId="77777777" w:rsidR="0077388C" w:rsidRPr="00C371DA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C371DA">
        <w:rPr>
          <w:rFonts w:ascii="Book Antiqua" w:eastAsia="Times New Roman" w:hAnsi="Book Antiqua" w:cs="Times New Roman"/>
          <w:bCs/>
          <w:color w:val="000000" w:themeColor="text1"/>
        </w:rPr>
        <w:t>b)</w:t>
      </w:r>
      <w:r w:rsidRPr="00C371DA">
        <w:rPr>
          <w:rFonts w:ascii="Book Antiqua" w:eastAsia="Times New Roman" w:hAnsi="Book Antiqua" w:cs="Times New Roman"/>
          <w:bCs/>
          <w:color w:val="000000" w:themeColor="text1"/>
        </w:rPr>
        <w:tab/>
        <w:t>nie je upravený v sekundárnom práve Európskej únie,</w:t>
      </w:r>
    </w:p>
    <w:p w14:paraId="276F5E8F" w14:textId="77777777" w:rsidR="0077388C" w:rsidRPr="00C371DA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Cs/>
          <w:color w:val="000000" w:themeColor="text1"/>
        </w:rPr>
      </w:pPr>
      <w:r w:rsidRPr="00C371DA">
        <w:rPr>
          <w:rFonts w:ascii="Book Antiqua" w:eastAsia="Times New Roman" w:hAnsi="Book Antiqua" w:cs="Times New Roman"/>
          <w:bCs/>
          <w:color w:val="000000" w:themeColor="text1"/>
        </w:rPr>
        <w:t>c)</w:t>
      </w:r>
      <w:r w:rsidRPr="00C371DA">
        <w:rPr>
          <w:rFonts w:ascii="Book Antiqua" w:eastAsia="Times New Roman" w:hAnsi="Book Antiqua" w:cs="Times New Roman"/>
          <w:bCs/>
          <w:color w:val="000000" w:themeColor="text1"/>
        </w:rPr>
        <w:tab/>
        <w:t xml:space="preserve">nie je obsiahnutý v judikatúre Súdneho dvora Európskej únie. </w:t>
      </w:r>
    </w:p>
    <w:p w14:paraId="768B5270" w14:textId="77777777" w:rsidR="0077388C" w:rsidRPr="0077388C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</w:p>
    <w:p w14:paraId="59E67F42" w14:textId="77777777" w:rsidR="0077388C" w:rsidRPr="0077388C" w:rsidRDefault="0077388C" w:rsidP="00C371DA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7388C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6DDCDBF8" w14:textId="77777777" w:rsidR="00D81B13" w:rsidRDefault="00D81B13" w:rsidP="00C371DA">
      <w:pPr>
        <w:spacing w:after="120" w:line="276" w:lineRule="auto"/>
        <w:jc w:val="center"/>
        <w:rPr>
          <w:rFonts w:ascii="Book Antiqua" w:hAnsi="Book Antiqua"/>
          <w:b/>
        </w:rPr>
      </w:pPr>
    </w:p>
    <w:p w14:paraId="21CFDF5D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04670594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77388C" w:rsidRPr="0077388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mení a dopĺňa zákon Národnej rady Slovenskej republiky č. 350/1996 Z. z. o rokovacom poriadku Národnej rady Slovenskej republiky v znení neskorších predpisov a ktorým sa menia a dopĺňajú niektoré zákony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2F88EE05" w:rsidR="00AD7716" w:rsidRPr="00214D57" w:rsidRDefault="0077388C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Účasť poslancov NR SR a ďalších činiteľov na schôdzach NR SR pod vplyvom alkoholu</w:t>
            </w:r>
            <w:r w:rsidR="00C371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a iných návykových látok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77F8C345" w:rsidR="00AD7716" w:rsidRPr="00D524FA" w:rsidRDefault="00AD771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predkladaného návrhu zákona je</w:t>
            </w:r>
            <w:r w:rsidR="0077388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 aby sa osoby, ktoré sa podieľajú na legislatívnom procese v NR SR, zúčastňovali schôdzí NR SR triezve.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0C67F07" w14:textId="77777777" w:rsidR="00AD7716" w:rsidRDefault="0077388C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Ústavní činitelia,</w:t>
            </w:r>
          </w:p>
          <w:p w14:paraId="3C94FF1E" w14:textId="77777777" w:rsidR="0077388C" w:rsidRDefault="0077388C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Ďalšie osoby, ktoré sa zúčastňujú schôdzí NR SR a jej výborov,</w:t>
            </w:r>
          </w:p>
          <w:p w14:paraId="772B2638" w14:textId="09EA453D" w:rsidR="0077388C" w:rsidRPr="0071270C" w:rsidRDefault="0077388C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Policajný zbor.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4C31B4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4C31B4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C371D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C371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3A2D1BFC" w14:textId="1ADEF0AC" w:rsidR="00AD7716" w:rsidRPr="006D485C" w:rsidRDefault="0077388C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 roku od schválenia návrhu zákona.</w:t>
            </w:r>
          </w:p>
          <w:p w14:paraId="44093C58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797E130" w14:textId="77777777" w:rsidR="00AD7716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484D2CAC" w:rsidR="0077388C" w:rsidRPr="00C371DA" w:rsidRDefault="0077388C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C371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Počet odmietnutých vyšetrení a počet vyšetrení s pozitívnym výsledkom.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4531769E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3290E88E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lastRenderedPageBreak/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27A2AC35" w:rsidR="00AD7716" w:rsidRPr="00D524FA" w:rsidRDefault="00B73C72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4D64DC35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257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3F093A7D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09B9EC14" w14:textId="5B8C3EEF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2B91281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  <w:p w14:paraId="7DC75F74" w14:textId="11195F49" w:rsidR="0071270C" w:rsidRPr="00C371DA" w:rsidRDefault="00C371DA" w:rsidP="00C371DA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C371D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Návrh zákona predpokladá pozitívny vplyv na rozpočet verejnej správy, keďže je dôvodný predpoklad, že nie všetky osoby zúčastňujúce sa schôdzí NR SR, nepožívajú alkohol; pozitívny vplyv sa premietne v uložených sankciách (strate platu). 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D524FA" w:rsidRDefault="00B16F89" w:rsidP="00D524FA">
      <w:pPr>
        <w:rPr>
          <w:rFonts w:ascii="Book Antiqua" w:hAnsi="Book Antiqua" w:cs="Book Antiqua"/>
          <w:b/>
          <w:bCs/>
          <w:caps/>
          <w:spacing w:val="30"/>
        </w:rPr>
      </w:pPr>
      <w:bookmarkStart w:id="7" w:name="_GoBack"/>
      <w:bookmarkEnd w:id="7"/>
    </w:p>
    <w:sectPr w:rsidR="00B16F89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9702" w14:textId="77777777" w:rsidR="004C31B4" w:rsidRDefault="004C31B4" w:rsidP="00C97949">
      <w:pPr>
        <w:spacing w:after="0" w:line="240" w:lineRule="auto"/>
      </w:pPr>
      <w:r>
        <w:separator/>
      </w:r>
    </w:p>
  </w:endnote>
  <w:endnote w:type="continuationSeparator" w:id="0">
    <w:p w14:paraId="209B7658" w14:textId="77777777" w:rsidR="004C31B4" w:rsidRDefault="004C31B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D6F9E83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DA">
          <w:rPr>
            <w:noProof/>
          </w:rPr>
          <w:t>8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B699" w14:textId="77777777" w:rsidR="004C31B4" w:rsidRDefault="004C31B4" w:rsidP="00C97949">
      <w:pPr>
        <w:spacing w:after="0" w:line="240" w:lineRule="auto"/>
      </w:pPr>
      <w:r>
        <w:separator/>
      </w:r>
    </w:p>
  </w:footnote>
  <w:footnote w:type="continuationSeparator" w:id="0">
    <w:p w14:paraId="531FAA09" w14:textId="77777777" w:rsidR="004C31B4" w:rsidRDefault="004C31B4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74EE2"/>
    <w:rsid w:val="000B4307"/>
    <w:rsid w:val="000C544E"/>
    <w:rsid w:val="000D7AAE"/>
    <w:rsid w:val="000F1924"/>
    <w:rsid w:val="00126C54"/>
    <w:rsid w:val="001338D5"/>
    <w:rsid w:val="00191F05"/>
    <w:rsid w:val="00194A04"/>
    <w:rsid w:val="001A3650"/>
    <w:rsid w:val="001A762C"/>
    <w:rsid w:val="001C14F4"/>
    <w:rsid w:val="001D0445"/>
    <w:rsid w:val="001F02BF"/>
    <w:rsid w:val="00214D57"/>
    <w:rsid w:val="00231ECB"/>
    <w:rsid w:val="00240C85"/>
    <w:rsid w:val="00255EB4"/>
    <w:rsid w:val="00293814"/>
    <w:rsid w:val="002A6D03"/>
    <w:rsid w:val="00323127"/>
    <w:rsid w:val="00323776"/>
    <w:rsid w:val="00334D0C"/>
    <w:rsid w:val="00353DA2"/>
    <w:rsid w:val="00374C8B"/>
    <w:rsid w:val="00381EC0"/>
    <w:rsid w:val="00386510"/>
    <w:rsid w:val="0038768A"/>
    <w:rsid w:val="003B2158"/>
    <w:rsid w:val="003C18E1"/>
    <w:rsid w:val="003C66F7"/>
    <w:rsid w:val="003D3E6B"/>
    <w:rsid w:val="00404AB4"/>
    <w:rsid w:val="004064CE"/>
    <w:rsid w:val="00430AB9"/>
    <w:rsid w:val="004777CE"/>
    <w:rsid w:val="004A3D51"/>
    <w:rsid w:val="004C31B4"/>
    <w:rsid w:val="004E0F11"/>
    <w:rsid w:val="004E58DE"/>
    <w:rsid w:val="00517DFD"/>
    <w:rsid w:val="005439BC"/>
    <w:rsid w:val="005C1297"/>
    <w:rsid w:val="005F0011"/>
    <w:rsid w:val="005F0557"/>
    <w:rsid w:val="006036BB"/>
    <w:rsid w:val="0061371A"/>
    <w:rsid w:val="006540D6"/>
    <w:rsid w:val="00662B02"/>
    <w:rsid w:val="00687DAD"/>
    <w:rsid w:val="0069020B"/>
    <w:rsid w:val="006D1C1F"/>
    <w:rsid w:val="006D485C"/>
    <w:rsid w:val="006F2637"/>
    <w:rsid w:val="006F7B9F"/>
    <w:rsid w:val="00711499"/>
    <w:rsid w:val="0071270C"/>
    <w:rsid w:val="007253B8"/>
    <w:rsid w:val="0074382E"/>
    <w:rsid w:val="00757A17"/>
    <w:rsid w:val="0077388C"/>
    <w:rsid w:val="007838BE"/>
    <w:rsid w:val="008003F2"/>
    <w:rsid w:val="00802C5B"/>
    <w:rsid w:val="00844FFC"/>
    <w:rsid w:val="00857EEE"/>
    <w:rsid w:val="00865E4C"/>
    <w:rsid w:val="008756DD"/>
    <w:rsid w:val="00886970"/>
    <w:rsid w:val="008956BC"/>
    <w:rsid w:val="008A1A9C"/>
    <w:rsid w:val="008A5E46"/>
    <w:rsid w:val="008B1E22"/>
    <w:rsid w:val="00911A32"/>
    <w:rsid w:val="00930F9F"/>
    <w:rsid w:val="00962AEC"/>
    <w:rsid w:val="00964F40"/>
    <w:rsid w:val="0097235D"/>
    <w:rsid w:val="00983F2C"/>
    <w:rsid w:val="00986280"/>
    <w:rsid w:val="00986EEF"/>
    <w:rsid w:val="0099219C"/>
    <w:rsid w:val="00993083"/>
    <w:rsid w:val="009A375B"/>
    <w:rsid w:val="009E7FCC"/>
    <w:rsid w:val="00A10234"/>
    <w:rsid w:val="00A64B28"/>
    <w:rsid w:val="00A75AE5"/>
    <w:rsid w:val="00A77F33"/>
    <w:rsid w:val="00A81002"/>
    <w:rsid w:val="00A94421"/>
    <w:rsid w:val="00AC68D6"/>
    <w:rsid w:val="00AD7716"/>
    <w:rsid w:val="00AE0A03"/>
    <w:rsid w:val="00AF0B6F"/>
    <w:rsid w:val="00B01103"/>
    <w:rsid w:val="00B03694"/>
    <w:rsid w:val="00B14A4C"/>
    <w:rsid w:val="00B16F89"/>
    <w:rsid w:val="00B576F5"/>
    <w:rsid w:val="00B63A0B"/>
    <w:rsid w:val="00B73C72"/>
    <w:rsid w:val="00B76A1E"/>
    <w:rsid w:val="00BA694A"/>
    <w:rsid w:val="00BB6162"/>
    <w:rsid w:val="00BB6AD9"/>
    <w:rsid w:val="00BC652D"/>
    <w:rsid w:val="00BD6F41"/>
    <w:rsid w:val="00C03F8F"/>
    <w:rsid w:val="00C371DA"/>
    <w:rsid w:val="00C44D52"/>
    <w:rsid w:val="00C45583"/>
    <w:rsid w:val="00C71033"/>
    <w:rsid w:val="00C7368E"/>
    <w:rsid w:val="00C97949"/>
    <w:rsid w:val="00CA1C34"/>
    <w:rsid w:val="00CA480F"/>
    <w:rsid w:val="00CA6BEB"/>
    <w:rsid w:val="00CD344A"/>
    <w:rsid w:val="00D04475"/>
    <w:rsid w:val="00D524FA"/>
    <w:rsid w:val="00D53140"/>
    <w:rsid w:val="00D6657D"/>
    <w:rsid w:val="00D756C8"/>
    <w:rsid w:val="00D81B13"/>
    <w:rsid w:val="00DF0CE7"/>
    <w:rsid w:val="00DF1BCB"/>
    <w:rsid w:val="00DF2B12"/>
    <w:rsid w:val="00E01592"/>
    <w:rsid w:val="00E064DE"/>
    <w:rsid w:val="00E22E81"/>
    <w:rsid w:val="00E372F7"/>
    <w:rsid w:val="00E37FD8"/>
    <w:rsid w:val="00E76879"/>
    <w:rsid w:val="00EA1244"/>
    <w:rsid w:val="00EB20F0"/>
    <w:rsid w:val="00ED6DB9"/>
    <w:rsid w:val="00F20E0B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3</cp:revision>
  <dcterms:created xsi:type="dcterms:W3CDTF">2024-12-11T13:28:00Z</dcterms:created>
  <dcterms:modified xsi:type="dcterms:W3CDTF">2024-12-11T13:56:00Z</dcterms:modified>
</cp:coreProperties>
</file>