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31385" w14:textId="77777777" w:rsidR="003B0B4F" w:rsidRPr="0040668C" w:rsidRDefault="003B0B4F" w:rsidP="00165577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4"/>
          <w:lang w:eastAsia="sk-SK"/>
        </w:rPr>
      </w:pPr>
    </w:p>
    <w:p w14:paraId="473F48EE" w14:textId="77777777" w:rsidR="003B0B4F" w:rsidRPr="0040668C" w:rsidRDefault="003B0B4F" w:rsidP="00165577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4"/>
          <w:lang w:eastAsia="sk-SK"/>
        </w:rPr>
      </w:pPr>
    </w:p>
    <w:p w14:paraId="5DEF7477" w14:textId="77777777" w:rsidR="003B0B4F" w:rsidRPr="0040668C" w:rsidRDefault="003B0B4F" w:rsidP="00165577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4"/>
          <w:lang w:eastAsia="sk-SK"/>
        </w:rPr>
      </w:pPr>
    </w:p>
    <w:p w14:paraId="54838F46" w14:textId="77777777" w:rsidR="003B0B4F" w:rsidRPr="0040668C" w:rsidRDefault="003B0B4F" w:rsidP="00165577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4"/>
          <w:lang w:eastAsia="sk-SK"/>
        </w:rPr>
      </w:pPr>
    </w:p>
    <w:p w14:paraId="244E7786" w14:textId="77777777" w:rsidR="003B0B4F" w:rsidRPr="0040668C" w:rsidRDefault="003B0B4F" w:rsidP="00165577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4"/>
          <w:lang w:eastAsia="sk-SK"/>
        </w:rPr>
      </w:pPr>
    </w:p>
    <w:p w14:paraId="4CC9E010" w14:textId="77777777" w:rsidR="003B0B4F" w:rsidRPr="0040668C" w:rsidRDefault="003B0B4F" w:rsidP="00165577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4"/>
          <w:lang w:eastAsia="sk-SK"/>
        </w:rPr>
      </w:pPr>
    </w:p>
    <w:p w14:paraId="11896FA1" w14:textId="77777777" w:rsidR="003B0B4F" w:rsidRPr="0040668C" w:rsidRDefault="003B0B4F" w:rsidP="00165577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4"/>
          <w:lang w:eastAsia="sk-SK"/>
        </w:rPr>
      </w:pPr>
    </w:p>
    <w:p w14:paraId="24338B09" w14:textId="77777777" w:rsidR="003B0B4F" w:rsidRPr="0040668C" w:rsidRDefault="003B0B4F" w:rsidP="00165577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4"/>
          <w:lang w:eastAsia="sk-SK"/>
        </w:rPr>
      </w:pPr>
    </w:p>
    <w:p w14:paraId="75F09ABF" w14:textId="77777777" w:rsidR="003B0B4F" w:rsidRPr="0040668C" w:rsidRDefault="003B0B4F" w:rsidP="00165577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4"/>
          <w:lang w:eastAsia="sk-SK"/>
        </w:rPr>
      </w:pPr>
    </w:p>
    <w:p w14:paraId="6D9F7E30" w14:textId="77777777" w:rsidR="003B0B4F" w:rsidRPr="0040668C" w:rsidRDefault="003B0B4F" w:rsidP="00165577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4"/>
          <w:lang w:eastAsia="sk-SK"/>
        </w:rPr>
      </w:pPr>
    </w:p>
    <w:p w14:paraId="2B3883E5" w14:textId="77777777" w:rsidR="003B0B4F" w:rsidRPr="0040668C" w:rsidRDefault="003B0B4F" w:rsidP="00165577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4"/>
          <w:lang w:eastAsia="sk-SK"/>
        </w:rPr>
      </w:pPr>
    </w:p>
    <w:p w14:paraId="505DD30D" w14:textId="77777777" w:rsidR="003B0B4F" w:rsidRPr="0040668C" w:rsidRDefault="003B0B4F" w:rsidP="00165577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Cs/>
          <w:szCs w:val="24"/>
          <w:lang w:eastAsia="sk-SK"/>
        </w:rPr>
      </w:pPr>
    </w:p>
    <w:p w14:paraId="05AC6EDE" w14:textId="30AC757E" w:rsidR="00165577" w:rsidRPr="0040668C" w:rsidRDefault="0040668C" w:rsidP="00165577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/>
          <w:bCs/>
          <w:szCs w:val="24"/>
          <w:lang w:eastAsia="sk-SK"/>
        </w:rPr>
      </w:pPr>
      <w:r w:rsidRPr="0040668C">
        <w:rPr>
          <w:rFonts w:eastAsia="Times New Roman" w:cs="Times New Roman"/>
          <w:bCs/>
          <w:szCs w:val="24"/>
          <w:lang w:eastAsia="sk-SK"/>
        </w:rPr>
        <w:t xml:space="preserve">  </w:t>
      </w:r>
      <w:r w:rsidRPr="0040668C">
        <w:rPr>
          <w:rFonts w:eastAsia="Times New Roman" w:cs="Times New Roman"/>
          <w:b/>
          <w:bCs/>
          <w:szCs w:val="24"/>
          <w:lang w:eastAsia="sk-SK"/>
        </w:rPr>
        <w:t>z 27. novembra</w:t>
      </w:r>
      <w:r w:rsidR="00165577" w:rsidRPr="0040668C">
        <w:rPr>
          <w:rFonts w:eastAsia="Times New Roman" w:cs="Times New Roman"/>
          <w:b/>
          <w:bCs/>
          <w:szCs w:val="24"/>
          <w:lang w:eastAsia="sk-SK"/>
        </w:rPr>
        <w:t xml:space="preserve"> 2024,</w:t>
      </w:r>
    </w:p>
    <w:p w14:paraId="6324320C" w14:textId="77777777" w:rsidR="0040668C" w:rsidRPr="0040668C" w:rsidRDefault="0040668C" w:rsidP="00165577">
      <w:pPr>
        <w:pStyle w:val="Standard"/>
        <w:keepNext/>
        <w:keepLines/>
        <w:spacing w:before="120" w:after="120"/>
        <w:jc w:val="center"/>
        <w:outlineLvl w:val="0"/>
        <w:rPr>
          <w:rFonts w:eastAsia="Times New Roman" w:cs="Times New Roman"/>
          <w:b/>
          <w:bCs/>
          <w:szCs w:val="24"/>
          <w:lang w:eastAsia="sk-SK"/>
        </w:rPr>
      </w:pPr>
    </w:p>
    <w:p w14:paraId="4325EF66" w14:textId="200A23AB" w:rsidR="00165577" w:rsidRPr="0040668C" w:rsidRDefault="00165577" w:rsidP="00165577">
      <w:pPr>
        <w:pStyle w:val="Standard"/>
        <w:keepNext/>
        <w:jc w:val="center"/>
        <w:rPr>
          <w:rFonts w:eastAsia="Times New Roman" w:cs="Times New Roman"/>
          <w:b/>
          <w:szCs w:val="24"/>
          <w:lang w:eastAsia="sk-SK"/>
        </w:rPr>
      </w:pPr>
      <w:r w:rsidRPr="0040668C">
        <w:rPr>
          <w:rFonts w:eastAsia="Times New Roman" w:cs="Times New Roman"/>
          <w:b/>
          <w:szCs w:val="24"/>
          <w:lang w:eastAsia="sk-SK"/>
        </w:rPr>
        <w:t xml:space="preserve">ktorým sa mení a dopĺňa zákon č. 125/2006 Z. z. o inšpekcii práce a o zmene a doplnení zákona č. 82/2005 Z. z. o nelegálnej práci a nelegálnom zamestnávaní a o zmene a doplnení niektorých zákonov </w:t>
      </w:r>
      <w:r w:rsidRPr="0040668C">
        <w:rPr>
          <w:rFonts w:cs="Times New Roman"/>
          <w:b/>
          <w:szCs w:val="24"/>
          <w:lang w:eastAsia="sk-SK"/>
        </w:rPr>
        <w:t xml:space="preserve">v znení neskorších predpisov a ktorým sa menia </w:t>
      </w:r>
      <w:r w:rsidR="003B0B4F" w:rsidRPr="0040668C">
        <w:rPr>
          <w:rFonts w:cs="Times New Roman"/>
          <w:b/>
          <w:szCs w:val="24"/>
          <w:lang w:eastAsia="sk-SK"/>
        </w:rPr>
        <w:t xml:space="preserve">a dopĺňajú </w:t>
      </w:r>
      <w:r w:rsidRPr="0040668C">
        <w:rPr>
          <w:rFonts w:cs="Times New Roman"/>
          <w:b/>
          <w:szCs w:val="24"/>
          <w:lang w:eastAsia="sk-SK"/>
        </w:rPr>
        <w:t>niektoré zákony</w:t>
      </w:r>
    </w:p>
    <w:p w14:paraId="215DF11A" w14:textId="77777777" w:rsidR="00165577" w:rsidRPr="0040668C" w:rsidRDefault="00165577" w:rsidP="00165577">
      <w:pPr>
        <w:pStyle w:val="Standard"/>
        <w:keepNext/>
        <w:rPr>
          <w:rFonts w:eastAsia="Times New Roman" w:cs="Times New Roman"/>
          <w:szCs w:val="24"/>
          <w:lang w:eastAsia="sk-SK"/>
        </w:rPr>
      </w:pPr>
    </w:p>
    <w:p w14:paraId="2BF72C24" w14:textId="77777777" w:rsidR="00165577" w:rsidRPr="0040668C" w:rsidRDefault="00165577" w:rsidP="00165577">
      <w:pPr>
        <w:pStyle w:val="Standard"/>
        <w:keepNext/>
        <w:rPr>
          <w:rFonts w:eastAsia="Times New Roman" w:cs="Times New Roman"/>
          <w:szCs w:val="24"/>
          <w:lang w:eastAsia="sk-SK"/>
        </w:rPr>
      </w:pPr>
    </w:p>
    <w:p w14:paraId="446535AC" w14:textId="77777777" w:rsidR="00165577" w:rsidRPr="0040668C" w:rsidRDefault="00165577" w:rsidP="00165577">
      <w:pPr>
        <w:pStyle w:val="Standard"/>
        <w:keepNext/>
        <w:ind w:left="357"/>
        <w:jc w:val="both"/>
        <w:rPr>
          <w:rFonts w:eastAsia="Times New Roman" w:cs="Times New Roman"/>
          <w:szCs w:val="24"/>
          <w:lang w:eastAsia="sk-SK"/>
        </w:rPr>
      </w:pPr>
      <w:r w:rsidRPr="0040668C">
        <w:rPr>
          <w:rFonts w:eastAsia="Times New Roman" w:cs="Times New Roman"/>
          <w:szCs w:val="24"/>
          <w:lang w:eastAsia="sk-SK"/>
        </w:rPr>
        <w:t>Národná rada Slovenskej republiky sa uzniesla na tomto zákone:</w:t>
      </w:r>
    </w:p>
    <w:p w14:paraId="79C8E418" w14:textId="77777777" w:rsidR="00165577" w:rsidRPr="0040668C" w:rsidRDefault="00165577" w:rsidP="00165577">
      <w:pPr>
        <w:pStyle w:val="Standard"/>
        <w:keepNext/>
        <w:jc w:val="both"/>
        <w:rPr>
          <w:rFonts w:eastAsia="Times New Roman" w:cs="Times New Roman"/>
          <w:szCs w:val="24"/>
          <w:lang w:eastAsia="sk-SK"/>
        </w:rPr>
      </w:pPr>
    </w:p>
    <w:p w14:paraId="2AE35A0A" w14:textId="77777777" w:rsidR="00165577" w:rsidRPr="0040668C" w:rsidRDefault="00165577" w:rsidP="00165577">
      <w:pPr>
        <w:pStyle w:val="Standard"/>
        <w:keepNext/>
        <w:keepLines/>
        <w:jc w:val="center"/>
        <w:outlineLvl w:val="0"/>
        <w:rPr>
          <w:rFonts w:eastAsia="Times New Roman" w:cs="Times New Roman"/>
          <w:b/>
          <w:bCs/>
          <w:szCs w:val="24"/>
          <w:lang w:eastAsia="sk-SK"/>
        </w:rPr>
      </w:pPr>
      <w:r w:rsidRPr="0040668C">
        <w:rPr>
          <w:rFonts w:eastAsia="Times New Roman" w:cs="Times New Roman"/>
          <w:b/>
          <w:bCs/>
          <w:szCs w:val="24"/>
          <w:lang w:eastAsia="sk-SK"/>
        </w:rPr>
        <w:t>Čl. I</w:t>
      </w:r>
    </w:p>
    <w:p w14:paraId="6F020C12" w14:textId="77777777" w:rsidR="00165577" w:rsidRPr="0040668C" w:rsidRDefault="00165577" w:rsidP="00165577">
      <w:pPr>
        <w:pStyle w:val="Standard"/>
        <w:widowControl w:val="0"/>
        <w:ind w:left="331" w:right="103"/>
        <w:jc w:val="both"/>
        <w:rPr>
          <w:rFonts w:eastAsia="TeX Gyre Bonum" w:cs="Times New Roman"/>
          <w:szCs w:val="24"/>
        </w:rPr>
      </w:pPr>
      <w:bookmarkStart w:id="0" w:name="_Hlk82442763"/>
    </w:p>
    <w:p w14:paraId="3C95F198" w14:textId="77777777" w:rsidR="00165577" w:rsidRPr="0040668C" w:rsidRDefault="00165577" w:rsidP="00165577">
      <w:pPr>
        <w:pStyle w:val="Standard"/>
        <w:widowControl w:val="0"/>
        <w:ind w:firstLine="357"/>
        <w:jc w:val="both"/>
        <w:rPr>
          <w:rFonts w:eastAsia="TeX Gyre Bonum" w:cs="Times New Roman"/>
          <w:szCs w:val="24"/>
        </w:rPr>
      </w:pPr>
      <w:r w:rsidRPr="0040668C">
        <w:rPr>
          <w:rFonts w:eastAsia="TeX Gyre Bonum" w:cs="Times New Roman"/>
          <w:szCs w:val="24"/>
        </w:rPr>
        <w:t>Zákon č. 125/2006 Z. z. o inšpekcii práce a o zmene a doplnení zákona č. 82/2005 Z. z. o nelegálnej práci a nelegálnom zamestnávaní a o zmene a doplnení niektorých zákonov v znení zákona č. 309/2007 Z. z., zákona č. 462/2007 Z. z., zákona č. 555/2007 Z. z., zákona č. 400/2009 Z. z., zákona č. 52/2010 Z. z., zákona č. 67/2010 Z. z., zákona č. 182/2011 Z. z., zákona č. 223/2011 Z. z., zákona č. 254/2011 Z. z., zákona č. 257/2011 Z. z., zákona č. 469/2011 Z. z., zákona č. 512/2011 Z. z., zákona č. 361/2012 Z. z., zákona č. 154/2013 Z. z., zákona č. 308/2013 Z. z., zákona č. 307/2014 Z. z., zákona č. 128/2015 Z. z., zákona č. 351/2015 Z. z., zákona č. 440/2015 Z. z., zákona č. 82/2017 Z. z., zákona č. 54/2019 Z. z., zákona č. 198/2020 Z. z., zákona č. 73/2021 Z. z., zákona č. 310/2021 Z. z., zákona č. 113/2022 Z. z. a zákona č. 114/2022 Z. z. sa mení a dopĺňa takto:</w:t>
      </w:r>
    </w:p>
    <w:p w14:paraId="5F623327" w14:textId="77777777" w:rsidR="00165577" w:rsidRPr="0040668C" w:rsidRDefault="00165577" w:rsidP="00165577">
      <w:pPr>
        <w:pStyle w:val="Standard"/>
        <w:widowControl w:val="0"/>
        <w:ind w:right="103"/>
        <w:jc w:val="both"/>
        <w:rPr>
          <w:rFonts w:eastAsia="TeX Gyre Bonum" w:cs="Times New Roman"/>
          <w:szCs w:val="24"/>
        </w:rPr>
      </w:pPr>
    </w:p>
    <w:p w14:paraId="55513E53" w14:textId="77777777" w:rsidR="00165577" w:rsidRPr="0040668C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V § 2 odsek 4 znie:</w:t>
      </w:r>
    </w:p>
    <w:p w14:paraId="28D0EA38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 xml:space="preserve">„(4) Inšpekciu práce na pracoviskách Ministerstva vnútra Slovenskej republiky, Policajného zboru, Hasičského a záchranného zboru, Zboru väzenskej a justičnej stráže a finančnej správy vykonávajú ich orgány inšpekcie práce. Inšpekciu práce na pracoviskách Ministerstva obrany Slovenskej republiky, ozbrojených síl Slovenskej republiky, rozpočtových organizácií, príspevkových organizácií a štátnych podnikov v zakladateľskej pôsobnosti alebo zriaďovateľskej pôsobnosti Ministerstva obrany Slovenskej republiky a na pracoviskách Vojenskej polície vykonáva orgán inšpekcie práce Ministerstva obrany Slovenskej republiky. Orgány inšpekcie práce podľa prvej vety a druhej vety uplatňujú </w:t>
      </w:r>
      <w:r w:rsidRPr="0040668C">
        <w:rPr>
          <w:rFonts w:ascii="Times New Roman" w:eastAsia="TeX Gyre Bonum" w:hAnsi="Times New Roman"/>
          <w:sz w:val="24"/>
          <w:szCs w:val="24"/>
        </w:rPr>
        <w:lastRenderedPageBreak/>
        <w:t>požiadavky na zaistenie bezpečnosti a ochrany zdravia pri práci záväzným stanoviskom pri povoľovaní a kolaudácii stavieb a ich zmien, ak ide o stavby, v ktorých budú pracoviská podliehajúce ich inšpekcii práce.“.</w:t>
      </w:r>
    </w:p>
    <w:p w14:paraId="71B627AE" w14:textId="77777777" w:rsidR="00165577" w:rsidRPr="0040668C" w:rsidRDefault="00165577" w:rsidP="00165577">
      <w:pPr>
        <w:pStyle w:val="Standard"/>
        <w:widowControl w:val="0"/>
        <w:ind w:right="103"/>
        <w:jc w:val="both"/>
        <w:rPr>
          <w:rFonts w:eastAsia="TeX Gyre Bonum" w:cs="Times New Roman"/>
          <w:szCs w:val="24"/>
        </w:rPr>
      </w:pPr>
    </w:p>
    <w:p w14:paraId="741D2708" w14:textId="77777777" w:rsidR="00165577" w:rsidRPr="0040668C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V § 5 ods. 2 sa na konci pripája táto veta: „Do funkcie generálneho riaditeľa možno vymenovať fyzickú osobu, ktorá má vysokoškolské vzdelanie druhého stupňa a najmenej päťročnú prax v riadiacej funkcii.“.</w:t>
      </w:r>
    </w:p>
    <w:p w14:paraId="1D6F629B" w14:textId="77777777" w:rsidR="00165577" w:rsidRPr="0040668C" w:rsidRDefault="00165577" w:rsidP="00165577">
      <w:pPr>
        <w:tabs>
          <w:tab w:val="left" w:pos="1109"/>
        </w:tabs>
        <w:jc w:val="both"/>
        <w:rPr>
          <w:rFonts w:cs="Times New Roman"/>
          <w:szCs w:val="24"/>
        </w:rPr>
      </w:pPr>
    </w:p>
    <w:p w14:paraId="5526A228" w14:textId="77777777" w:rsidR="00165577" w:rsidRPr="0040668C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V § 7 ods. 2 sa slová „v oblasti bezpečnosti a ochrany zdravia pri práci, inšpekcie práce alebo pracovného práva“ nahrádzajú slovami „inšpektora práce“.</w:t>
      </w:r>
    </w:p>
    <w:p w14:paraId="4627CE2B" w14:textId="77777777" w:rsidR="00165577" w:rsidRPr="0040668C" w:rsidRDefault="00165577" w:rsidP="00165577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001D2835" w14:textId="77777777" w:rsidR="00165577" w:rsidRPr="0040668C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V § 7 ods. 3 písm. c) sa vypúšťajú slová „povoľovaní a“ a slová „na plnenie svojich úloh“ sa nahrádzajú slovami „ako pracovisko“.</w:t>
      </w:r>
    </w:p>
    <w:p w14:paraId="799C31E6" w14:textId="77777777" w:rsidR="00165577" w:rsidRPr="0040668C" w:rsidRDefault="00165577" w:rsidP="00165577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78332AAE" w14:textId="77777777" w:rsidR="00165577" w:rsidRPr="0040668C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V § 7 ods. 8 písm. c) sa slová „60 dní“ nahrádzajú slovami „90 dní“, za slová „môže ju“ sa vkladajú slová „na žiadosť inšpektorátu práce“ a za slová „Národný inšpektorát práce“ sa vkladá čiarka a slová „a to aj opakovane“.</w:t>
      </w:r>
    </w:p>
    <w:p w14:paraId="5DF9539D" w14:textId="77777777" w:rsidR="00165577" w:rsidRPr="0040668C" w:rsidRDefault="00165577" w:rsidP="00165577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4109985C" w14:textId="77777777" w:rsidR="00165577" w:rsidRPr="0040668C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V § 12 ods. 3 sa slová „písm. a), b)“ nahrádzajú slovami „písm. b)“.</w:t>
      </w:r>
    </w:p>
    <w:p w14:paraId="2826D199" w14:textId="77777777" w:rsidR="00165577" w:rsidRPr="0040668C" w:rsidRDefault="00165577" w:rsidP="00165577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74439BB1" w14:textId="77777777" w:rsidR="00165577" w:rsidRPr="0040668C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V § 14 sa za odsek 2 vkladá nový odsek 3, ktorý znie:</w:t>
      </w:r>
    </w:p>
    <w:p w14:paraId="60B8CF95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„(3) Kontrolovaný zamestnávateľ alebo kontrolovaná fyzická osoba, ktorá je podnikateľom a nie je zamestnávateľom, má právo na prerokovanie protokolu a na vyjadrenie sa k jeho obsahu.“.</w:t>
      </w:r>
    </w:p>
    <w:p w14:paraId="2D0071C1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</w:p>
    <w:p w14:paraId="0518BECD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Doterajšie odseky 3 až 6 sa označujú ako odseky 4 až 7.</w:t>
      </w:r>
    </w:p>
    <w:p w14:paraId="215C6F1A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</w:p>
    <w:p w14:paraId="721F0DDC" w14:textId="77777777" w:rsidR="00165577" w:rsidRPr="0040668C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V § 14 odsek 5 znie:</w:t>
      </w:r>
    </w:p>
    <w:p w14:paraId="2C63B3D3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„(5) Výkon inšpekcie práce je ukončený</w:t>
      </w:r>
    </w:p>
    <w:p w14:paraId="07F665B8" w14:textId="77777777" w:rsidR="00165577" w:rsidRPr="0040668C" w:rsidRDefault="00165577" w:rsidP="00165577">
      <w:pPr>
        <w:pStyle w:val="Odsekzoznamu"/>
        <w:widowControl w:val="0"/>
        <w:numPr>
          <w:ilvl w:val="0"/>
          <w:numId w:val="31"/>
        </w:numPr>
        <w:tabs>
          <w:tab w:val="left" w:pos="1109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dňom doručenia prerokovaného protokolu kontrolovanému zamestnávateľovi alebo kontrolovanej fyzickej osobe, ktorá je podnikateľom a nie je zamestnávateľom, ak inšpektor práce nevyhotovuje dodatok k protokolu,</w:t>
      </w:r>
    </w:p>
    <w:p w14:paraId="12A902F0" w14:textId="77777777" w:rsidR="00165577" w:rsidRPr="0040668C" w:rsidRDefault="00165577" w:rsidP="00165577">
      <w:pPr>
        <w:pStyle w:val="Odsekzoznamu"/>
        <w:widowControl w:val="0"/>
        <w:numPr>
          <w:ilvl w:val="0"/>
          <w:numId w:val="31"/>
        </w:numPr>
        <w:tabs>
          <w:tab w:val="left" w:pos="1109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dňom doručenia dodatku k protokolu kontrolovanému zamestnávateľovi alebo kontrolovanej fyzickej osobe, ktorá je podnikateľom a nie je zamestnávateľom,</w:t>
      </w:r>
    </w:p>
    <w:p w14:paraId="78E2626A" w14:textId="77777777" w:rsidR="00165577" w:rsidRPr="0040668C" w:rsidRDefault="00165577" w:rsidP="00165577">
      <w:pPr>
        <w:pStyle w:val="Odsekzoznamu"/>
        <w:widowControl w:val="0"/>
        <w:numPr>
          <w:ilvl w:val="0"/>
          <w:numId w:val="31"/>
        </w:numPr>
        <w:tabs>
          <w:tab w:val="left" w:pos="1109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dňom, keď sa zamestnávateľ alebo fyzická osoba, ktorá je podnikateľom a nie je zamestnávateľom, odmietne oboznámiť s protokolom, písomne sa k nemu nevyjadrí alebo ho nepodpíše; táto skutočnosť musí byť uvedená v protokole, alebo</w:t>
      </w:r>
    </w:p>
    <w:p w14:paraId="1FE66350" w14:textId="77777777" w:rsidR="00165577" w:rsidRPr="0040668C" w:rsidRDefault="00165577" w:rsidP="00165577">
      <w:pPr>
        <w:pStyle w:val="Odsekzoznamu"/>
        <w:widowControl w:val="0"/>
        <w:numPr>
          <w:ilvl w:val="0"/>
          <w:numId w:val="31"/>
        </w:numPr>
        <w:tabs>
          <w:tab w:val="left" w:pos="1109"/>
        </w:tabs>
        <w:spacing w:after="0" w:line="240" w:lineRule="auto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dňom doručenia záznamu o výsledku inšpekcie práce kontrolovanému zamestnávateľovi alebo kontrolovanej fyzickej osobe, ktorá je podnikateľom a nie je zamestnávateľom.“.</w:t>
      </w:r>
    </w:p>
    <w:p w14:paraId="647CAFA1" w14:textId="77777777" w:rsidR="00165577" w:rsidRPr="0040668C" w:rsidRDefault="00165577" w:rsidP="00165577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1E6A9CD7" w14:textId="77777777" w:rsidR="00165577" w:rsidRPr="0040668C" w:rsidRDefault="00165577" w:rsidP="00165577">
      <w:pPr>
        <w:pStyle w:val="Odsekzoznamu"/>
        <w:widowControl w:val="0"/>
        <w:numPr>
          <w:ilvl w:val="0"/>
          <w:numId w:val="24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V § 19 odsek 4 znie:</w:t>
      </w:r>
    </w:p>
    <w:p w14:paraId="7B0FA66A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„(4) Konanie o uloženie pokuty podľa odsekov 1 a 2 možno začať do šiestich mesiacov odo dňa ukončenia výkonu inšpekcie práce, najneskôr do troch rokov odo dňa, keď došlo k porušeniu povinnosti.“.</w:t>
      </w:r>
    </w:p>
    <w:p w14:paraId="22702732" w14:textId="77777777" w:rsidR="00165577" w:rsidRPr="0040668C" w:rsidRDefault="00165577" w:rsidP="00165577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439C7837" w14:textId="77777777" w:rsidR="00165577" w:rsidRPr="0040668C" w:rsidRDefault="00165577" w:rsidP="00165577">
      <w:pPr>
        <w:pStyle w:val="Odsekzoznamu"/>
        <w:widowControl w:val="0"/>
        <w:numPr>
          <w:ilvl w:val="0"/>
          <w:numId w:val="24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V § 19 ods. 6 písm. d) sa na konci pripájajú tieto slová: „</w:t>
      </w:r>
      <w:r w:rsidRPr="0040668C">
        <w:rPr>
          <w:rFonts w:ascii="Times New Roman" w:eastAsia="TeX Gyre Bonum" w:hAnsi="Times New Roman"/>
          <w:bCs/>
          <w:sz w:val="24"/>
          <w:szCs w:val="24"/>
        </w:rPr>
        <w:t>vrátane ojedinelého výskytu nedostatku, ktorý je dôsledkom porušenia právnych predpisov a ostatných predpisov na zaistenie bezpečnosti a ochrany zdravia pri práci zamestnancom“.</w:t>
      </w:r>
    </w:p>
    <w:p w14:paraId="64BCA1A8" w14:textId="77777777" w:rsidR="00165577" w:rsidRPr="0040668C" w:rsidRDefault="00165577" w:rsidP="00165577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33929568" w14:textId="77777777" w:rsidR="00165577" w:rsidRPr="0040668C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lastRenderedPageBreak/>
        <w:t>V § 20 ods. 1 sa vypúšťa posledná veta.</w:t>
      </w:r>
    </w:p>
    <w:p w14:paraId="197A756D" w14:textId="77777777" w:rsidR="00165577" w:rsidRPr="0040668C" w:rsidRDefault="00165577" w:rsidP="00165577">
      <w:pPr>
        <w:tabs>
          <w:tab w:val="left" w:pos="1109"/>
        </w:tabs>
        <w:jc w:val="both"/>
        <w:rPr>
          <w:rFonts w:eastAsia="TeX Gyre Bonum" w:cs="Times New Roman"/>
          <w:szCs w:val="24"/>
        </w:rPr>
      </w:pPr>
    </w:p>
    <w:p w14:paraId="09F78462" w14:textId="77777777" w:rsidR="00165577" w:rsidRPr="0040668C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V § 20 sa za odsek 2 vkladá nový odsek 3, ktorý znie:</w:t>
      </w:r>
    </w:p>
    <w:p w14:paraId="779E5666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 w:firstLine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„(3) Poriadkovú pokutu podľa odsekov 1 a 2 môže inšpektorát práce uložiť do jedného roka odo dňa nesplnenia povinnosti.“.</w:t>
      </w:r>
    </w:p>
    <w:p w14:paraId="10658D1B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</w:p>
    <w:p w14:paraId="22E2F6A3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TeX Gyre Bonum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Doterajší odsek 3 sa označuje ako odsek 4.</w:t>
      </w:r>
    </w:p>
    <w:p w14:paraId="781C9D09" w14:textId="77777777" w:rsidR="00165577" w:rsidRPr="0040668C" w:rsidRDefault="00165577" w:rsidP="00165577">
      <w:pPr>
        <w:tabs>
          <w:tab w:val="left" w:pos="1109"/>
        </w:tabs>
        <w:jc w:val="both"/>
        <w:rPr>
          <w:rFonts w:cs="Times New Roman"/>
          <w:szCs w:val="24"/>
        </w:rPr>
      </w:pPr>
    </w:p>
    <w:p w14:paraId="7CC14998" w14:textId="77777777" w:rsidR="00165577" w:rsidRPr="0040668C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Za § 22d sa vkladá</w:t>
      </w:r>
      <w:r w:rsidRPr="0040668C">
        <w:rPr>
          <w:rFonts w:ascii="Times New Roman" w:hAnsi="Times New Roman"/>
          <w:sz w:val="24"/>
          <w:szCs w:val="24"/>
        </w:rPr>
        <w:t xml:space="preserve"> § 22e, ktorý vrátane nadpisu znie:</w:t>
      </w:r>
    </w:p>
    <w:p w14:paraId="1E3138A4" w14:textId="77777777" w:rsidR="00165577" w:rsidRPr="0040668C" w:rsidRDefault="00165577" w:rsidP="00165577">
      <w:pPr>
        <w:pStyle w:val="Odsekzoznamu"/>
        <w:widowControl w:val="0"/>
        <w:tabs>
          <w:tab w:val="left" w:pos="1618"/>
          <w:tab w:val="left" w:leader="dot" w:pos="9475"/>
        </w:tabs>
        <w:spacing w:before="120"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40668C">
        <w:rPr>
          <w:rFonts w:ascii="Times New Roman" w:hAnsi="Times New Roman"/>
          <w:b/>
          <w:sz w:val="24"/>
          <w:szCs w:val="24"/>
        </w:rPr>
        <w:t>„§ 22e</w:t>
      </w:r>
    </w:p>
    <w:p w14:paraId="6156BF1F" w14:textId="147B5D92" w:rsidR="00165577" w:rsidRPr="0040668C" w:rsidRDefault="00165577" w:rsidP="00165577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40668C">
        <w:rPr>
          <w:rFonts w:ascii="Times New Roman" w:hAnsi="Times New Roman"/>
          <w:b/>
          <w:sz w:val="24"/>
          <w:szCs w:val="24"/>
        </w:rPr>
        <w:t xml:space="preserve">Prechodné ustanovenia k úpravám účinným od </w:t>
      </w:r>
      <w:r w:rsidR="007E66C4" w:rsidRPr="0040668C">
        <w:rPr>
          <w:rFonts w:ascii="Times New Roman" w:hAnsi="Times New Roman"/>
          <w:b/>
          <w:sz w:val="24"/>
          <w:szCs w:val="24"/>
        </w:rPr>
        <w:t>1. februára 2025</w:t>
      </w:r>
    </w:p>
    <w:p w14:paraId="57EEF668" w14:textId="77777777" w:rsidR="00165577" w:rsidRPr="0040668C" w:rsidRDefault="00165577" w:rsidP="00165577">
      <w:pPr>
        <w:pStyle w:val="Odsekzoznamu"/>
        <w:widowControl w:val="0"/>
        <w:tabs>
          <w:tab w:val="left" w:pos="1618"/>
          <w:tab w:val="left" w:leader="dot" w:pos="9475"/>
        </w:tabs>
        <w:spacing w:after="0" w:line="240" w:lineRule="auto"/>
        <w:ind w:left="388"/>
        <w:jc w:val="both"/>
        <w:rPr>
          <w:rFonts w:ascii="Times New Roman" w:hAnsi="Times New Roman"/>
          <w:sz w:val="24"/>
          <w:szCs w:val="24"/>
        </w:rPr>
      </w:pPr>
    </w:p>
    <w:p w14:paraId="056FCE13" w14:textId="654BB7FD" w:rsidR="00165577" w:rsidRPr="0040668C" w:rsidRDefault="00165577" w:rsidP="00165577">
      <w:pPr>
        <w:tabs>
          <w:tab w:val="left" w:pos="426"/>
        </w:tabs>
        <w:ind w:left="357" w:firstLine="357"/>
        <w:jc w:val="both"/>
        <w:rPr>
          <w:rFonts w:cs="Times New Roman"/>
          <w:szCs w:val="24"/>
        </w:rPr>
      </w:pPr>
      <w:r w:rsidRPr="0040668C">
        <w:rPr>
          <w:rFonts w:cs="Times New Roman"/>
          <w:szCs w:val="24"/>
        </w:rPr>
        <w:t xml:space="preserve">(1) Podmienky podľa </w:t>
      </w:r>
      <w:hyperlink r:id="rId8" w:anchor="paragraf-7.odsek-2" w:tooltip="Odkaz na predpis alebo ustanovenie" w:history="1">
        <w:r w:rsidRPr="0040668C">
          <w:rPr>
            <w:rFonts w:cs="Times New Roman"/>
            <w:szCs w:val="24"/>
          </w:rPr>
          <w:t>§ 5 ods. 2</w:t>
        </w:r>
      </w:hyperlink>
      <w:r w:rsidRPr="0040668C">
        <w:rPr>
          <w:rFonts w:cs="Times New Roman"/>
          <w:szCs w:val="24"/>
        </w:rPr>
        <w:t xml:space="preserve"> v znení účinnom od </w:t>
      </w:r>
      <w:r w:rsidR="00BE60A1" w:rsidRPr="0040668C">
        <w:rPr>
          <w:rFonts w:cs="Times New Roman"/>
          <w:szCs w:val="24"/>
        </w:rPr>
        <w:t>1. februára 2025</w:t>
      </w:r>
      <w:r w:rsidRPr="0040668C">
        <w:rPr>
          <w:rFonts w:cs="Times New Roman"/>
          <w:szCs w:val="24"/>
        </w:rPr>
        <w:t xml:space="preserve"> sa u generálneho riaditeľa vymenovaného pred </w:t>
      </w:r>
      <w:r w:rsidR="00BE60A1" w:rsidRPr="0040668C">
        <w:rPr>
          <w:rFonts w:cs="Times New Roman"/>
          <w:szCs w:val="24"/>
        </w:rPr>
        <w:t>1. februárom 2025</w:t>
      </w:r>
      <w:r w:rsidRPr="0040668C">
        <w:rPr>
          <w:rFonts w:cs="Times New Roman"/>
          <w:szCs w:val="24"/>
        </w:rPr>
        <w:t xml:space="preserve"> považujú za splnené.</w:t>
      </w:r>
    </w:p>
    <w:p w14:paraId="2D415DA9" w14:textId="77777777" w:rsidR="00165577" w:rsidRPr="0040668C" w:rsidRDefault="00165577" w:rsidP="00165577">
      <w:pPr>
        <w:pStyle w:val="Odsekzoznamu"/>
        <w:widowControl w:val="0"/>
        <w:tabs>
          <w:tab w:val="left" w:pos="426"/>
        </w:tabs>
        <w:spacing w:after="0" w:line="240" w:lineRule="auto"/>
        <w:ind w:left="1074"/>
        <w:jc w:val="both"/>
        <w:rPr>
          <w:rFonts w:ascii="Times New Roman" w:hAnsi="Times New Roman"/>
          <w:sz w:val="24"/>
          <w:szCs w:val="24"/>
        </w:rPr>
      </w:pPr>
    </w:p>
    <w:p w14:paraId="3FB2DD0F" w14:textId="78DD68FF" w:rsidR="00165577" w:rsidRDefault="00165577" w:rsidP="00165577">
      <w:pPr>
        <w:tabs>
          <w:tab w:val="left" w:pos="426"/>
        </w:tabs>
        <w:ind w:left="357" w:firstLine="357"/>
        <w:jc w:val="both"/>
        <w:rPr>
          <w:rFonts w:cs="Times New Roman"/>
          <w:szCs w:val="24"/>
        </w:rPr>
      </w:pPr>
      <w:r w:rsidRPr="0040668C">
        <w:rPr>
          <w:rFonts w:cs="Times New Roman"/>
          <w:szCs w:val="24"/>
        </w:rPr>
        <w:t xml:space="preserve">(2) Podmienky podľa </w:t>
      </w:r>
      <w:hyperlink r:id="rId9" w:anchor="paragraf-7.odsek-2" w:tooltip="Odkaz na predpis alebo ustanovenie" w:history="1">
        <w:r w:rsidRPr="0040668C">
          <w:rPr>
            <w:rFonts w:cs="Times New Roman"/>
            <w:szCs w:val="24"/>
          </w:rPr>
          <w:t>§ 7 ods. 2</w:t>
        </w:r>
      </w:hyperlink>
      <w:r w:rsidRPr="0040668C">
        <w:rPr>
          <w:rFonts w:cs="Times New Roman"/>
          <w:szCs w:val="24"/>
        </w:rPr>
        <w:t xml:space="preserve"> v znení účinnom od </w:t>
      </w:r>
      <w:r w:rsidR="00BE60A1" w:rsidRPr="0040668C">
        <w:rPr>
          <w:rFonts w:cs="Times New Roman"/>
          <w:szCs w:val="24"/>
        </w:rPr>
        <w:t>1. februára 2025</w:t>
      </w:r>
      <w:r w:rsidRPr="0040668C">
        <w:rPr>
          <w:rFonts w:cs="Times New Roman"/>
          <w:szCs w:val="24"/>
        </w:rPr>
        <w:t xml:space="preserve"> sa u riaditeľa vymenovaného pred </w:t>
      </w:r>
      <w:r w:rsidR="00BE60A1" w:rsidRPr="0040668C">
        <w:rPr>
          <w:rFonts w:cs="Times New Roman"/>
          <w:szCs w:val="24"/>
        </w:rPr>
        <w:t>1. februárom 2025</w:t>
      </w:r>
      <w:r w:rsidRPr="0040668C">
        <w:rPr>
          <w:rFonts w:cs="Times New Roman"/>
          <w:szCs w:val="24"/>
        </w:rPr>
        <w:t xml:space="preserve"> považujú za splnené.“.</w:t>
      </w:r>
    </w:p>
    <w:p w14:paraId="5D36C891" w14:textId="17AD0E81" w:rsidR="009558EE" w:rsidRDefault="009558EE" w:rsidP="00165577">
      <w:pPr>
        <w:tabs>
          <w:tab w:val="left" w:pos="426"/>
        </w:tabs>
        <w:ind w:left="357" w:firstLine="357"/>
        <w:jc w:val="both"/>
        <w:rPr>
          <w:rFonts w:cs="Times New Roman"/>
          <w:szCs w:val="24"/>
        </w:rPr>
      </w:pPr>
    </w:p>
    <w:p w14:paraId="651225D4" w14:textId="39D3ACB3" w:rsidR="009558EE" w:rsidRDefault="009558EE" w:rsidP="00165577">
      <w:pPr>
        <w:tabs>
          <w:tab w:val="left" w:pos="426"/>
        </w:tabs>
        <w:ind w:left="357" w:firstLine="357"/>
        <w:jc w:val="both"/>
        <w:rPr>
          <w:rFonts w:cs="Times New Roman"/>
          <w:szCs w:val="24"/>
        </w:rPr>
      </w:pPr>
    </w:p>
    <w:p w14:paraId="08951623" w14:textId="409B6A39" w:rsidR="009558EE" w:rsidRDefault="009558EE" w:rsidP="00165577">
      <w:pPr>
        <w:tabs>
          <w:tab w:val="left" w:pos="426"/>
        </w:tabs>
        <w:ind w:left="357" w:firstLine="357"/>
        <w:jc w:val="both"/>
        <w:rPr>
          <w:rFonts w:cs="Times New Roman"/>
          <w:szCs w:val="24"/>
        </w:rPr>
      </w:pPr>
    </w:p>
    <w:p w14:paraId="2546DC5C" w14:textId="6ADF6661" w:rsidR="009558EE" w:rsidRDefault="009558EE" w:rsidP="00165577">
      <w:pPr>
        <w:tabs>
          <w:tab w:val="left" w:pos="426"/>
        </w:tabs>
        <w:ind w:left="357" w:firstLine="357"/>
        <w:jc w:val="both"/>
        <w:rPr>
          <w:rFonts w:cs="Times New Roman"/>
          <w:szCs w:val="24"/>
        </w:rPr>
      </w:pPr>
    </w:p>
    <w:p w14:paraId="1767756D" w14:textId="6B0B538C" w:rsidR="009558EE" w:rsidRDefault="009558EE" w:rsidP="00165577">
      <w:pPr>
        <w:tabs>
          <w:tab w:val="left" w:pos="426"/>
        </w:tabs>
        <w:ind w:left="357" w:firstLine="357"/>
        <w:jc w:val="both"/>
        <w:rPr>
          <w:rFonts w:cs="Times New Roman"/>
          <w:szCs w:val="24"/>
        </w:rPr>
      </w:pPr>
    </w:p>
    <w:p w14:paraId="2C9124B0" w14:textId="5C9EC476" w:rsidR="009558EE" w:rsidRDefault="009558EE" w:rsidP="00165577">
      <w:pPr>
        <w:tabs>
          <w:tab w:val="left" w:pos="426"/>
        </w:tabs>
        <w:ind w:left="357" w:firstLine="357"/>
        <w:jc w:val="both"/>
        <w:rPr>
          <w:rFonts w:cs="Times New Roman"/>
          <w:szCs w:val="24"/>
        </w:rPr>
      </w:pPr>
    </w:p>
    <w:p w14:paraId="51E3B9A2" w14:textId="63AF14DF" w:rsidR="009558EE" w:rsidRDefault="009558EE" w:rsidP="00165577">
      <w:pPr>
        <w:tabs>
          <w:tab w:val="left" w:pos="426"/>
        </w:tabs>
        <w:ind w:left="357" w:firstLine="357"/>
        <w:jc w:val="both"/>
        <w:rPr>
          <w:rFonts w:cs="Times New Roman"/>
          <w:szCs w:val="24"/>
        </w:rPr>
      </w:pPr>
    </w:p>
    <w:p w14:paraId="4EC0ADB7" w14:textId="6CAD9105" w:rsidR="009558EE" w:rsidRDefault="009558EE" w:rsidP="00165577">
      <w:pPr>
        <w:tabs>
          <w:tab w:val="left" w:pos="426"/>
        </w:tabs>
        <w:ind w:left="357" w:firstLine="357"/>
        <w:jc w:val="both"/>
        <w:rPr>
          <w:rFonts w:cs="Times New Roman"/>
          <w:szCs w:val="24"/>
        </w:rPr>
      </w:pPr>
    </w:p>
    <w:p w14:paraId="59A16945" w14:textId="67C52877" w:rsidR="009558EE" w:rsidRDefault="009558EE" w:rsidP="00165577">
      <w:pPr>
        <w:tabs>
          <w:tab w:val="left" w:pos="426"/>
        </w:tabs>
        <w:ind w:left="357" w:firstLine="357"/>
        <w:jc w:val="both"/>
        <w:rPr>
          <w:rFonts w:cs="Times New Roman"/>
          <w:szCs w:val="24"/>
        </w:rPr>
      </w:pPr>
    </w:p>
    <w:p w14:paraId="11AE477B" w14:textId="5D296365" w:rsidR="009558EE" w:rsidRDefault="009558EE">
      <w:pPr>
        <w:widowControl/>
        <w:suppressAutoHyphens w:val="0"/>
        <w:autoSpaceDN/>
        <w:spacing w:after="160" w:line="259" w:lineRule="auto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F7B32B9" w14:textId="77777777" w:rsidR="00165577" w:rsidRPr="0040668C" w:rsidRDefault="00165577" w:rsidP="00165577">
      <w:pPr>
        <w:pStyle w:val="Odsekzoznamu"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357" w:hanging="357"/>
        <w:jc w:val="both"/>
        <w:rPr>
          <w:rFonts w:ascii="Times New Roman" w:eastAsia="SimSun" w:hAnsi="Times New Roman"/>
          <w:sz w:val="24"/>
          <w:szCs w:val="24"/>
        </w:rPr>
      </w:pPr>
      <w:r w:rsidRPr="0040668C">
        <w:rPr>
          <w:rFonts w:ascii="Times New Roman" w:eastAsia="SimSun" w:hAnsi="Times New Roman"/>
          <w:sz w:val="24"/>
          <w:szCs w:val="24"/>
        </w:rPr>
        <w:lastRenderedPageBreak/>
        <w:t>Príloha č. 1 vrátane nadpisu znie:</w:t>
      </w:r>
    </w:p>
    <w:p w14:paraId="5455A6A4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6372"/>
        <w:jc w:val="both"/>
        <w:rPr>
          <w:rFonts w:ascii="Times New Roman" w:hAnsi="Times New Roman"/>
          <w:b/>
          <w:sz w:val="24"/>
          <w:szCs w:val="24"/>
        </w:rPr>
      </w:pPr>
      <w:r w:rsidRPr="0040668C">
        <w:rPr>
          <w:rFonts w:ascii="Times New Roman" w:hAnsi="Times New Roman"/>
          <w:sz w:val="24"/>
          <w:szCs w:val="24"/>
        </w:rPr>
        <w:t>„</w:t>
      </w:r>
      <w:r w:rsidRPr="0040668C">
        <w:rPr>
          <w:rFonts w:ascii="Times New Roman" w:hAnsi="Times New Roman"/>
          <w:b/>
          <w:sz w:val="24"/>
          <w:szCs w:val="24"/>
        </w:rPr>
        <w:t>Príloha č. 1</w:t>
      </w:r>
    </w:p>
    <w:p w14:paraId="74E6CDB2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6372"/>
        <w:jc w:val="both"/>
        <w:rPr>
          <w:rFonts w:ascii="Times New Roman" w:hAnsi="Times New Roman"/>
          <w:b/>
          <w:sz w:val="24"/>
          <w:szCs w:val="24"/>
        </w:rPr>
      </w:pPr>
      <w:r w:rsidRPr="0040668C">
        <w:rPr>
          <w:rFonts w:ascii="Times New Roman" w:hAnsi="Times New Roman"/>
          <w:b/>
          <w:sz w:val="24"/>
          <w:szCs w:val="24"/>
        </w:rPr>
        <w:t>k zákonu č. 125/2006 Z. z.</w:t>
      </w:r>
    </w:p>
    <w:p w14:paraId="556E29FD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7E4DA05B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14:paraId="030DADE9" w14:textId="7992D424" w:rsidR="00165577" w:rsidRPr="0040668C" w:rsidRDefault="00795492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VZOR PREUKAZU INŠPEKTORA PRÁCE</w:t>
      </w:r>
    </w:p>
    <w:p w14:paraId="3ED57805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357"/>
        <w:jc w:val="both"/>
        <w:rPr>
          <w:rFonts w:ascii="Times New Roman" w:eastAsia="SimSun" w:hAnsi="Times New Roman"/>
          <w:sz w:val="24"/>
          <w:szCs w:val="24"/>
        </w:rPr>
      </w:pPr>
    </w:p>
    <w:p w14:paraId="1E6A3063" w14:textId="77777777" w:rsidR="00165577" w:rsidRPr="0040668C" w:rsidRDefault="00165577" w:rsidP="00165577">
      <w:pPr>
        <w:ind w:left="357"/>
        <w:jc w:val="both"/>
        <w:rPr>
          <w:rFonts w:cs="Times New Roman"/>
          <w:szCs w:val="24"/>
        </w:rPr>
      </w:pPr>
      <w:r w:rsidRPr="0040668C">
        <w:rPr>
          <w:rFonts w:cs="Times New Roman"/>
          <w:szCs w:val="24"/>
        </w:rPr>
        <w:t>Predná strana</w:t>
      </w:r>
    </w:p>
    <w:p w14:paraId="6ACF04E7" w14:textId="77777777" w:rsidR="00165577" w:rsidRPr="0040668C" w:rsidRDefault="00165577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</w:p>
    <w:p w14:paraId="22FC01F0" w14:textId="77777777" w:rsidR="00165577" w:rsidRPr="0040668C" w:rsidRDefault="00165577" w:rsidP="00165577">
      <w:pPr>
        <w:tabs>
          <w:tab w:val="left" w:pos="1618"/>
          <w:tab w:val="left" w:leader="dot" w:pos="9475"/>
        </w:tabs>
        <w:ind w:left="357"/>
        <w:jc w:val="both"/>
        <w:rPr>
          <w:rFonts w:cs="Times New Roman"/>
          <w:szCs w:val="24"/>
        </w:rPr>
      </w:pPr>
      <w:r w:rsidRPr="0040668C">
        <w:rPr>
          <w:rFonts w:cs="Times New Roman"/>
          <w:noProof/>
          <w:szCs w:val="24"/>
          <w:lang w:eastAsia="sk-SK"/>
        </w:rPr>
        <w:drawing>
          <wp:inline distT="0" distB="0" distL="0" distR="0" wp14:anchorId="374298FE" wp14:editId="10F419E0">
            <wp:extent cx="3105150" cy="1950302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ZOR PREUKAZU IP 2024 1 stran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382" cy="19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31CF2" w14:textId="77777777" w:rsidR="00165577" w:rsidRPr="0040668C" w:rsidRDefault="00165577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</w:p>
    <w:p w14:paraId="7BDA31B3" w14:textId="77777777" w:rsidR="00165577" w:rsidRPr="0040668C" w:rsidRDefault="00165577" w:rsidP="00165577">
      <w:pPr>
        <w:ind w:left="357"/>
        <w:jc w:val="both"/>
        <w:rPr>
          <w:rFonts w:cs="Times New Roman"/>
          <w:szCs w:val="24"/>
        </w:rPr>
      </w:pPr>
      <w:r w:rsidRPr="0040668C">
        <w:rPr>
          <w:rFonts w:cs="Times New Roman"/>
          <w:szCs w:val="24"/>
        </w:rPr>
        <w:t>Zadná strana</w:t>
      </w:r>
    </w:p>
    <w:p w14:paraId="7CB18C4C" w14:textId="77777777" w:rsidR="00165577" w:rsidRPr="0040668C" w:rsidRDefault="00165577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</w:p>
    <w:p w14:paraId="42602B95" w14:textId="19927019" w:rsidR="00165577" w:rsidRPr="0040668C" w:rsidRDefault="00165577" w:rsidP="00165577">
      <w:pPr>
        <w:tabs>
          <w:tab w:val="left" w:pos="1618"/>
          <w:tab w:val="left" w:leader="dot" w:pos="9475"/>
        </w:tabs>
        <w:ind w:left="357"/>
        <w:jc w:val="both"/>
        <w:rPr>
          <w:rFonts w:cs="Times New Roman"/>
          <w:szCs w:val="24"/>
        </w:rPr>
      </w:pPr>
      <w:r w:rsidRPr="0040668C">
        <w:rPr>
          <w:rFonts w:cs="Times New Roman"/>
          <w:noProof/>
          <w:szCs w:val="24"/>
          <w:lang w:eastAsia="sk-SK"/>
        </w:rPr>
        <w:drawing>
          <wp:inline distT="0" distB="0" distL="0" distR="0" wp14:anchorId="7F91526E" wp14:editId="05143EAD">
            <wp:extent cx="3103791" cy="1949450"/>
            <wp:effectExtent l="0" t="0" r="190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ZOR PREUKAZU IP 2024 2 stran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889" cy="197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Pr="0040668C">
        <w:rPr>
          <w:rFonts w:cs="Times New Roman"/>
          <w:szCs w:val="24"/>
        </w:rPr>
        <w:t>“.</w:t>
      </w:r>
    </w:p>
    <w:p w14:paraId="7E74C339" w14:textId="77777777" w:rsidR="00165577" w:rsidRPr="0040668C" w:rsidRDefault="00165577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</w:p>
    <w:p w14:paraId="60726894" w14:textId="77777777" w:rsidR="00165577" w:rsidRPr="0040668C" w:rsidRDefault="00165577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</w:p>
    <w:p w14:paraId="2022CDCF" w14:textId="77777777" w:rsidR="00165577" w:rsidRPr="0040668C" w:rsidRDefault="00165577" w:rsidP="00165577">
      <w:pPr>
        <w:tabs>
          <w:tab w:val="left" w:pos="1618"/>
          <w:tab w:val="left" w:leader="dot" w:pos="9475"/>
        </w:tabs>
        <w:jc w:val="center"/>
        <w:rPr>
          <w:rFonts w:cs="Times New Roman"/>
          <w:b/>
          <w:szCs w:val="24"/>
        </w:rPr>
      </w:pPr>
      <w:r w:rsidRPr="0040668C">
        <w:rPr>
          <w:rFonts w:cs="Times New Roman"/>
          <w:b/>
          <w:szCs w:val="24"/>
        </w:rPr>
        <w:t>Čl. II</w:t>
      </w:r>
    </w:p>
    <w:p w14:paraId="723E4215" w14:textId="77777777" w:rsidR="00165577" w:rsidRPr="0040668C" w:rsidRDefault="00165577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</w:p>
    <w:p w14:paraId="597A0F32" w14:textId="77777777" w:rsidR="00165577" w:rsidRPr="0040668C" w:rsidRDefault="00165577" w:rsidP="00165577">
      <w:pPr>
        <w:pStyle w:val="Standard"/>
        <w:widowControl w:val="0"/>
        <w:ind w:firstLine="357"/>
        <w:jc w:val="both"/>
        <w:rPr>
          <w:rFonts w:cs="Times New Roman"/>
          <w:szCs w:val="24"/>
        </w:rPr>
      </w:pPr>
      <w:r w:rsidRPr="0040668C">
        <w:rPr>
          <w:rFonts w:cs="Times New Roman"/>
          <w:szCs w:val="24"/>
        </w:rPr>
        <w:t xml:space="preserve">Zákon č. </w:t>
      </w:r>
      <w:r w:rsidRPr="0040668C">
        <w:rPr>
          <w:rFonts w:cs="Times New Roman"/>
          <w:bCs/>
          <w:szCs w:val="24"/>
        </w:rPr>
        <w:t>321/2002 Z. z.</w:t>
      </w:r>
      <w:r w:rsidRPr="0040668C">
        <w:rPr>
          <w:rFonts w:cs="Times New Roman"/>
          <w:szCs w:val="24"/>
        </w:rPr>
        <w:t xml:space="preserve"> o ozbrojených silách Slovenskej republiky v znení zákona č. 512/2002 Z. z., zákona č. 455/2004 Z. z., zákona č. 240/2005 Z. z., zákona č. 570/2005 Z. z., zákona č. 11/2006 Z. z., zákona č. 333/2007 Z. z., zákona č. 144/2008 Z. z., zákona č. 59/2009 Z. z., zákona č. 494/2009 Z. z., zákona č. 220/2011 Z. z., zákona č. 345/2012 Z. z., zákona č. 99/2014 Z. z., zákona č. 378/2015 Z. z., zákona č. 98/2019 Z. z., zákona č. 477/2019 Z. z., zákona č. 92/2022 Z. z., zákona č. 457/2022 Z. z. a zákona č. 161/2024 Z. z. sa mení takto:</w:t>
      </w:r>
    </w:p>
    <w:p w14:paraId="3AA5DCD6" w14:textId="77777777" w:rsidR="00165577" w:rsidRPr="0040668C" w:rsidRDefault="00165577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</w:p>
    <w:p w14:paraId="0815D842" w14:textId="77777777" w:rsidR="00165577" w:rsidRPr="0040668C" w:rsidRDefault="00165577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  <w:r w:rsidRPr="0040668C">
        <w:rPr>
          <w:rFonts w:cs="Times New Roman"/>
          <w:szCs w:val="24"/>
        </w:rPr>
        <w:t>V § 6 ods. 3 sa vypúšťa písmeno i).</w:t>
      </w:r>
    </w:p>
    <w:p w14:paraId="49161FA3" w14:textId="77777777" w:rsidR="00165577" w:rsidRPr="0040668C" w:rsidRDefault="00165577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</w:p>
    <w:p w14:paraId="70C88AE0" w14:textId="26E089B4" w:rsidR="00165577" w:rsidRDefault="00165577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  <w:r w:rsidRPr="0040668C">
        <w:rPr>
          <w:rFonts w:cs="Times New Roman"/>
          <w:szCs w:val="24"/>
        </w:rPr>
        <w:t>Doterajšie písmená j) a k) sa označujú ako písmená i) a j).</w:t>
      </w:r>
    </w:p>
    <w:p w14:paraId="0F0F87AC" w14:textId="77777777" w:rsidR="00A624A0" w:rsidRPr="0040668C" w:rsidRDefault="00A624A0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</w:p>
    <w:p w14:paraId="5884AB56" w14:textId="77777777" w:rsidR="00165577" w:rsidRPr="0040668C" w:rsidRDefault="00165577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</w:p>
    <w:bookmarkEnd w:id="0"/>
    <w:p w14:paraId="74ADD4BC" w14:textId="77777777" w:rsidR="00165577" w:rsidRPr="0040668C" w:rsidRDefault="00165577" w:rsidP="00165577">
      <w:pPr>
        <w:jc w:val="center"/>
        <w:rPr>
          <w:rFonts w:cs="Times New Roman"/>
          <w:b/>
          <w:color w:val="000000" w:themeColor="text1"/>
          <w:szCs w:val="24"/>
        </w:rPr>
      </w:pPr>
      <w:r w:rsidRPr="0040668C">
        <w:rPr>
          <w:rFonts w:cs="Times New Roman"/>
          <w:b/>
          <w:color w:val="000000" w:themeColor="text1"/>
          <w:szCs w:val="24"/>
        </w:rPr>
        <w:lastRenderedPageBreak/>
        <w:t>Čl. III</w:t>
      </w:r>
    </w:p>
    <w:p w14:paraId="4BC72FF9" w14:textId="77777777" w:rsidR="00165577" w:rsidRPr="0040668C" w:rsidRDefault="00165577" w:rsidP="00165577">
      <w:pPr>
        <w:jc w:val="center"/>
        <w:rPr>
          <w:rFonts w:cs="Times New Roman"/>
          <w:b/>
          <w:color w:val="000000" w:themeColor="text1"/>
          <w:szCs w:val="24"/>
        </w:rPr>
      </w:pPr>
    </w:p>
    <w:p w14:paraId="33885114" w14:textId="77777777" w:rsidR="00165577" w:rsidRPr="0040668C" w:rsidRDefault="00165577" w:rsidP="00165577">
      <w:pPr>
        <w:pStyle w:val="Standard"/>
        <w:widowControl w:val="0"/>
        <w:ind w:firstLine="357"/>
        <w:jc w:val="both"/>
        <w:rPr>
          <w:rFonts w:cs="Times New Roman"/>
          <w:color w:val="000000" w:themeColor="text1"/>
          <w:szCs w:val="24"/>
        </w:rPr>
      </w:pPr>
      <w:r w:rsidRPr="0040668C">
        <w:rPr>
          <w:rFonts w:cs="Times New Roman"/>
          <w:color w:val="000000" w:themeColor="text1"/>
          <w:szCs w:val="24"/>
        </w:rPr>
        <w:t xml:space="preserve">Zákon č. </w:t>
      </w:r>
      <w:r w:rsidRPr="0040668C">
        <w:rPr>
          <w:rFonts w:cs="Times New Roman"/>
          <w:bCs/>
          <w:color w:val="000000" w:themeColor="text1"/>
          <w:szCs w:val="24"/>
        </w:rPr>
        <w:t>82/2005 Z. z.</w:t>
      </w:r>
      <w:r w:rsidRPr="0040668C">
        <w:rPr>
          <w:rFonts w:cs="Times New Roman"/>
          <w:color w:val="000000" w:themeColor="text1"/>
          <w:szCs w:val="24"/>
        </w:rPr>
        <w:t xml:space="preserve"> o nelegálnej práci a nelegálnom zamestnávaní a o zmene a doplnení niektorých zákonov v znení zákona č. 125/2006 Z. z., zákona č. 52/2010 Z. z., zákona č. 223/2011 Z. z., zákona č. 308/2013 Z. z., zákona č. 495/2013 Z. z., zákona č. 351/2015 Z. z., zákona č. 294/2017 Z. z., zákona č. 320/2019 Z. z., zákona č. 76/2021 Z. z. a zákona č. 112/2022 Z. z. sa mení takto:</w:t>
      </w:r>
    </w:p>
    <w:p w14:paraId="0F9B3C24" w14:textId="77777777" w:rsidR="00165577" w:rsidRPr="0040668C" w:rsidRDefault="00165577" w:rsidP="00165577">
      <w:pPr>
        <w:jc w:val="both"/>
        <w:rPr>
          <w:rFonts w:cs="Times New Roman"/>
          <w:color w:val="000000" w:themeColor="text1"/>
          <w:szCs w:val="24"/>
        </w:rPr>
      </w:pPr>
    </w:p>
    <w:p w14:paraId="515EFCAE" w14:textId="77777777" w:rsidR="00165577" w:rsidRPr="0040668C" w:rsidRDefault="00165577" w:rsidP="00165577">
      <w:pPr>
        <w:jc w:val="both"/>
        <w:rPr>
          <w:rFonts w:cs="Times New Roman"/>
          <w:color w:val="000000" w:themeColor="text1"/>
          <w:szCs w:val="24"/>
        </w:rPr>
      </w:pPr>
      <w:r w:rsidRPr="0040668C">
        <w:rPr>
          <w:rFonts w:cs="Times New Roman"/>
          <w:color w:val="000000" w:themeColor="text1"/>
          <w:szCs w:val="24"/>
        </w:rPr>
        <w:t>V § 7b odsek 9 znie:</w:t>
      </w:r>
    </w:p>
    <w:p w14:paraId="4410839D" w14:textId="77777777" w:rsidR="00165577" w:rsidRPr="0040668C" w:rsidRDefault="00165577" w:rsidP="00165577">
      <w:pPr>
        <w:pStyle w:val="Odsekzoznamu"/>
        <w:widowControl w:val="0"/>
        <w:tabs>
          <w:tab w:val="left" w:pos="1109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668C">
        <w:rPr>
          <w:rFonts w:ascii="Times New Roman" w:eastAsia="TeX Gyre Bonum" w:hAnsi="Times New Roman"/>
          <w:sz w:val="24"/>
          <w:szCs w:val="24"/>
        </w:rPr>
        <w:t>„(9) Konanie o uloženie pokuty podľa odseku 8 možno začať do šiestich mesiacov odo dňa ukončenia výkonu kontroly, najneskôr do troch rokov odo dňa, keď došlo k porušeniu zákazu.“.</w:t>
      </w:r>
    </w:p>
    <w:p w14:paraId="48960729" w14:textId="77777777" w:rsidR="00165577" w:rsidRPr="0040668C" w:rsidRDefault="00165577" w:rsidP="00165577">
      <w:pPr>
        <w:jc w:val="both"/>
        <w:rPr>
          <w:rFonts w:cs="Times New Roman"/>
          <w:color w:val="000000" w:themeColor="text1"/>
          <w:szCs w:val="24"/>
        </w:rPr>
      </w:pPr>
    </w:p>
    <w:p w14:paraId="3E9D83AA" w14:textId="77777777" w:rsidR="00165577" w:rsidRPr="0040668C" w:rsidRDefault="00165577" w:rsidP="00165577">
      <w:pPr>
        <w:tabs>
          <w:tab w:val="left" w:pos="1618"/>
          <w:tab w:val="left" w:leader="dot" w:pos="9475"/>
        </w:tabs>
        <w:jc w:val="center"/>
        <w:rPr>
          <w:rFonts w:cs="Times New Roman"/>
          <w:b/>
          <w:szCs w:val="24"/>
        </w:rPr>
      </w:pPr>
      <w:r w:rsidRPr="0040668C">
        <w:rPr>
          <w:rFonts w:cs="Times New Roman"/>
          <w:b/>
          <w:szCs w:val="24"/>
        </w:rPr>
        <w:t>Čl. IV</w:t>
      </w:r>
    </w:p>
    <w:p w14:paraId="3BD0ED72" w14:textId="77777777" w:rsidR="00165577" w:rsidRPr="0040668C" w:rsidRDefault="00165577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</w:p>
    <w:p w14:paraId="5931FC57" w14:textId="5AC6AFFC" w:rsidR="00165577" w:rsidRPr="0040668C" w:rsidRDefault="00165577" w:rsidP="00165577">
      <w:pPr>
        <w:pStyle w:val="Standard"/>
        <w:widowControl w:val="0"/>
        <w:ind w:firstLine="357"/>
        <w:jc w:val="both"/>
        <w:rPr>
          <w:rFonts w:cs="Times New Roman"/>
          <w:szCs w:val="24"/>
        </w:rPr>
      </w:pPr>
      <w:r w:rsidRPr="0040668C">
        <w:rPr>
          <w:rFonts w:cs="Times New Roman"/>
          <w:szCs w:val="24"/>
        </w:rPr>
        <w:t xml:space="preserve">Zákon č. </w:t>
      </w:r>
      <w:r w:rsidRPr="0040668C">
        <w:rPr>
          <w:rFonts w:cs="Times New Roman"/>
          <w:bCs/>
          <w:szCs w:val="24"/>
        </w:rPr>
        <w:t>124/2006 Z. z.</w:t>
      </w:r>
      <w:r w:rsidRPr="0040668C">
        <w:rPr>
          <w:rFonts w:cs="Times New Roman"/>
          <w:szCs w:val="24"/>
        </w:rPr>
        <w:t xml:space="preserve"> o bezpečnosti a ochrane zdravia pri práci a o zmene a doplnení niektorých zákonov v znení zákona č. 309/2007 Z. z., zákona č. 140/2008 Z. z., zákona č. 132/2010 Z. z., zákona č. 136/2010 Z. z., zákona č. 470/2011 Z. z., zákona č. 154/ 2013 Z. z., zákona č. 308/2013 Z. z., zákona č. 58/2014 Z. z., zákona č. 204/2014 Z. z., zákona č. 118/2015 Z. z., zákona č. 128/2015 Z. z., zákona č. 378/2015 Z. z., zákona č. 66/2020 Z. z., zákona č. 198/2020 Z. z., zákona č. 73/2021 Z. z., zákona č. 310/2021 Z. z., zákona č. 114/2022 Z. z.</w:t>
      </w:r>
      <w:r w:rsidR="001E5F4B" w:rsidRPr="0040668C">
        <w:rPr>
          <w:rFonts w:cs="Times New Roman"/>
          <w:szCs w:val="24"/>
        </w:rPr>
        <w:t>,</w:t>
      </w:r>
      <w:r w:rsidRPr="0040668C">
        <w:rPr>
          <w:rFonts w:cs="Times New Roman"/>
          <w:szCs w:val="24"/>
        </w:rPr>
        <w:t xml:space="preserve"> zákona č. 205/2023 Z. z. </w:t>
      </w:r>
      <w:r w:rsidR="001E5F4B" w:rsidRPr="0040668C">
        <w:rPr>
          <w:rFonts w:cs="Times New Roman"/>
          <w:szCs w:val="24"/>
        </w:rPr>
        <w:t xml:space="preserve">a zákona č. </w:t>
      </w:r>
      <w:r w:rsidR="006D4EC7" w:rsidRPr="0040668C">
        <w:rPr>
          <w:rFonts w:cs="Times New Roman"/>
          <w:szCs w:val="24"/>
        </w:rPr>
        <w:t>292</w:t>
      </w:r>
      <w:r w:rsidR="001E5F4B" w:rsidRPr="0040668C">
        <w:rPr>
          <w:rFonts w:cs="Times New Roman"/>
          <w:szCs w:val="24"/>
        </w:rPr>
        <w:t xml:space="preserve">/2024 Z. z. </w:t>
      </w:r>
      <w:r w:rsidRPr="0040668C">
        <w:rPr>
          <w:rFonts w:cs="Times New Roman"/>
          <w:szCs w:val="24"/>
        </w:rPr>
        <w:t>sa mení a dopĺňa takto:</w:t>
      </w:r>
    </w:p>
    <w:p w14:paraId="6DAA6BD8" w14:textId="77777777" w:rsidR="00165577" w:rsidRPr="0040668C" w:rsidRDefault="00165577" w:rsidP="00165577">
      <w:pPr>
        <w:tabs>
          <w:tab w:val="left" w:pos="1618"/>
          <w:tab w:val="left" w:leader="dot" w:pos="9475"/>
        </w:tabs>
        <w:jc w:val="both"/>
        <w:rPr>
          <w:rFonts w:cs="Times New Roman"/>
          <w:szCs w:val="24"/>
        </w:rPr>
      </w:pPr>
    </w:p>
    <w:p w14:paraId="3DF8404B" w14:textId="77777777" w:rsidR="00165577" w:rsidRPr="0040668C" w:rsidRDefault="00165577" w:rsidP="00165577">
      <w:pPr>
        <w:pStyle w:val="Odsekzoznamu"/>
        <w:numPr>
          <w:ilvl w:val="0"/>
          <w:numId w:val="34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68C">
        <w:rPr>
          <w:rFonts w:ascii="Times New Roman" w:hAnsi="Times New Roman"/>
          <w:sz w:val="24"/>
          <w:szCs w:val="24"/>
        </w:rPr>
        <w:t>V § 14 ods. 2 sa za prvú vetu vkladá nová druhá veta, ktorá znie: „Plnenie požiadaviek bezpečnosti technických zariadení podľa odseku 1 nachádzajúcich sa na pracoviskách Ministerstva obrany Slovenskej republiky, ozbrojených síl Slovenskej republiky, rozpočtových organizácií, príspevkových organizácií, akciových spoločností a štátnych podnikov v zakladateľskej pôsobnosti alebo zriaďovateľskej pôsobnosti Ministerstva obrany Slovenskej republiky overuje Ministerstvo obrany Slovenskej republiky.“.</w:t>
      </w:r>
    </w:p>
    <w:p w14:paraId="77C75CC7" w14:textId="77777777" w:rsidR="00165577" w:rsidRPr="0040668C" w:rsidRDefault="00165577" w:rsidP="00165577">
      <w:pPr>
        <w:pStyle w:val="Odsekzoznamu"/>
        <w:tabs>
          <w:tab w:val="left" w:pos="1618"/>
          <w:tab w:val="left" w:leader="dot" w:pos="947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63F2ED6" w14:textId="77777777" w:rsidR="00165577" w:rsidRPr="0040668C" w:rsidRDefault="00165577" w:rsidP="00165577">
      <w:pPr>
        <w:pStyle w:val="Odsekzoznamu"/>
        <w:numPr>
          <w:ilvl w:val="0"/>
          <w:numId w:val="34"/>
        </w:numPr>
        <w:tabs>
          <w:tab w:val="left" w:pos="1618"/>
          <w:tab w:val="left" w:leader="dot" w:pos="94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68C">
        <w:rPr>
          <w:rFonts w:ascii="Times New Roman" w:hAnsi="Times New Roman"/>
          <w:sz w:val="24"/>
          <w:szCs w:val="24"/>
        </w:rPr>
        <w:t>V poznámke pod čiarou k odkazu 18 sa vypúšťa citácia „§ 6 ods. 3 písm. i) zákona č. 321/2002 Z. z.“.</w:t>
      </w:r>
    </w:p>
    <w:p w14:paraId="30F49AFD" w14:textId="77777777" w:rsidR="00165577" w:rsidRPr="0040668C" w:rsidRDefault="00165577" w:rsidP="00165577">
      <w:pPr>
        <w:jc w:val="both"/>
        <w:rPr>
          <w:rFonts w:cs="Times New Roman"/>
          <w:color w:val="000000" w:themeColor="text1"/>
          <w:szCs w:val="24"/>
        </w:rPr>
      </w:pPr>
    </w:p>
    <w:p w14:paraId="32EAAE2F" w14:textId="77777777" w:rsidR="00165577" w:rsidRPr="0040668C" w:rsidRDefault="00165577" w:rsidP="00165577">
      <w:pPr>
        <w:jc w:val="center"/>
        <w:rPr>
          <w:rFonts w:cs="Times New Roman"/>
          <w:b/>
          <w:color w:val="000000" w:themeColor="text1"/>
          <w:szCs w:val="24"/>
        </w:rPr>
      </w:pPr>
      <w:r w:rsidRPr="0040668C">
        <w:rPr>
          <w:rFonts w:cs="Times New Roman"/>
          <w:b/>
          <w:color w:val="000000" w:themeColor="text1"/>
          <w:szCs w:val="24"/>
        </w:rPr>
        <w:t>Čl. V</w:t>
      </w:r>
    </w:p>
    <w:p w14:paraId="7029057B" w14:textId="77777777" w:rsidR="00165577" w:rsidRPr="0040668C" w:rsidRDefault="00165577" w:rsidP="00165577">
      <w:pPr>
        <w:jc w:val="center"/>
        <w:rPr>
          <w:rFonts w:cs="Times New Roman"/>
          <w:color w:val="000000" w:themeColor="text1"/>
          <w:szCs w:val="24"/>
        </w:rPr>
      </w:pPr>
    </w:p>
    <w:p w14:paraId="70C439AA" w14:textId="77777777" w:rsidR="00165577" w:rsidRPr="0040668C" w:rsidRDefault="00165577" w:rsidP="00165577">
      <w:pPr>
        <w:pStyle w:val="Standard"/>
        <w:widowControl w:val="0"/>
        <w:ind w:firstLine="357"/>
        <w:jc w:val="both"/>
        <w:rPr>
          <w:rFonts w:eastAsia="TeX Gyre Bonum" w:cs="Times New Roman"/>
          <w:szCs w:val="24"/>
        </w:rPr>
      </w:pPr>
      <w:r w:rsidRPr="0040668C">
        <w:rPr>
          <w:rFonts w:eastAsia="TeX Gyre Bonum" w:cs="Times New Roman"/>
          <w:szCs w:val="24"/>
        </w:rPr>
        <w:t>Zákon č. 462/2007 Z. z. 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zákona č. 435/2008 Z. z., zákona č. 144/2010 Z. z., zákona č. 313/2011 Z. z., zákona č. 299/2014 Z. z., zákona č. 305/2016 Z. z., zákona č. 9/2019 Z. z., zákona č. 55/2019 Z. z., zákona č. 378/2021 Z. z. a zákona č. 407/2021 Z. z. sa mení takto:</w:t>
      </w:r>
    </w:p>
    <w:p w14:paraId="32E523DF" w14:textId="77777777" w:rsidR="00165577" w:rsidRPr="0040668C" w:rsidRDefault="00165577" w:rsidP="00165577">
      <w:pPr>
        <w:pStyle w:val="Standard"/>
        <w:widowControl w:val="0"/>
        <w:ind w:firstLine="357"/>
        <w:jc w:val="both"/>
        <w:rPr>
          <w:rFonts w:eastAsia="TeX Gyre Bonum" w:cs="Times New Roman"/>
          <w:szCs w:val="24"/>
        </w:rPr>
      </w:pPr>
    </w:p>
    <w:p w14:paraId="1B9DF842" w14:textId="1558BDC9" w:rsidR="00165577" w:rsidRDefault="00165577" w:rsidP="00165577">
      <w:pPr>
        <w:pStyle w:val="Standard"/>
        <w:widowControl w:val="0"/>
        <w:jc w:val="both"/>
        <w:rPr>
          <w:rFonts w:eastAsia="TeX Gyre Bonum" w:cs="Times New Roman"/>
          <w:szCs w:val="24"/>
        </w:rPr>
      </w:pPr>
      <w:r w:rsidRPr="0040668C">
        <w:rPr>
          <w:rFonts w:eastAsia="TeX Gyre Bonum" w:cs="Times New Roman"/>
          <w:szCs w:val="24"/>
        </w:rPr>
        <w:t>V § 37 ods. 7 sa slová „prerokovania protokolu o výsledku“ nahrádzajú slovami „ukončenia výkonu“.</w:t>
      </w:r>
    </w:p>
    <w:p w14:paraId="0875980C" w14:textId="72AD54F6" w:rsidR="009558EE" w:rsidRDefault="009558EE" w:rsidP="00165577">
      <w:pPr>
        <w:pStyle w:val="Standard"/>
        <w:widowControl w:val="0"/>
        <w:jc w:val="both"/>
        <w:rPr>
          <w:rFonts w:eastAsia="TeX Gyre Bonum" w:cs="Times New Roman"/>
          <w:szCs w:val="24"/>
        </w:rPr>
      </w:pPr>
    </w:p>
    <w:p w14:paraId="7EA1635D" w14:textId="70CD4253" w:rsidR="009558EE" w:rsidRDefault="009558EE" w:rsidP="00165577">
      <w:pPr>
        <w:pStyle w:val="Standard"/>
        <w:widowControl w:val="0"/>
        <w:jc w:val="both"/>
        <w:rPr>
          <w:rFonts w:eastAsia="TeX Gyre Bonum" w:cs="Times New Roman"/>
          <w:szCs w:val="24"/>
        </w:rPr>
      </w:pPr>
    </w:p>
    <w:p w14:paraId="0D7652E8" w14:textId="2146C40A" w:rsidR="009558EE" w:rsidRDefault="009558EE" w:rsidP="00165577">
      <w:pPr>
        <w:pStyle w:val="Standard"/>
        <w:widowControl w:val="0"/>
        <w:jc w:val="both"/>
        <w:rPr>
          <w:rFonts w:eastAsia="TeX Gyre Bonum" w:cs="Times New Roman"/>
          <w:szCs w:val="24"/>
        </w:rPr>
      </w:pPr>
    </w:p>
    <w:p w14:paraId="32DB7AAA" w14:textId="56C3C56E" w:rsidR="009558EE" w:rsidRDefault="009558EE" w:rsidP="00165577">
      <w:pPr>
        <w:pStyle w:val="Standard"/>
        <w:widowControl w:val="0"/>
        <w:jc w:val="both"/>
        <w:rPr>
          <w:rFonts w:eastAsia="TeX Gyre Bonum" w:cs="Times New Roman"/>
          <w:szCs w:val="24"/>
        </w:rPr>
      </w:pPr>
    </w:p>
    <w:p w14:paraId="2F79E7ED" w14:textId="35F40333" w:rsidR="009558EE" w:rsidRDefault="009558EE" w:rsidP="00165577">
      <w:pPr>
        <w:pStyle w:val="Standard"/>
        <w:widowControl w:val="0"/>
        <w:jc w:val="both"/>
        <w:rPr>
          <w:rFonts w:eastAsia="TeX Gyre Bonum" w:cs="Times New Roman"/>
          <w:szCs w:val="24"/>
        </w:rPr>
      </w:pPr>
    </w:p>
    <w:p w14:paraId="6D2B931E" w14:textId="77777777" w:rsidR="009558EE" w:rsidRPr="0040668C" w:rsidRDefault="009558EE" w:rsidP="00165577">
      <w:pPr>
        <w:pStyle w:val="Standard"/>
        <w:widowControl w:val="0"/>
        <w:jc w:val="both"/>
        <w:rPr>
          <w:rFonts w:eastAsia="TeX Gyre Bonum" w:cs="Times New Roman"/>
          <w:szCs w:val="24"/>
        </w:rPr>
      </w:pPr>
    </w:p>
    <w:p w14:paraId="1649B214" w14:textId="77777777" w:rsidR="00165577" w:rsidRPr="0040668C" w:rsidRDefault="00165577" w:rsidP="00165577">
      <w:pPr>
        <w:pStyle w:val="Standard"/>
        <w:widowControl w:val="0"/>
        <w:ind w:firstLine="357"/>
        <w:jc w:val="both"/>
        <w:rPr>
          <w:rFonts w:eastAsia="TeX Gyre Bonum" w:cs="Times New Roman"/>
          <w:szCs w:val="24"/>
        </w:rPr>
      </w:pPr>
    </w:p>
    <w:p w14:paraId="2441624A" w14:textId="77777777" w:rsidR="00165577" w:rsidRPr="0040668C" w:rsidRDefault="00165577" w:rsidP="00165577">
      <w:pPr>
        <w:jc w:val="center"/>
        <w:rPr>
          <w:rFonts w:cs="Times New Roman"/>
          <w:b/>
          <w:color w:val="000000" w:themeColor="text1"/>
          <w:szCs w:val="24"/>
        </w:rPr>
      </w:pPr>
      <w:r w:rsidRPr="0040668C">
        <w:rPr>
          <w:rFonts w:cs="Times New Roman"/>
          <w:b/>
          <w:color w:val="000000" w:themeColor="text1"/>
          <w:szCs w:val="24"/>
        </w:rPr>
        <w:lastRenderedPageBreak/>
        <w:t>Čl. VI</w:t>
      </w:r>
    </w:p>
    <w:p w14:paraId="7B646D1F" w14:textId="77777777" w:rsidR="00165577" w:rsidRPr="0040668C" w:rsidRDefault="00165577" w:rsidP="00165577">
      <w:pPr>
        <w:jc w:val="center"/>
        <w:rPr>
          <w:rFonts w:cs="Times New Roman"/>
          <w:color w:val="000000" w:themeColor="text1"/>
          <w:szCs w:val="24"/>
        </w:rPr>
      </w:pPr>
    </w:p>
    <w:p w14:paraId="56BB3FF6" w14:textId="7866023E" w:rsidR="00165577" w:rsidRPr="0040668C" w:rsidRDefault="00165577" w:rsidP="00165577">
      <w:pPr>
        <w:pStyle w:val="Standard"/>
        <w:widowControl w:val="0"/>
        <w:ind w:firstLine="357"/>
        <w:jc w:val="both"/>
        <w:rPr>
          <w:rFonts w:eastAsia="Times New Roman" w:cs="Times New Roman"/>
          <w:szCs w:val="24"/>
          <w:lang w:eastAsia="sk-SK"/>
        </w:rPr>
      </w:pPr>
      <w:r w:rsidRPr="0040668C">
        <w:rPr>
          <w:rFonts w:eastAsia="Times New Roman" w:cs="Times New Roman"/>
          <w:szCs w:val="24"/>
          <w:lang w:eastAsia="sk-SK"/>
        </w:rPr>
        <w:t xml:space="preserve">Tento zákon nadobúda účinnosť </w:t>
      </w:r>
      <w:r w:rsidR="000609A9" w:rsidRPr="0040668C">
        <w:rPr>
          <w:rFonts w:eastAsia="Times New Roman" w:cs="Times New Roman"/>
          <w:szCs w:val="24"/>
          <w:lang w:eastAsia="sk-SK"/>
        </w:rPr>
        <w:t>1. februára 2025</w:t>
      </w:r>
      <w:r w:rsidRPr="0040668C">
        <w:rPr>
          <w:rFonts w:eastAsia="Times New Roman" w:cs="Times New Roman"/>
          <w:szCs w:val="24"/>
          <w:lang w:eastAsia="sk-SK"/>
        </w:rPr>
        <w:t xml:space="preserve"> okrem čl. I prvého bodu § 2 ods. 4 tretej vety a štvrtého bodu, ktoré nadobúdajú účinnosť 1. apríla 2025, a čl. I štrnásteho bodu, ktorý nadobúda účinnosť 1. januára 2026.</w:t>
      </w:r>
    </w:p>
    <w:p w14:paraId="6891AA63" w14:textId="56EE1440" w:rsidR="00165577" w:rsidRDefault="00165577" w:rsidP="00165577">
      <w:pPr>
        <w:rPr>
          <w:rFonts w:cs="Times New Roman"/>
          <w:szCs w:val="24"/>
        </w:rPr>
      </w:pPr>
    </w:p>
    <w:p w14:paraId="068BC3A1" w14:textId="22FEA290" w:rsidR="009558EE" w:rsidRDefault="009558EE" w:rsidP="00165577">
      <w:pPr>
        <w:rPr>
          <w:rFonts w:cs="Times New Roman"/>
          <w:szCs w:val="24"/>
        </w:rPr>
      </w:pPr>
    </w:p>
    <w:p w14:paraId="1DAF234A" w14:textId="0B04B8B1" w:rsidR="009558EE" w:rsidRDefault="009558EE" w:rsidP="00165577">
      <w:pPr>
        <w:rPr>
          <w:rFonts w:cs="Times New Roman"/>
          <w:szCs w:val="24"/>
        </w:rPr>
      </w:pPr>
    </w:p>
    <w:p w14:paraId="4F2E0483" w14:textId="56AEC433" w:rsidR="009558EE" w:rsidRDefault="009558EE" w:rsidP="00165577">
      <w:pPr>
        <w:rPr>
          <w:rFonts w:cs="Times New Roman"/>
          <w:szCs w:val="24"/>
        </w:rPr>
      </w:pPr>
    </w:p>
    <w:p w14:paraId="09A9B67E" w14:textId="77777777" w:rsidR="009558EE" w:rsidRDefault="009558EE" w:rsidP="00165577">
      <w:pPr>
        <w:rPr>
          <w:rFonts w:cs="Times New Roman"/>
          <w:szCs w:val="24"/>
        </w:rPr>
      </w:pPr>
    </w:p>
    <w:p w14:paraId="0D469E2F" w14:textId="3BE0A99E" w:rsidR="009558EE" w:rsidRDefault="009558EE" w:rsidP="00165577">
      <w:pPr>
        <w:rPr>
          <w:rFonts w:cs="Times New Roman"/>
          <w:szCs w:val="24"/>
        </w:rPr>
      </w:pPr>
    </w:p>
    <w:p w14:paraId="34D7DC47" w14:textId="77777777" w:rsidR="009558EE" w:rsidRDefault="009558EE" w:rsidP="00165577">
      <w:pPr>
        <w:rPr>
          <w:rFonts w:cs="Times New Roman"/>
          <w:szCs w:val="24"/>
        </w:rPr>
      </w:pPr>
    </w:p>
    <w:p w14:paraId="5D85E807" w14:textId="77777777" w:rsidR="009558EE" w:rsidRDefault="009558EE" w:rsidP="00165577">
      <w:pPr>
        <w:rPr>
          <w:rFonts w:cs="Times New Roman"/>
          <w:szCs w:val="24"/>
        </w:rPr>
      </w:pPr>
    </w:p>
    <w:p w14:paraId="586EDEEB" w14:textId="77692E2E" w:rsidR="009558EE" w:rsidRDefault="009558EE" w:rsidP="00165577">
      <w:pPr>
        <w:rPr>
          <w:rFonts w:cs="Times New Roman"/>
          <w:szCs w:val="24"/>
        </w:rPr>
      </w:pPr>
    </w:p>
    <w:p w14:paraId="191D8E8E" w14:textId="45E2787F" w:rsidR="009558EE" w:rsidRDefault="009558EE" w:rsidP="00165577">
      <w:pPr>
        <w:rPr>
          <w:rFonts w:cs="Times New Roman"/>
          <w:szCs w:val="24"/>
        </w:rPr>
      </w:pPr>
    </w:p>
    <w:p w14:paraId="1C35776E" w14:textId="77777777" w:rsidR="009558EE" w:rsidRDefault="009558EE" w:rsidP="00165577">
      <w:pPr>
        <w:rPr>
          <w:rFonts w:cs="Times New Roman"/>
          <w:szCs w:val="24"/>
        </w:rPr>
      </w:pPr>
    </w:p>
    <w:p w14:paraId="06C38EE2" w14:textId="77777777" w:rsidR="009558EE" w:rsidRDefault="009558EE" w:rsidP="00165577">
      <w:pPr>
        <w:rPr>
          <w:rFonts w:cs="Times New Roman"/>
          <w:szCs w:val="24"/>
        </w:rPr>
      </w:pPr>
    </w:p>
    <w:p w14:paraId="6587D6DC" w14:textId="77777777" w:rsidR="009558EE" w:rsidRPr="0040668C" w:rsidRDefault="009558EE" w:rsidP="00165577">
      <w:pPr>
        <w:rPr>
          <w:rFonts w:cs="Times New Roman"/>
          <w:szCs w:val="24"/>
        </w:rPr>
      </w:pPr>
    </w:p>
    <w:p w14:paraId="4BA1813B" w14:textId="197AF3D9" w:rsidR="009558EE" w:rsidRDefault="009558EE" w:rsidP="009558EE">
      <w:pPr>
        <w:ind w:firstLine="42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prezident </w:t>
      </w:r>
      <w:r w:rsidRPr="006C4BDE">
        <w:rPr>
          <w:rFonts w:cs="Times New Roman"/>
          <w:szCs w:val="24"/>
        </w:rPr>
        <w:t>Slovenskej republiky</w:t>
      </w:r>
    </w:p>
    <w:p w14:paraId="1CE9829B" w14:textId="04951430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66342251" w14:textId="2DF92725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4A5F7D9F" w14:textId="7F76471D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77931BF1" w14:textId="106722B2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5FAAB0EC" w14:textId="77777777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01A288BD" w14:textId="4B07389A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6F13560B" w14:textId="77777777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05AD3E5A" w14:textId="651C50FC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0A5BBF5F" w14:textId="77777777" w:rsidR="009558EE" w:rsidRPr="006C4BD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0DE79612" w14:textId="5D0BB362" w:rsidR="009558EE" w:rsidRDefault="009558EE" w:rsidP="009558EE">
      <w:pPr>
        <w:ind w:firstLine="426"/>
        <w:jc w:val="center"/>
        <w:rPr>
          <w:rFonts w:cs="Times New Roman"/>
          <w:szCs w:val="24"/>
        </w:rPr>
      </w:pPr>
      <w:r w:rsidRPr="006C4BDE">
        <w:rPr>
          <w:rFonts w:cs="Times New Roman"/>
          <w:szCs w:val="24"/>
        </w:rPr>
        <w:t>predseda Národnej rady Slovenskej republiky</w:t>
      </w:r>
    </w:p>
    <w:p w14:paraId="24EDA174" w14:textId="386F1748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18DCF1E3" w14:textId="2399BCA0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5BE61A91" w14:textId="44AE5B4B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6FF12256" w14:textId="07092D61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061E9472" w14:textId="77777777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7E70A5B0" w14:textId="77777777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1F828E9A" w14:textId="4B6D4281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399D2841" w14:textId="77777777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0BEC591F" w14:textId="77777777" w:rsidR="009558EE" w:rsidRDefault="009558EE" w:rsidP="009558EE">
      <w:pPr>
        <w:ind w:firstLine="426"/>
        <w:jc w:val="center"/>
        <w:rPr>
          <w:rFonts w:cs="Times New Roman"/>
          <w:szCs w:val="24"/>
        </w:rPr>
      </w:pPr>
    </w:p>
    <w:p w14:paraId="0874D7A8" w14:textId="77777777" w:rsidR="009558EE" w:rsidRPr="006C4BDE" w:rsidRDefault="009558EE" w:rsidP="009558EE">
      <w:pPr>
        <w:ind w:firstLine="42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6C4BDE">
        <w:rPr>
          <w:rFonts w:cs="Times New Roman"/>
          <w:szCs w:val="24"/>
        </w:rPr>
        <w:t>redseda vlády Slovenskej republiky</w:t>
      </w:r>
    </w:p>
    <w:p w14:paraId="457C2959" w14:textId="77777777" w:rsidR="001C51E8" w:rsidRPr="0040668C" w:rsidRDefault="001C51E8" w:rsidP="00165577">
      <w:pPr>
        <w:pStyle w:val="Standard"/>
        <w:keepNext/>
        <w:keepLines/>
        <w:spacing w:before="120" w:after="120"/>
        <w:jc w:val="center"/>
        <w:outlineLvl w:val="0"/>
        <w:rPr>
          <w:rFonts w:cs="Times New Roman"/>
          <w:szCs w:val="24"/>
        </w:rPr>
      </w:pPr>
    </w:p>
    <w:sectPr w:rsidR="001C51E8" w:rsidRPr="0040668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14538" w14:textId="77777777" w:rsidR="00E64A49" w:rsidRDefault="00E64A49" w:rsidP="00072D17">
      <w:r>
        <w:separator/>
      </w:r>
    </w:p>
  </w:endnote>
  <w:endnote w:type="continuationSeparator" w:id="0">
    <w:p w14:paraId="6AFB9C29" w14:textId="77777777" w:rsidR="00E64A49" w:rsidRDefault="00E64A49" w:rsidP="0007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 Gyre Bonum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803389"/>
      <w:docPartObj>
        <w:docPartGallery w:val="Page Numbers (Bottom of Page)"/>
        <w:docPartUnique/>
      </w:docPartObj>
    </w:sdtPr>
    <w:sdtEndPr/>
    <w:sdtContent>
      <w:p w14:paraId="7C56F0E3" w14:textId="7394193E" w:rsidR="00E615FE" w:rsidRDefault="00E615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229">
          <w:rPr>
            <w:noProof/>
          </w:rPr>
          <w:t>6</w:t>
        </w:r>
        <w:r>
          <w:fldChar w:fldCharType="end"/>
        </w:r>
      </w:p>
    </w:sdtContent>
  </w:sdt>
  <w:p w14:paraId="43AAE26F" w14:textId="77777777" w:rsidR="00E615FE" w:rsidRDefault="00E615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CA9C" w14:textId="77777777" w:rsidR="00E64A49" w:rsidRDefault="00E64A49" w:rsidP="00072D17">
      <w:r>
        <w:separator/>
      </w:r>
    </w:p>
  </w:footnote>
  <w:footnote w:type="continuationSeparator" w:id="0">
    <w:p w14:paraId="4615DBD8" w14:textId="77777777" w:rsidR="00E64A49" w:rsidRDefault="00E64A49" w:rsidP="0007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2CE"/>
    <w:multiLevelType w:val="hybridMultilevel"/>
    <w:tmpl w:val="723A92F2"/>
    <w:lvl w:ilvl="0" w:tplc="041B0017">
      <w:start w:val="1"/>
      <w:numFmt w:val="lowerLetter"/>
      <w:lvlText w:val="%1)"/>
      <w:lvlJc w:val="left"/>
      <w:pPr>
        <w:ind w:left="2358" w:hanging="360"/>
      </w:pPr>
    </w:lvl>
    <w:lvl w:ilvl="1" w:tplc="041B0019" w:tentative="1">
      <w:start w:val="1"/>
      <w:numFmt w:val="lowerLetter"/>
      <w:lvlText w:val="%2."/>
      <w:lvlJc w:val="left"/>
      <w:pPr>
        <w:ind w:left="3078" w:hanging="360"/>
      </w:pPr>
    </w:lvl>
    <w:lvl w:ilvl="2" w:tplc="041B001B" w:tentative="1">
      <w:start w:val="1"/>
      <w:numFmt w:val="lowerRoman"/>
      <w:lvlText w:val="%3."/>
      <w:lvlJc w:val="right"/>
      <w:pPr>
        <w:ind w:left="3798" w:hanging="180"/>
      </w:pPr>
    </w:lvl>
    <w:lvl w:ilvl="3" w:tplc="041B000F" w:tentative="1">
      <w:start w:val="1"/>
      <w:numFmt w:val="decimal"/>
      <w:lvlText w:val="%4."/>
      <w:lvlJc w:val="left"/>
      <w:pPr>
        <w:ind w:left="4518" w:hanging="360"/>
      </w:pPr>
    </w:lvl>
    <w:lvl w:ilvl="4" w:tplc="041B0019" w:tentative="1">
      <w:start w:val="1"/>
      <w:numFmt w:val="lowerLetter"/>
      <w:lvlText w:val="%5."/>
      <w:lvlJc w:val="left"/>
      <w:pPr>
        <w:ind w:left="5238" w:hanging="360"/>
      </w:pPr>
    </w:lvl>
    <w:lvl w:ilvl="5" w:tplc="041B001B" w:tentative="1">
      <w:start w:val="1"/>
      <w:numFmt w:val="lowerRoman"/>
      <w:lvlText w:val="%6."/>
      <w:lvlJc w:val="right"/>
      <w:pPr>
        <w:ind w:left="5958" w:hanging="180"/>
      </w:pPr>
    </w:lvl>
    <w:lvl w:ilvl="6" w:tplc="041B000F" w:tentative="1">
      <w:start w:val="1"/>
      <w:numFmt w:val="decimal"/>
      <w:lvlText w:val="%7."/>
      <w:lvlJc w:val="left"/>
      <w:pPr>
        <w:ind w:left="6678" w:hanging="360"/>
      </w:pPr>
    </w:lvl>
    <w:lvl w:ilvl="7" w:tplc="041B0019" w:tentative="1">
      <w:start w:val="1"/>
      <w:numFmt w:val="lowerLetter"/>
      <w:lvlText w:val="%8."/>
      <w:lvlJc w:val="left"/>
      <w:pPr>
        <w:ind w:left="7398" w:hanging="360"/>
      </w:pPr>
    </w:lvl>
    <w:lvl w:ilvl="8" w:tplc="041B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" w15:restartNumberingAfterBreak="0">
    <w:nsid w:val="0E8A6892"/>
    <w:multiLevelType w:val="hybridMultilevel"/>
    <w:tmpl w:val="033EACE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EE343D8"/>
    <w:multiLevelType w:val="hybridMultilevel"/>
    <w:tmpl w:val="465A4C36"/>
    <w:lvl w:ilvl="0" w:tplc="016CC9E6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cs="Times New Roman" w:hint="default"/>
        <w:color w:val="494949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68" w:hanging="360"/>
      </w:pPr>
    </w:lvl>
    <w:lvl w:ilvl="2" w:tplc="041B001B" w:tentative="1">
      <w:start w:val="1"/>
      <w:numFmt w:val="lowerRoman"/>
      <w:lvlText w:val="%3."/>
      <w:lvlJc w:val="right"/>
      <w:pPr>
        <w:ind w:left="2188" w:hanging="180"/>
      </w:pPr>
    </w:lvl>
    <w:lvl w:ilvl="3" w:tplc="041B000F" w:tentative="1">
      <w:start w:val="1"/>
      <w:numFmt w:val="decimal"/>
      <w:lvlText w:val="%4."/>
      <w:lvlJc w:val="left"/>
      <w:pPr>
        <w:ind w:left="2908" w:hanging="360"/>
      </w:pPr>
    </w:lvl>
    <w:lvl w:ilvl="4" w:tplc="041B0019" w:tentative="1">
      <w:start w:val="1"/>
      <w:numFmt w:val="lowerLetter"/>
      <w:lvlText w:val="%5."/>
      <w:lvlJc w:val="left"/>
      <w:pPr>
        <w:ind w:left="3628" w:hanging="360"/>
      </w:pPr>
    </w:lvl>
    <w:lvl w:ilvl="5" w:tplc="041B001B" w:tentative="1">
      <w:start w:val="1"/>
      <w:numFmt w:val="lowerRoman"/>
      <w:lvlText w:val="%6."/>
      <w:lvlJc w:val="right"/>
      <w:pPr>
        <w:ind w:left="4348" w:hanging="180"/>
      </w:pPr>
    </w:lvl>
    <w:lvl w:ilvl="6" w:tplc="041B000F" w:tentative="1">
      <w:start w:val="1"/>
      <w:numFmt w:val="decimal"/>
      <w:lvlText w:val="%7."/>
      <w:lvlJc w:val="left"/>
      <w:pPr>
        <w:ind w:left="5068" w:hanging="360"/>
      </w:pPr>
    </w:lvl>
    <w:lvl w:ilvl="7" w:tplc="041B0019" w:tentative="1">
      <w:start w:val="1"/>
      <w:numFmt w:val="lowerLetter"/>
      <w:lvlText w:val="%8."/>
      <w:lvlJc w:val="left"/>
      <w:pPr>
        <w:ind w:left="5788" w:hanging="360"/>
      </w:pPr>
    </w:lvl>
    <w:lvl w:ilvl="8" w:tplc="041B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D770C55"/>
    <w:multiLevelType w:val="hybridMultilevel"/>
    <w:tmpl w:val="693EF3CC"/>
    <w:lvl w:ilvl="0" w:tplc="55D2C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1D520C3"/>
    <w:multiLevelType w:val="hybridMultilevel"/>
    <w:tmpl w:val="EE2C9D56"/>
    <w:lvl w:ilvl="0" w:tplc="865AC77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654B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4406344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48831F9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899203B"/>
    <w:multiLevelType w:val="hybridMultilevel"/>
    <w:tmpl w:val="E5BA8BCA"/>
    <w:lvl w:ilvl="0" w:tplc="700CDA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4864C3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51A768B"/>
    <w:multiLevelType w:val="multilevel"/>
    <w:tmpl w:val="07885E80"/>
    <w:styleLink w:val="WWNum27"/>
    <w:lvl w:ilvl="0">
      <w:start w:val="1"/>
      <w:numFmt w:val="decimal"/>
      <w:lvlText w:val="%1."/>
      <w:lvlJc w:val="left"/>
      <w:pPr>
        <w:ind w:left="748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1.%2.%3."/>
      <w:lvlJc w:val="right"/>
      <w:pPr>
        <w:ind w:left="2188" w:hanging="180"/>
      </w:pPr>
    </w:lvl>
    <w:lvl w:ilvl="3">
      <w:start w:val="1"/>
      <w:numFmt w:val="decimal"/>
      <w:lvlText w:val="%1.%2.%3.%4."/>
      <w:lvlJc w:val="left"/>
      <w:pPr>
        <w:ind w:left="2908" w:hanging="360"/>
      </w:pPr>
    </w:lvl>
    <w:lvl w:ilvl="4">
      <w:start w:val="1"/>
      <w:numFmt w:val="lowerLetter"/>
      <w:lvlText w:val="%1.%2.%3.%4.%5."/>
      <w:lvlJc w:val="left"/>
      <w:pPr>
        <w:ind w:left="3628" w:hanging="360"/>
      </w:pPr>
    </w:lvl>
    <w:lvl w:ilvl="5">
      <w:start w:val="1"/>
      <w:numFmt w:val="lowerRoman"/>
      <w:lvlText w:val="%1.%2.%3.%4.%5.%6."/>
      <w:lvlJc w:val="right"/>
      <w:pPr>
        <w:ind w:left="4348" w:hanging="180"/>
      </w:pPr>
    </w:lvl>
    <w:lvl w:ilvl="6">
      <w:start w:val="1"/>
      <w:numFmt w:val="decimal"/>
      <w:lvlText w:val="%1.%2.%3.%4.%5.%6.%7."/>
      <w:lvlJc w:val="left"/>
      <w:pPr>
        <w:ind w:left="5068" w:hanging="360"/>
      </w:pPr>
    </w:lvl>
    <w:lvl w:ilvl="7">
      <w:start w:val="1"/>
      <w:numFmt w:val="lowerLetter"/>
      <w:lvlText w:val="%1.%2.%3.%4.%5.%6.%7.%8."/>
      <w:lvlJc w:val="left"/>
      <w:pPr>
        <w:ind w:left="5788" w:hanging="360"/>
      </w:pPr>
    </w:lvl>
    <w:lvl w:ilvl="8">
      <w:start w:val="1"/>
      <w:numFmt w:val="lowerRoman"/>
      <w:lvlText w:val="%1.%2.%3.%4.%5.%6.%7.%8.%9."/>
      <w:lvlJc w:val="right"/>
      <w:pPr>
        <w:ind w:left="6508" w:hanging="180"/>
      </w:pPr>
    </w:lvl>
  </w:abstractNum>
  <w:abstractNum w:abstractNumId="11" w15:restartNumberingAfterBreak="0">
    <w:nsid w:val="37712517"/>
    <w:multiLevelType w:val="multilevel"/>
    <w:tmpl w:val="4D76042C"/>
    <w:lvl w:ilvl="0">
      <w:start w:val="7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A574D55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D2565B2"/>
    <w:multiLevelType w:val="hybridMultilevel"/>
    <w:tmpl w:val="533690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1C6677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73166B0"/>
    <w:multiLevelType w:val="hybridMultilevel"/>
    <w:tmpl w:val="55B8EFFC"/>
    <w:lvl w:ilvl="0" w:tplc="81BC9BA4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8" w:hanging="360"/>
      </w:pPr>
    </w:lvl>
    <w:lvl w:ilvl="2" w:tplc="041B001B" w:tentative="1">
      <w:start w:val="1"/>
      <w:numFmt w:val="lowerRoman"/>
      <w:lvlText w:val="%3."/>
      <w:lvlJc w:val="right"/>
      <w:pPr>
        <w:ind w:left="2188" w:hanging="180"/>
      </w:pPr>
    </w:lvl>
    <w:lvl w:ilvl="3" w:tplc="041B000F" w:tentative="1">
      <w:start w:val="1"/>
      <w:numFmt w:val="decimal"/>
      <w:lvlText w:val="%4."/>
      <w:lvlJc w:val="left"/>
      <w:pPr>
        <w:ind w:left="2908" w:hanging="360"/>
      </w:pPr>
    </w:lvl>
    <w:lvl w:ilvl="4" w:tplc="041B0019" w:tentative="1">
      <w:start w:val="1"/>
      <w:numFmt w:val="lowerLetter"/>
      <w:lvlText w:val="%5."/>
      <w:lvlJc w:val="left"/>
      <w:pPr>
        <w:ind w:left="3628" w:hanging="360"/>
      </w:pPr>
    </w:lvl>
    <w:lvl w:ilvl="5" w:tplc="041B001B" w:tentative="1">
      <w:start w:val="1"/>
      <w:numFmt w:val="lowerRoman"/>
      <w:lvlText w:val="%6."/>
      <w:lvlJc w:val="right"/>
      <w:pPr>
        <w:ind w:left="4348" w:hanging="180"/>
      </w:pPr>
    </w:lvl>
    <w:lvl w:ilvl="6" w:tplc="041B000F" w:tentative="1">
      <w:start w:val="1"/>
      <w:numFmt w:val="decimal"/>
      <w:lvlText w:val="%7."/>
      <w:lvlJc w:val="left"/>
      <w:pPr>
        <w:ind w:left="5068" w:hanging="360"/>
      </w:pPr>
    </w:lvl>
    <w:lvl w:ilvl="7" w:tplc="041B0019" w:tentative="1">
      <w:start w:val="1"/>
      <w:numFmt w:val="lowerLetter"/>
      <w:lvlText w:val="%8."/>
      <w:lvlJc w:val="left"/>
      <w:pPr>
        <w:ind w:left="5788" w:hanging="360"/>
      </w:pPr>
    </w:lvl>
    <w:lvl w:ilvl="8" w:tplc="041B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50552586"/>
    <w:multiLevelType w:val="multilevel"/>
    <w:tmpl w:val="57E08456"/>
    <w:styleLink w:val="WWNum25"/>
    <w:lvl w:ilvl="0">
      <w:start w:val="1"/>
      <w:numFmt w:val="decimal"/>
      <w:lvlText w:val="%1."/>
      <w:lvlJc w:val="left"/>
      <w:pPr>
        <w:ind w:left="388" w:hanging="284"/>
      </w:pPr>
      <w:rPr>
        <w:rFonts w:eastAsia="TeX Gyre Bonum" w:cs="TeX Gyre Bonum"/>
        <w:w w:val="100"/>
        <w:sz w:val="24"/>
        <w:szCs w:val="24"/>
        <w:lang w:val="sk-SK" w:eastAsia="en-US" w:bidi="ar-SA"/>
      </w:rPr>
    </w:lvl>
    <w:lvl w:ilvl="1">
      <w:numFmt w:val="bullet"/>
      <w:lvlText w:val="•"/>
      <w:lvlJc w:val="left"/>
      <w:pPr>
        <w:ind w:left="1332" w:hanging="284"/>
      </w:pPr>
      <w:rPr>
        <w:lang w:val="sk-SK" w:eastAsia="en-US" w:bidi="ar-SA"/>
      </w:rPr>
    </w:lvl>
    <w:lvl w:ilvl="2">
      <w:numFmt w:val="bullet"/>
      <w:lvlText w:val="•"/>
      <w:lvlJc w:val="left"/>
      <w:pPr>
        <w:ind w:left="2284" w:hanging="284"/>
      </w:pPr>
      <w:rPr>
        <w:lang w:val="sk-SK" w:eastAsia="en-US" w:bidi="ar-SA"/>
      </w:rPr>
    </w:lvl>
    <w:lvl w:ilvl="3">
      <w:numFmt w:val="bullet"/>
      <w:lvlText w:val="•"/>
      <w:lvlJc w:val="left"/>
      <w:pPr>
        <w:ind w:left="3237" w:hanging="284"/>
      </w:pPr>
      <w:rPr>
        <w:lang w:val="sk-SK" w:eastAsia="en-US" w:bidi="ar-SA"/>
      </w:rPr>
    </w:lvl>
    <w:lvl w:ilvl="4">
      <w:numFmt w:val="bullet"/>
      <w:lvlText w:val="•"/>
      <w:lvlJc w:val="left"/>
      <w:pPr>
        <w:ind w:left="4189" w:hanging="284"/>
      </w:pPr>
      <w:rPr>
        <w:lang w:val="sk-SK" w:eastAsia="en-US" w:bidi="ar-SA"/>
      </w:rPr>
    </w:lvl>
    <w:lvl w:ilvl="5">
      <w:numFmt w:val="bullet"/>
      <w:lvlText w:val="•"/>
      <w:lvlJc w:val="left"/>
      <w:pPr>
        <w:ind w:left="5142" w:hanging="284"/>
      </w:pPr>
      <w:rPr>
        <w:lang w:val="sk-SK" w:eastAsia="en-US" w:bidi="ar-SA"/>
      </w:rPr>
    </w:lvl>
    <w:lvl w:ilvl="6">
      <w:numFmt w:val="bullet"/>
      <w:lvlText w:val="•"/>
      <w:lvlJc w:val="left"/>
      <w:pPr>
        <w:ind w:left="6094" w:hanging="284"/>
      </w:pPr>
      <w:rPr>
        <w:lang w:val="sk-SK" w:eastAsia="en-US" w:bidi="ar-SA"/>
      </w:rPr>
    </w:lvl>
    <w:lvl w:ilvl="7">
      <w:numFmt w:val="bullet"/>
      <w:lvlText w:val="•"/>
      <w:lvlJc w:val="left"/>
      <w:pPr>
        <w:ind w:left="7047" w:hanging="284"/>
      </w:pPr>
      <w:rPr>
        <w:lang w:val="sk-SK" w:eastAsia="en-US" w:bidi="ar-SA"/>
      </w:rPr>
    </w:lvl>
    <w:lvl w:ilvl="8">
      <w:numFmt w:val="bullet"/>
      <w:lvlText w:val="•"/>
      <w:lvlJc w:val="left"/>
      <w:pPr>
        <w:ind w:left="7999" w:hanging="284"/>
      </w:pPr>
      <w:rPr>
        <w:lang w:val="sk-SK" w:eastAsia="en-US" w:bidi="ar-SA"/>
      </w:rPr>
    </w:lvl>
  </w:abstractNum>
  <w:abstractNum w:abstractNumId="17" w15:restartNumberingAfterBreak="0">
    <w:nsid w:val="51C13008"/>
    <w:multiLevelType w:val="multilevel"/>
    <w:tmpl w:val="B98C9F4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9414BE5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BB1515D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C7D03AD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E81345B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EFC3AD3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0B53AB6"/>
    <w:multiLevelType w:val="hybridMultilevel"/>
    <w:tmpl w:val="8526999E"/>
    <w:lvl w:ilvl="0" w:tplc="F662C5B0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7242520"/>
    <w:multiLevelType w:val="hybridMultilevel"/>
    <w:tmpl w:val="693EF3CC"/>
    <w:lvl w:ilvl="0" w:tplc="55D2C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8A84F15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FCB1D0B"/>
    <w:multiLevelType w:val="multilevel"/>
    <w:tmpl w:val="DF4E6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2DF34F6"/>
    <w:multiLevelType w:val="hybridMultilevel"/>
    <w:tmpl w:val="210C3F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60027B5"/>
    <w:multiLevelType w:val="hybridMultilevel"/>
    <w:tmpl w:val="287EB1F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ind w:left="388" w:hanging="284"/>
        </w:pPr>
        <w:rPr>
          <w:rFonts w:ascii="Times New Roman" w:eastAsia="TeX Gyre Bonum" w:hAnsi="Times New Roman" w:cs="Times New Roman" w:hint="default"/>
          <w:w w:val="100"/>
          <w:sz w:val="24"/>
          <w:szCs w:val="24"/>
          <w:lang w:val="sk-SK" w:eastAsia="en-US" w:bidi="ar-SA"/>
        </w:rPr>
      </w:lvl>
    </w:lvlOverride>
  </w:num>
  <w:num w:numId="3">
    <w:abstractNumId w:val="10"/>
  </w:num>
  <w:num w:numId="4">
    <w:abstractNumId w:val="17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</w:num>
  <w:num w:numId="8">
    <w:abstractNumId w:val="26"/>
  </w:num>
  <w:num w:numId="9">
    <w:abstractNumId w:val="22"/>
  </w:num>
  <w:num w:numId="10">
    <w:abstractNumId w:val="1"/>
  </w:num>
  <w:num w:numId="11">
    <w:abstractNumId w:val="28"/>
  </w:num>
  <w:num w:numId="12">
    <w:abstractNumId w:val="9"/>
  </w:num>
  <w:num w:numId="13">
    <w:abstractNumId w:val="19"/>
  </w:num>
  <w:num w:numId="14">
    <w:abstractNumId w:val="18"/>
  </w:num>
  <w:num w:numId="15">
    <w:abstractNumId w:val="21"/>
  </w:num>
  <w:num w:numId="16">
    <w:abstractNumId w:val="12"/>
  </w:num>
  <w:num w:numId="17">
    <w:abstractNumId w:val="25"/>
  </w:num>
  <w:num w:numId="18">
    <w:abstractNumId w:val="5"/>
  </w:num>
  <w:num w:numId="19">
    <w:abstractNumId w:val="14"/>
  </w:num>
  <w:num w:numId="20">
    <w:abstractNumId w:val="7"/>
  </w:num>
  <w:num w:numId="21">
    <w:abstractNumId w:val="20"/>
  </w:num>
  <w:num w:numId="22">
    <w:abstractNumId w:val="6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0"/>
  </w:num>
  <w:num w:numId="26">
    <w:abstractNumId w:val="8"/>
  </w:num>
  <w:num w:numId="27">
    <w:abstractNumId w:val="27"/>
  </w:num>
  <w:num w:numId="28">
    <w:abstractNumId w:val="15"/>
  </w:num>
  <w:num w:numId="29">
    <w:abstractNumId w:val="23"/>
  </w:num>
  <w:num w:numId="30">
    <w:abstractNumId w:val="2"/>
  </w:num>
  <w:num w:numId="31">
    <w:abstractNumId w:val="24"/>
  </w:num>
  <w:num w:numId="32">
    <w:abstractNumId w:val="3"/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formatting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12"/>
    <w:rsid w:val="00001C6A"/>
    <w:rsid w:val="00012A13"/>
    <w:rsid w:val="00024F93"/>
    <w:rsid w:val="000322BF"/>
    <w:rsid w:val="00036CC5"/>
    <w:rsid w:val="00037CD4"/>
    <w:rsid w:val="00040A2E"/>
    <w:rsid w:val="0004649D"/>
    <w:rsid w:val="0005792D"/>
    <w:rsid w:val="000609A9"/>
    <w:rsid w:val="00061A01"/>
    <w:rsid w:val="00072D17"/>
    <w:rsid w:val="0007587D"/>
    <w:rsid w:val="0008082B"/>
    <w:rsid w:val="00081853"/>
    <w:rsid w:val="0008381E"/>
    <w:rsid w:val="0008449C"/>
    <w:rsid w:val="00094238"/>
    <w:rsid w:val="000B4921"/>
    <w:rsid w:val="000C639A"/>
    <w:rsid w:val="000C6EE8"/>
    <w:rsid w:val="000D0E25"/>
    <w:rsid w:val="000D7174"/>
    <w:rsid w:val="000E7536"/>
    <w:rsid w:val="00106444"/>
    <w:rsid w:val="001133FA"/>
    <w:rsid w:val="001254E8"/>
    <w:rsid w:val="00162559"/>
    <w:rsid w:val="00163247"/>
    <w:rsid w:val="00165577"/>
    <w:rsid w:val="00172F7E"/>
    <w:rsid w:val="00183703"/>
    <w:rsid w:val="00187A48"/>
    <w:rsid w:val="00187C2A"/>
    <w:rsid w:val="00192F71"/>
    <w:rsid w:val="001A231F"/>
    <w:rsid w:val="001B29AB"/>
    <w:rsid w:val="001B317E"/>
    <w:rsid w:val="001B50FB"/>
    <w:rsid w:val="001C03A5"/>
    <w:rsid w:val="001C51E8"/>
    <w:rsid w:val="001D6FE0"/>
    <w:rsid w:val="001E2360"/>
    <w:rsid w:val="001E5A2A"/>
    <w:rsid w:val="001E5F4B"/>
    <w:rsid w:val="001F505E"/>
    <w:rsid w:val="001F58D5"/>
    <w:rsid w:val="0022618F"/>
    <w:rsid w:val="00232E3D"/>
    <w:rsid w:val="0024328E"/>
    <w:rsid w:val="0025711D"/>
    <w:rsid w:val="00260E73"/>
    <w:rsid w:val="00263229"/>
    <w:rsid w:val="00270EB8"/>
    <w:rsid w:val="00274BC2"/>
    <w:rsid w:val="00281F84"/>
    <w:rsid w:val="002A2208"/>
    <w:rsid w:val="002A7A05"/>
    <w:rsid w:val="002B2C66"/>
    <w:rsid w:val="002B5D30"/>
    <w:rsid w:val="00302A68"/>
    <w:rsid w:val="00310219"/>
    <w:rsid w:val="00313866"/>
    <w:rsid w:val="00321449"/>
    <w:rsid w:val="00332883"/>
    <w:rsid w:val="00344FE7"/>
    <w:rsid w:val="00350FD4"/>
    <w:rsid w:val="0035126C"/>
    <w:rsid w:val="0035202A"/>
    <w:rsid w:val="0035781F"/>
    <w:rsid w:val="00362E06"/>
    <w:rsid w:val="00367B68"/>
    <w:rsid w:val="003834D3"/>
    <w:rsid w:val="00391F23"/>
    <w:rsid w:val="003A1E31"/>
    <w:rsid w:val="003A44E9"/>
    <w:rsid w:val="003B054C"/>
    <w:rsid w:val="003B08F8"/>
    <w:rsid w:val="003B0B4F"/>
    <w:rsid w:val="003B586C"/>
    <w:rsid w:val="003C1637"/>
    <w:rsid w:val="003D0BF3"/>
    <w:rsid w:val="003E0773"/>
    <w:rsid w:val="003E0A6D"/>
    <w:rsid w:val="003E0D4D"/>
    <w:rsid w:val="003E0E19"/>
    <w:rsid w:val="003F1ABB"/>
    <w:rsid w:val="003F78BA"/>
    <w:rsid w:val="00400376"/>
    <w:rsid w:val="00400914"/>
    <w:rsid w:val="0040668C"/>
    <w:rsid w:val="00413567"/>
    <w:rsid w:val="00414E40"/>
    <w:rsid w:val="00422118"/>
    <w:rsid w:val="00445604"/>
    <w:rsid w:val="0045024F"/>
    <w:rsid w:val="00463B0C"/>
    <w:rsid w:val="004915B5"/>
    <w:rsid w:val="004A2912"/>
    <w:rsid w:val="004A2C5D"/>
    <w:rsid w:val="004B2FF8"/>
    <w:rsid w:val="004B5F83"/>
    <w:rsid w:val="004D7489"/>
    <w:rsid w:val="00523EA3"/>
    <w:rsid w:val="00524DE0"/>
    <w:rsid w:val="005326F4"/>
    <w:rsid w:val="0054247B"/>
    <w:rsid w:val="005429E5"/>
    <w:rsid w:val="00544AB7"/>
    <w:rsid w:val="00561DBE"/>
    <w:rsid w:val="00570336"/>
    <w:rsid w:val="005873FE"/>
    <w:rsid w:val="00587CEF"/>
    <w:rsid w:val="00590C1F"/>
    <w:rsid w:val="005B0DE7"/>
    <w:rsid w:val="005B165A"/>
    <w:rsid w:val="005B685E"/>
    <w:rsid w:val="005E6C35"/>
    <w:rsid w:val="005F3C50"/>
    <w:rsid w:val="006068CC"/>
    <w:rsid w:val="0061191D"/>
    <w:rsid w:val="006119A2"/>
    <w:rsid w:val="006148D4"/>
    <w:rsid w:val="00620AAE"/>
    <w:rsid w:val="0062427A"/>
    <w:rsid w:val="006275F7"/>
    <w:rsid w:val="00635885"/>
    <w:rsid w:val="006436A1"/>
    <w:rsid w:val="0065544E"/>
    <w:rsid w:val="00672F72"/>
    <w:rsid w:val="006770DB"/>
    <w:rsid w:val="00694657"/>
    <w:rsid w:val="006A66F7"/>
    <w:rsid w:val="006D2A45"/>
    <w:rsid w:val="006D4EC7"/>
    <w:rsid w:val="006F1FBC"/>
    <w:rsid w:val="006F2FC5"/>
    <w:rsid w:val="00707071"/>
    <w:rsid w:val="00723920"/>
    <w:rsid w:val="007249F3"/>
    <w:rsid w:val="00733000"/>
    <w:rsid w:val="007661BA"/>
    <w:rsid w:val="00780CFC"/>
    <w:rsid w:val="00795492"/>
    <w:rsid w:val="00796A24"/>
    <w:rsid w:val="007A297C"/>
    <w:rsid w:val="007B06DE"/>
    <w:rsid w:val="007D032D"/>
    <w:rsid w:val="007D090D"/>
    <w:rsid w:val="007D0C5B"/>
    <w:rsid w:val="007E66C4"/>
    <w:rsid w:val="007F0355"/>
    <w:rsid w:val="00800503"/>
    <w:rsid w:val="008127E3"/>
    <w:rsid w:val="0081435F"/>
    <w:rsid w:val="00820109"/>
    <w:rsid w:val="00820D92"/>
    <w:rsid w:val="00823B21"/>
    <w:rsid w:val="00840D8C"/>
    <w:rsid w:val="008420E3"/>
    <w:rsid w:val="0085689E"/>
    <w:rsid w:val="008630E7"/>
    <w:rsid w:val="00867D64"/>
    <w:rsid w:val="00874574"/>
    <w:rsid w:val="0088079B"/>
    <w:rsid w:val="00883292"/>
    <w:rsid w:val="008902E8"/>
    <w:rsid w:val="008A0C77"/>
    <w:rsid w:val="008A224B"/>
    <w:rsid w:val="008B1B24"/>
    <w:rsid w:val="008D28C3"/>
    <w:rsid w:val="008D3E3C"/>
    <w:rsid w:val="008D4DAF"/>
    <w:rsid w:val="008E2BD4"/>
    <w:rsid w:val="008E3342"/>
    <w:rsid w:val="008F277E"/>
    <w:rsid w:val="008F58D8"/>
    <w:rsid w:val="00900498"/>
    <w:rsid w:val="0091787C"/>
    <w:rsid w:val="009353A8"/>
    <w:rsid w:val="009426C6"/>
    <w:rsid w:val="00953F23"/>
    <w:rsid w:val="009558EE"/>
    <w:rsid w:val="009566FD"/>
    <w:rsid w:val="00964511"/>
    <w:rsid w:val="0096581B"/>
    <w:rsid w:val="00967B5A"/>
    <w:rsid w:val="00975971"/>
    <w:rsid w:val="00984607"/>
    <w:rsid w:val="00996EF6"/>
    <w:rsid w:val="009C361C"/>
    <w:rsid w:val="009C7A7D"/>
    <w:rsid w:val="009E0537"/>
    <w:rsid w:val="009E1193"/>
    <w:rsid w:val="009F4EBE"/>
    <w:rsid w:val="00A10F83"/>
    <w:rsid w:val="00A11BA6"/>
    <w:rsid w:val="00A11D33"/>
    <w:rsid w:val="00A16641"/>
    <w:rsid w:val="00A22B53"/>
    <w:rsid w:val="00A2544E"/>
    <w:rsid w:val="00A32663"/>
    <w:rsid w:val="00A40B58"/>
    <w:rsid w:val="00A56740"/>
    <w:rsid w:val="00A60418"/>
    <w:rsid w:val="00A624A0"/>
    <w:rsid w:val="00A81174"/>
    <w:rsid w:val="00AA6A20"/>
    <w:rsid w:val="00AC648E"/>
    <w:rsid w:val="00AF0C5E"/>
    <w:rsid w:val="00AF1415"/>
    <w:rsid w:val="00AF4FE6"/>
    <w:rsid w:val="00B13CA8"/>
    <w:rsid w:val="00B22F3F"/>
    <w:rsid w:val="00B246ED"/>
    <w:rsid w:val="00B36334"/>
    <w:rsid w:val="00B3639F"/>
    <w:rsid w:val="00B45A06"/>
    <w:rsid w:val="00B61AB3"/>
    <w:rsid w:val="00B67B4D"/>
    <w:rsid w:val="00B80CD3"/>
    <w:rsid w:val="00B845FF"/>
    <w:rsid w:val="00B96294"/>
    <w:rsid w:val="00BB3671"/>
    <w:rsid w:val="00BC1408"/>
    <w:rsid w:val="00BC4C6C"/>
    <w:rsid w:val="00BC5BE8"/>
    <w:rsid w:val="00BD3016"/>
    <w:rsid w:val="00BE60A1"/>
    <w:rsid w:val="00BE6F5A"/>
    <w:rsid w:val="00C0122F"/>
    <w:rsid w:val="00C20018"/>
    <w:rsid w:val="00C2312F"/>
    <w:rsid w:val="00C43584"/>
    <w:rsid w:val="00C6096C"/>
    <w:rsid w:val="00C64120"/>
    <w:rsid w:val="00C64216"/>
    <w:rsid w:val="00C64685"/>
    <w:rsid w:val="00C85BDB"/>
    <w:rsid w:val="00C97B79"/>
    <w:rsid w:val="00CC5DE1"/>
    <w:rsid w:val="00CE550D"/>
    <w:rsid w:val="00CE7B6A"/>
    <w:rsid w:val="00D05BBE"/>
    <w:rsid w:val="00D14268"/>
    <w:rsid w:val="00D24C2B"/>
    <w:rsid w:val="00D2691A"/>
    <w:rsid w:val="00D30FA9"/>
    <w:rsid w:val="00D431B5"/>
    <w:rsid w:val="00D57291"/>
    <w:rsid w:val="00D65517"/>
    <w:rsid w:val="00D71C7D"/>
    <w:rsid w:val="00D730DD"/>
    <w:rsid w:val="00D744AC"/>
    <w:rsid w:val="00D808AA"/>
    <w:rsid w:val="00D843B3"/>
    <w:rsid w:val="00DB2256"/>
    <w:rsid w:val="00DB3914"/>
    <w:rsid w:val="00DB5E80"/>
    <w:rsid w:val="00DC1644"/>
    <w:rsid w:val="00DC1EEF"/>
    <w:rsid w:val="00DC7649"/>
    <w:rsid w:val="00DD2E69"/>
    <w:rsid w:val="00DD66AB"/>
    <w:rsid w:val="00DE0883"/>
    <w:rsid w:val="00DE2F87"/>
    <w:rsid w:val="00DF1DC7"/>
    <w:rsid w:val="00DF6280"/>
    <w:rsid w:val="00DF7527"/>
    <w:rsid w:val="00E25BF6"/>
    <w:rsid w:val="00E457F3"/>
    <w:rsid w:val="00E5092E"/>
    <w:rsid w:val="00E615FE"/>
    <w:rsid w:val="00E62EA7"/>
    <w:rsid w:val="00E64A49"/>
    <w:rsid w:val="00E72815"/>
    <w:rsid w:val="00E849D7"/>
    <w:rsid w:val="00E85018"/>
    <w:rsid w:val="00E943A1"/>
    <w:rsid w:val="00E94598"/>
    <w:rsid w:val="00E966D1"/>
    <w:rsid w:val="00EA0972"/>
    <w:rsid w:val="00EA1563"/>
    <w:rsid w:val="00EA27DE"/>
    <w:rsid w:val="00EB14CB"/>
    <w:rsid w:val="00EC4054"/>
    <w:rsid w:val="00EE3E69"/>
    <w:rsid w:val="00EE6E17"/>
    <w:rsid w:val="00EF46F1"/>
    <w:rsid w:val="00F17E8C"/>
    <w:rsid w:val="00F23B43"/>
    <w:rsid w:val="00F4578D"/>
    <w:rsid w:val="00F47817"/>
    <w:rsid w:val="00F51CFD"/>
    <w:rsid w:val="00F534BC"/>
    <w:rsid w:val="00F6635C"/>
    <w:rsid w:val="00F755F6"/>
    <w:rsid w:val="00F83E78"/>
    <w:rsid w:val="00F92AA1"/>
    <w:rsid w:val="00F941FF"/>
    <w:rsid w:val="00FA0393"/>
    <w:rsid w:val="00FD7B2B"/>
    <w:rsid w:val="00FE01EB"/>
    <w:rsid w:val="00FF285E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5853"/>
  <w15:chartTrackingRefBased/>
  <w15:docId w15:val="{5C38CD23-E410-4450-BE52-9B1F49EB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63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C639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</w:rPr>
  </w:style>
  <w:style w:type="paragraph" w:styleId="Odsekzoznamu">
    <w:name w:val="List Paragraph"/>
    <w:aliases w:val="body,Odsek zoznamu2,Odsek,Odsek zoznamu1"/>
    <w:basedOn w:val="Standard"/>
    <w:link w:val="OdsekzoznamuChar"/>
    <w:uiPriority w:val="34"/>
    <w:qFormat/>
    <w:rsid w:val="000C639A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WWNum3">
    <w:name w:val="WWNum3"/>
    <w:basedOn w:val="Bezzoznamu"/>
    <w:rsid w:val="000C639A"/>
    <w:pPr>
      <w:numPr>
        <w:numId w:val="1"/>
      </w:numPr>
    </w:pPr>
  </w:style>
  <w:style w:type="numbering" w:customStyle="1" w:styleId="WWNum25">
    <w:name w:val="WWNum25"/>
    <w:basedOn w:val="Bezzoznamu"/>
    <w:rsid w:val="000C639A"/>
    <w:pPr>
      <w:numPr>
        <w:numId w:val="24"/>
      </w:numPr>
    </w:pPr>
  </w:style>
  <w:style w:type="numbering" w:customStyle="1" w:styleId="WWNum27">
    <w:name w:val="WWNum27"/>
    <w:basedOn w:val="Bezzoznamu"/>
    <w:rsid w:val="000C639A"/>
    <w:pPr>
      <w:numPr>
        <w:numId w:val="3"/>
      </w:numPr>
    </w:p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0C639A"/>
    <w:rPr>
      <w:rFonts w:ascii="Calibri" w:eastAsia="Times New Roman" w:hAnsi="Calibri" w:cs="Times New Roman"/>
      <w:kern w:val="3"/>
    </w:rPr>
  </w:style>
  <w:style w:type="character" w:styleId="Hypertextovprepojenie">
    <w:name w:val="Hyperlink"/>
    <w:basedOn w:val="Predvolenpsmoodseku"/>
    <w:uiPriority w:val="99"/>
    <w:unhideWhenUsed/>
    <w:rsid w:val="00EF46F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7B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7B6A"/>
    <w:rPr>
      <w:rFonts w:ascii="Segoe UI" w:eastAsia="SimSun" w:hAnsi="Segoe UI" w:cs="Segoe UI"/>
      <w:kern w:val="3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C03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03A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03A5"/>
    <w:rPr>
      <w:rFonts w:ascii="Times New Roman" w:eastAsia="SimSun" w:hAnsi="Times New Roman" w:cs="Tahoma"/>
      <w:kern w:val="3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03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03A5"/>
    <w:rPr>
      <w:rFonts w:ascii="Times New Roman" w:eastAsia="SimSun" w:hAnsi="Times New Roman" w:cs="Tahoma"/>
      <w:b/>
      <w:bCs/>
      <w:kern w:val="3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72D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D17"/>
    <w:rPr>
      <w:rFonts w:ascii="Times New Roman" w:eastAsia="SimSun" w:hAnsi="Times New Roman" w:cs="Tahoma"/>
      <w:kern w:val="3"/>
      <w:sz w:val="24"/>
    </w:rPr>
  </w:style>
  <w:style w:type="paragraph" w:styleId="Pta">
    <w:name w:val="footer"/>
    <w:basedOn w:val="Normlny"/>
    <w:link w:val="PtaChar"/>
    <w:uiPriority w:val="99"/>
    <w:unhideWhenUsed/>
    <w:rsid w:val="00072D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2D17"/>
    <w:rPr>
      <w:rFonts w:ascii="Times New Roman" w:eastAsia="SimSun" w:hAnsi="Times New Roman" w:cs="Tahoma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6/12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6/1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A392E-EA1A-4C0F-8882-B85B7067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</dc:creator>
  <cp:keywords/>
  <dc:description/>
  <cp:lastModifiedBy>Durgalová, Veronika</cp:lastModifiedBy>
  <cp:revision>4</cp:revision>
  <cp:lastPrinted>2024-11-27T07:47:00Z</cp:lastPrinted>
  <dcterms:created xsi:type="dcterms:W3CDTF">2024-11-27T07:27:00Z</dcterms:created>
  <dcterms:modified xsi:type="dcterms:W3CDTF">2024-11-28T08:47:00Z</dcterms:modified>
</cp:coreProperties>
</file>