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DOLOŽKA ZLUČITEĽNOSTI</w:t>
      </w:r>
    </w:p>
    <w:p w:rsidR="00000000" w:rsidDel="00000000" w:rsidP="00000000" w:rsidRDefault="00000000" w:rsidRPr="00000000" w14:paraId="00000002">
      <w:pPr>
        <w:jc w:val="center"/>
        <w:rPr>
          <w:b w:val="1"/>
        </w:rPr>
      </w:pPr>
      <w:r w:rsidDel="00000000" w:rsidR="00000000" w:rsidRPr="00000000">
        <w:rPr>
          <w:b w:val="1"/>
          <w:rtl w:val="0"/>
        </w:rPr>
        <w:t xml:space="preserve">návrhu zákona s právom Európskej únie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1. Predkladateľ návrhu zákona</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poslankyne Národnej rady Slovenskej republiky Beáta Jurík, Lucia Plaváková a Zuzana Števulová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2. Názov návrhu právneho predpisu: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Návrh zákona, o prevencii a boji proti rodovo-podmienenému násiliu a o zmene a doplnení niektorých zákonov v znení neskorších predpisov</w:t>
      </w:r>
    </w:p>
    <w:p w:rsidR="00000000" w:rsidDel="00000000" w:rsidP="00000000" w:rsidRDefault="00000000" w:rsidRPr="00000000" w14:paraId="0000000B">
      <w:pPr>
        <w:jc w:val="both"/>
        <w:rPr>
          <w:highlight w:val="white"/>
        </w:rPr>
      </w:pPr>
      <w:r w:rsidDel="00000000" w:rsidR="00000000" w:rsidRPr="00000000">
        <w:rPr>
          <w:rtl w:val="0"/>
        </w:rPr>
      </w:r>
    </w:p>
    <w:p w:rsidR="00000000" w:rsidDel="00000000" w:rsidP="00000000" w:rsidRDefault="00000000" w:rsidRPr="00000000" w14:paraId="0000000C">
      <w:pPr>
        <w:jc w:val="both"/>
        <w:rPr>
          <w:b w:val="1"/>
          <w:highlight w:val="white"/>
        </w:rPr>
      </w:pPr>
      <w:r w:rsidDel="00000000" w:rsidR="00000000" w:rsidRPr="00000000">
        <w:rPr>
          <w:b w:val="1"/>
          <w:highlight w:val="white"/>
          <w:rtl w:val="0"/>
        </w:rPr>
        <w:t xml:space="preserve">3. Problematika návrhu právneho predpisu:</w:t>
      </w:r>
    </w:p>
    <w:p w:rsidR="00000000" w:rsidDel="00000000" w:rsidP="00000000" w:rsidRDefault="00000000" w:rsidRPr="00000000" w14:paraId="0000000D">
      <w:pPr>
        <w:jc w:val="both"/>
        <w:rPr>
          <w:b w:val="1"/>
          <w:highlight w:val="whit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je upravená v práve Európskej únie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Smernica Európskeho parlamentu a Rady (EÚ) 2024/1385 zo 14. mája 2024 o boji proti násiliu na ženách a domácemu násiliu, PE/33/2024/REV/1, Ú. v. EÚ L, 2024/1385, 24.5.2024, ELI: http://data.europa.eu/eli/dir/2024/1385/oj</w:t>
      </w:r>
    </w:p>
    <w:p w:rsidR="00000000" w:rsidDel="00000000" w:rsidP="00000000" w:rsidRDefault="00000000" w:rsidRPr="00000000" w14:paraId="00000011">
      <w:pPr>
        <w:jc w:val="both"/>
        <w:rPr>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nie je obsiahnutá v judikatúre Súdneho dvora Európskej únie.</w:t>
      </w:r>
    </w:p>
    <w:p w:rsidR="00000000" w:rsidDel="00000000" w:rsidP="00000000" w:rsidRDefault="00000000" w:rsidRPr="00000000" w14:paraId="00000013">
      <w:pPr>
        <w:jc w:val="both"/>
        <w:rPr>
          <w:highlight w:val="white"/>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4. Záväzky Slovenskej republiky vo vzťahu k Európskej únii:</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Bezpredmetné</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5. Stupeň zlučiteľnosti návrhu právneho predpisu s právom Európskej únie:</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Stupeň zlučiteľnosti - úplný</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b w:val="1"/>
          <w:rtl w:val="0"/>
        </w:rPr>
        <w:t xml:space="preserve">DOLOŽKA VYBRANÝCH VPLYVOV</w:t>
      </w:r>
    </w:p>
    <w:p w:rsidR="00000000" w:rsidDel="00000000" w:rsidP="00000000" w:rsidRDefault="00000000" w:rsidRPr="00000000" w14:paraId="00000030">
      <w:pPr>
        <w:jc w:val="center"/>
        <w:rPr>
          <w:b w:val="1"/>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 </w:t>
      </w:r>
    </w:p>
    <w:p w:rsidR="00000000" w:rsidDel="00000000" w:rsidP="00000000" w:rsidRDefault="00000000" w:rsidRPr="00000000" w14:paraId="00000032">
      <w:pPr>
        <w:jc w:val="both"/>
        <w:rPr>
          <w:b w:val="1"/>
        </w:rPr>
      </w:pPr>
      <w:r w:rsidDel="00000000" w:rsidR="00000000" w:rsidRPr="00000000">
        <w:rPr>
          <w:b w:val="1"/>
          <w:rtl w:val="0"/>
        </w:rPr>
        <w:t xml:space="preserve">A.1. Názov materiálu: </w:t>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jc w:val="both"/>
        <w:rPr>
          <w:rFonts w:ascii="Times" w:cs="Times" w:eastAsia="Times" w:hAnsi="Times"/>
          <w:color w:val="000000"/>
          <w:sz w:val="27"/>
          <w:szCs w:val="27"/>
        </w:rPr>
      </w:pPr>
      <w:r w:rsidDel="00000000" w:rsidR="00000000" w:rsidRPr="00000000">
        <w:rPr>
          <w:rtl w:val="0"/>
        </w:rPr>
        <w:t xml:space="preserve">Návrh zákona,</w:t>
      </w:r>
      <w:r w:rsidDel="00000000" w:rsidR="00000000" w:rsidRPr="00000000">
        <w:rPr>
          <w:color w:val="000000"/>
          <w:rtl w:val="0"/>
        </w:rPr>
        <w:t xml:space="preserve"> ktorým sa mení a dopĺňa zákon č. 300/2005 Z.z. Trestný zákon v znení neskorších predpisov.</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tl w:val="0"/>
        </w:rPr>
        <w:t xml:space="preserve">A.2. Vplyvy:</w:t>
      </w:r>
    </w:p>
    <w:p w:rsidR="00000000" w:rsidDel="00000000" w:rsidP="00000000" w:rsidRDefault="00000000" w:rsidRPr="00000000" w14:paraId="00000037">
      <w:pPr>
        <w:jc w:val="both"/>
        <w:rPr>
          <w:b w:val="1"/>
        </w:rPr>
      </w:pPr>
      <w:r w:rsidDel="00000000" w:rsidR="00000000" w:rsidRPr="00000000">
        <w:rPr>
          <w:b w:val="1"/>
          <w:rtl w:val="0"/>
        </w:rPr>
        <w:t xml:space="preserve"> </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7"/>
        <w:gridCol w:w="1190"/>
        <w:gridCol w:w="1178"/>
        <w:gridCol w:w="1190"/>
        <w:tblGridChange w:id="0">
          <w:tblGrid>
            <w:gridCol w:w="5467"/>
            <w:gridCol w:w="1190"/>
            <w:gridCol w:w="1178"/>
            <w:gridCol w:w="1190"/>
          </w:tblGrid>
        </w:tblGridChange>
      </w:tblGrid>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8">
            <w:pPr>
              <w:jc w:val="both"/>
              <w:rPr/>
            </w:pPr>
            <w:r w:rsidDel="00000000" w:rsidR="00000000" w:rsidRPr="00000000">
              <w:rPr>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9">
            <w:pPr>
              <w:jc w:val="center"/>
              <w:rPr/>
            </w:pPr>
            <w:r w:rsidDel="00000000" w:rsidR="00000000" w:rsidRPr="00000000">
              <w:rPr>
                <w:rtl w:val="0"/>
              </w:rPr>
              <w:t xml:space="preserve">Pozitívne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A">
            <w:pPr>
              <w:jc w:val="center"/>
              <w:rPr/>
            </w:pPr>
            <w:r w:rsidDel="00000000" w:rsidR="00000000" w:rsidRPr="00000000">
              <w:rPr>
                <w:rtl w:val="0"/>
              </w:rPr>
              <w:t xml:space="preserve">Žiadne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B">
            <w:pPr>
              <w:jc w:val="center"/>
              <w:rPr/>
            </w:pPr>
            <w:r w:rsidDel="00000000" w:rsidR="00000000" w:rsidRPr="00000000">
              <w:rPr>
                <w:rtl w:val="0"/>
              </w:rPr>
              <w:t xml:space="preserve">Negatívne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C">
            <w:pPr>
              <w:jc w:val="both"/>
              <w:rPr/>
            </w:pPr>
            <w:r w:rsidDel="00000000" w:rsidR="00000000" w:rsidRPr="00000000">
              <w:rPr>
                <w:rtl w:val="0"/>
              </w:rPr>
              <w:t xml:space="preserve">1. Vplyvy na rozpočet verejnej správy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D">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E">
            <w:pPr>
              <w:jc w:val="center"/>
              <w:rPr>
                <w:highlight w:val="yellow"/>
              </w:rPr>
            </w:pPr>
            <w:r w:rsidDel="00000000" w:rsidR="00000000" w:rsidRPr="00000000">
              <w:rPr>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F">
            <w:pPr>
              <w:jc w:val="center"/>
              <w:rPr/>
            </w:pPr>
            <w:r w:rsidDel="00000000" w:rsidR="00000000" w:rsidRPr="00000000">
              <w:rPr>
                <w:rtl w:val="0"/>
              </w:rPr>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0">
            <w:pPr>
              <w:jc w:val="both"/>
              <w:rPr/>
            </w:pPr>
            <w:r w:rsidDel="00000000" w:rsidR="00000000" w:rsidRPr="00000000">
              <w:rPr>
                <w:rtl w:val="0"/>
              </w:rPr>
              <w:t xml:space="preserve">2. Vplyvy na podnikateľské prostredie – dochádza k zvýšeniu regulačného zaťaženia?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1">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2">
            <w:pPr>
              <w:jc w:val="center"/>
              <w:rPr>
                <w:highlight w:val="yellow"/>
              </w:rPr>
            </w:pPr>
            <w:r w:rsidDel="00000000" w:rsidR="00000000" w:rsidRPr="00000000">
              <w:rPr>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3">
            <w:pPr>
              <w:jc w:val="center"/>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4">
            <w:pPr>
              <w:jc w:val="both"/>
              <w:rPr/>
            </w:pPr>
            <w:r w:rsidDel="00000000" w:rsidR="00000000" w:rsidRPr="00000000">
              <w:rPr>
                <w:rtl w:val="0"/>
              </w:rPr>
              <w:t xml:space="preserve">3. Sociálne vplyvy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5">
            <w:pPr>
              <w:jc w:val="center"/>
              <w:rPr/>
            </w:pPr>
            <w:r w:rsidDel="00000000" w:rsidR="00000000" w:rsidRPr="00000000">
              <w:rPr>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6">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7">
            <w:pPr>
              <w:jc w:val="center"/>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8">
            <w:pPr>
              <w:jc w:val="both"/>
              <w:rPr/>
            </w:pPr>
            <w:r w:rsidDel="00000000" w:rsidR="00000000" w:rsidRPr="00000000">
              <w:rPr>
                <w:rtl w:val="0"/>
              </w:rPr>
              <w:t xml:space="preserve">– vplyvy na hospodárenie obyvateľstva,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9">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A">
            <w:pPr>
              <w:jc w:val="center"/>
              <w:rPr/>
            </w:pPr>
            <w:r w:rsidDel="00000000" w:rsidR="00000000" w:rsidRPr="00000000">
              <w:rPr>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B">
            <w:pPr>
              <w:jc w:val="both"/>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C">
            <w:pPr>
              <w:jc w:val="both"/>
              <w:rPr/>
            </w:pPr>
            <w:r w:rsidDel="00000000" w:rsidR="00000000" w:rsidRPr="00000000">
              <w:rPr>
                <w:rtl w:val="0"/>
              </w:rPr>
              <w:t xml:space="preserve">– sociálnu exklúziu,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D">
            <w:pPr>
              <w:rPr/>
            </w:pPr>
            <w:r w:rsidDel="00000000" w:rsidR="00000000" w:rsidRPr="00000000">
              <w:rPr>
                <w:rtl w:val="0"/>
              </w:rPr>
              <w:t xml:space="preserve">        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E">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F">
            <w:pPr>
              <w:jc w:val="center"/>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0">
            <w:pPr>
              <w:jc w:val="both"/>
              <w:rPr/>
            </w:pPr>
            <w:r w:rsidDel="00000000" w:rsidR="00000000" w:rsidRPr="00000000">
              <w:rPr>
                <w:rtl w:val="0"/>
              </w:rPr>
              <w:t xml:space="preserve">– rovnosť príležitostí a rodovú rovnosť a vplyvy na zamestnanosť</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1">
            <w:pPr>
              <w:jc w:val="center"/>
              <w:rPr/>
            </w:pPr>
            <w:r w:rsidDel="00000000" w:rsidR="00000000" w:rsidRPr="00000000">
              <w:rPr>
                <w:rtl w:val="0"/>
              </w:rPr>
              <w:t xml:space="preserve">X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2">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3">
            <w:pPr>
              <w:jc w:val="center"/>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4">
            <w:pPr>
              <w:jc w:val="both"/>
              <w:rPr/>
            </w:pPr>
            <w:r w:rsidDel="00000000" w:rsidR="00000000" w:rsidRPr="00000000">
              <w:rPr>
                <w:rtl w:val="0"/>
              </w:rPr>
              <w:t xml:space="preserve">4. Vplyvy na životné prostredie</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5">
            <w:pPr>
              <w:jc w:val="center"/>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tcPr>
          <w:p w:rsidR="00000000" w:rsidDel="00000000" w:rsidP="00000000" w:rsidRDefault="00000000" w:rsidRPr="00000000" w14:paraId="00000056">
            <w:pPr>
              <w:jc w:val="center"/>
              <w:rPr>
                <w:highlight w:val="yellow"/>
              </w:rPr>
            </w:pPr>
            <w:r w:rsidDel="00000000" w:rsidR="00000000" w:rsidRPr="00000000">
              <w:rPr>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7">
            <w:pPr>
              <w:jc w:val="center"/>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8">
            <w:pPr>
              <w:jc w:val="both"/>
              <w:rPr/>
            </w:pPr>
            <w:r w:rsidDel="00000000" w:rsidR="00000000" w:rsidRPr="00000000">
              <w:rPr>
                <w:rtl w:val="0"/>
              </w:rPr>
              <w:t xml:space="preserve">5. Vplyvy na informatizáciu spoločnosti</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9">
            <w:pPr>
              <w:jc w:val="center"/>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tcPr>
          <w:p w:rsidR="00000000" w:rsidDel="00000000" w:rsidP="00000000" w:rsidRDefault="00000000" w:rsidRPr="00000000" w14:paraId="0000005A">
            <w:pPr>
              <w:jc w:val="center"/>
              <w:rPr>
                <w:highlight w:val="yellow"/>
              </w:rPr>
            </w:pPr>
            <w:r w:rsidDel="00000000" w:rsidR="00000000" w:rsidRPr="00000000">
              <w:rPr>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B">
            <w:pPr>
              <w:jc w:val="center"/>
              <w:rPr/>
            </w:pPr>
            <w:r w:rsidDel="00000000" w:rsidR="00000000" w:rsidRPr="00000000">
              <w:rPr>
                <w:rtl w:val="0"/>
              </w:rPr>
              <w:t xml:space="preserve"> </w:t>
            </w:r>
          </w:p>
        </w:tc>
      </w:tr>
      <w:tr>
        <w:trPr>
          <w:cantSplit w:val="0"/>
          <w:trHeight w:val="309"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C">
            <w:pPr>
              <w:jc w:val="both"/>
              <w:rPr/>
            </w:pPr>
            <w:r w:rsidDel="00000000" w:rsidR="00000000" w:rsidRPr="00000000">
              <w:rPr>
                <w:rtl w:val="0"/>
              </w:rPr>
              <w:t xml:space="preserve">6. Vplyvy na manželstvo, rodičovstvo a rodinu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D">
            <w:pPr>
              <w:jc w:val="center"/>
              <w:rPr/>
            </w:pPr>
            <w:r w:rsidDel="00000000" w:rsidR="00000000" w:rsidRPr="00000000">
              <w:rPr>
                <w:rtl w:val="0"/>
              </w:rPr>
              <w:t xml:space="preserve">X</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tcPr>
          <w:p w:rsidR="00000000" w:rsidDel="00000000" w:rsidP="00000000" w:rsidRDefault="00000000" w:rsidRPr="00000000" w14:paraId="0000005E">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F">
            <w:pPr>
              <w:jc w:val="center"/>
              <w:rPr/>
            </w:pPr>
            <w:r w:rsidDel="00000000" w:rsidR="00000000" w:rsidRPr="00000000">
              <w:rPr>
                <w:rtl w:val="0"/>
              </w:rPr>
            </w:r>
          </w:p>
        </w:tc>
      </w:tr>
      <w:tr>
        <w:trPr>
          <w:cantSplit w:val="0"/>
          <w:trHeight w:val="239"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0">
            <w:pPr>
              <w:jc w:val="both"/>
              <w:rPr/>
            </w:pPr>
            <w:r w:rsidDel="00000000" w:rsidR="00000000" w:rsidRPr="00000000">
              <w:rPr>
                <w:rtl w:val="0"/>
              </w:rPr>
              <w:t xml:space="preserve">7. Vplyvy na služby verejnej správy pre občana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1">
            <w:pPr>
              <w:jc w:val="cente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tcPr>
          <w:p w:rsidR="00000000" w:rsidDel="00000000" w:rsidP="00000000" w:rsidRDefault="00000000" w:rsidRPr="00000000" w14:paraId="00000062">
            <w:pPr>
              <w:jc w:val="center"/>
              <w:rPr>
                <w:highlight w:val="yellow"/>
              </w:rPr>
            </w:pPr>
            <w:r w:rsidDel="00000000" w:rsidR="00000000" w:rsidRPr="00000000">
              <w:rPr>
                <w:rtl w:val="0"/>
              </w:rPr>
              <w:t xml:space="preserve">X</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3">
            <w:pPr>
              <w:jc w:val="center"/>
              <w:rPr/>
            </w:pPr>
            <w:r w:rsidDel="00000000" w:rsidR="00000000" w:rsidRPr="00000000">
              <w:rPr>
                <w:rtl w:val="0"/>
              </w:rPr>
            </w:r>
          </w:p>
        </w:tc>
      </w:tr>
    </w:tbl>
    <w:p w:rsidR="00000000" w:rsidDel="00000000" w:rsidP="00000000" w:rsidRDefault="00000000" w:rsidRPr="00000000" w14:paraId="00000064">
      <w:pPr>
        <w:jc w:val="both"/>
        <w:rPr/>
      </w:pPr>
      <w:r w:rsidDel="00000000" w:rsidR="00000000" w:rsidRPr="00000000">
        <w:rPr>
          <w:rtl w:val="0"/>
        </w:rPr>
        <w:t xml:space="preserve"> </w:t>
      </w:r>
    </w:p>
    <w:p w:rsidR="00000000" w:rsidDel="00000000" w:rsidP="00000000" w:rsidRDefault="00000000" w:rsidRPr="00000000" w14:paraId="00000065">
      <w:pPr>
        <w:jc w:val="both"/>
        <w:rPr>
          <w:b w:val="1"/>
        </w:rPr>
      </w:pPr>
      <w:r w:rsidDel="00000000" w:rsidR="00000000" w:rsidRPr="00000000">
        <w:rPr>
          <w:b w:val="1"/>
          <w:rtl w:val="0"/>
        </w:rPr>
        <w:t xml:space="preserve">A.3. Poznámky</w:t>
      </w:r>
    </w:p>
    <w:p w:rsidR="00000000" w:rsidDel="00000000" w:rsidP="00000000" w:rsidRDefault="00000000" w:rsidRPr="00000000" w14:paraId="00000066">
      <w:pPr>
        <w:jc w:val="both"/>
        <w:rPr>
          <w:b w:val="1"/>
        </w:rPr>
      </w:pPr>
      <w:r w:rsidDel="00000000" w:rsidR="00000000" w:rsidRPr="00000000">
        <w:rPr>
          <w:rtl w:val="0"/>
        </w:rPr>
      </w:r>
    </w:p>
    <w:p w:rsidR="00000000" w:rsidDel="00000000" w:rsidP="00000000" w:rsidRDefault="00000000" w:rsidRPr="00000000" w14:paraId="00000067">
      <w:pPr>
        <w:jc w:val="both"/>
        <w:rPr/>
      </w:pPr>
      <w:bookmarkStart w:colFirst="0" w:colLast="0" w:name="_heading=h.gjdgxs" w:id="0"/>
      <w:bookmarkEnd w:id="0"/>
      <w:r w:rsidDel="00000000" w:rsidR="00000000" w:rsidRPr="00000000">
        <w:rPr>
          <w:rtl w:val="0"/>
        </w:rPr>
        <w:t xml:space="preserve">Toto opatrenie bude mať pozitívny vplyv na celú spoločnosť, ktorá musí rodovo-podmienené násilie, páchané prevažne no nie výlučne na ženách, vo všetkých jeho formách jasne odsúdiť. Slovenský právny poriadok zatiaľ neponúka primeranú odpoveď na všetky typy násilia. Navrhovaná úprava zabezpečuje právny rámec, ktorý efektívne ochráni osoby pred rôznymi formami rodovo-podmieneného násilia a dopomôže vytvoriť bezpečné prostredie pre všetky osoby bez rozdielu. Ponúka nástroje na postihovanie páchateľov domáceho násilia, znásilnenia alebo kybernásilia, ktoré zvýšia dôveru obetí a preživších v právny systém a ich ochranu a prispeje k zvýšeniu oznamovania. Zároveň má návrh zákona pozitívny vplyv na postavenie žien v spoločnosti.</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jc w:val="both"/>
        <w:rPr>
          <w:b w:val="1"/>
        </w:rPr>
      </w:pPr>
      <w:r w:rsidDel="00000000" w:rsidR="00000000" w:rsidRPr="00000000">
        <w:rPr>
          <w:b w:val="1"/>
          <w:rtl w:val="0"/>
        </w:rPr>
        <w:t xml:space="preserve">A.4. Alternatívne riešenia</w:t>
      </w:r>
    </w:p>
    <w:p w:rsidR="00000000" w:rsidDel="00000000" w:rsidP="00000000" w:rsidRDefault="00000000" w:rsidRPr="00000000" w14:paraId="0000006A">
      <w:pPr>
        <w:jc w:val="both"/>
        <w:rPr>
          <w:b w:val="1"/>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Nepredkladajú sa.</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b w:val="1"/>
        </w:rPr>
      </w:pPr>
      <w:r w:rsidDel="00000000" w:rsidR="00000000" w:rsidRPr="00000000">
        <w:rPr>
          <w:b w:val="1"/>
          <w:rtl w:val="0"/>
        </w:rPr>
        <w:t xml:space="preserve">A.5. Stanovisko gestorov</w:t>
      </w:r>
    </w:p>
    <w:p w:rsidR="00000000" w:rsidDel="00000000" w:rsidP="00000000" w:rsidRDefault="00000000" w:rsidRPr="00000000" w14:paraId="0000006E">
      <w:pPr>
        <w:jc w:val="both"/>
        <w:rPr>
          <w:b w:val="1"/>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Návrh zákona bol zaslaný na vyjadrenie Ministerstvu financií Slovenskej republiky a Ministerstvu hospodárstva Slovenskej republiky a ich stanovisko tvorí súčasť predkladaného materiálu.</w:t>
      </w:r>
    </w:p>
    <w:p w:rsidR="00000000" w:rsidDel="00000000" w:rsidP="00000000" w:rsidRDefault="00000000" w:rsidRPr="00000000" w14:paraId="00000070">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Arial" w:cs="Arial" w:eastAsia="Arial" w:hAnsi="Arial"/>
      <w:b w:val="1"/>
      <w:sz w:val="48"/>
      <w:szCs w:val="48"/>
    </w:rPr>
  </w:style>
  <w:style w:type="paragraph" w:styleId="Heading2">
    <w:name w:val="heading 2"/>
    <w:basedOn w:val="Normal"/>
    <w:next w:val="Normal"/>
    <w:pPr>
      <w:keepNext w:val="1"/>
      <w:keepLines w:val="1"/>
      <w:spacing w:after="80" w:before="360" w:line="276" w:lineRule="auto"/>
    </w:pPr>
    <w:rPr>
      <w:rFonts w:ascii="Arial" w:cs="Arial" w:eastAsia="Arial" w:hAnsi="Arial"/>
      <w:b w:val="1"/>
      <w:sz w:val="36"/>
      <w:szCs w:val="36"/>
    </w:rPr>
  </w:style>
  <w:style w:type="paragraph" w:styleId="Heading3">
    <w:name w:val="heading 3"/>
    <w:basedOn w:val="Normal"/>
    <w:next w:val="Normal"/>
    <w:pPr>
      <w:keepNext w:val="1"/>
      <w:keepLines w:val="1"/>
      <w:spacing w:after="80" w:before="280" w:line="276" w:lineRule="auto"/>
    </w:pPr>
    <w:rPr>
      <w:rFonts w:ascii="Arial" w:cs="Arial" w:eastAsia="Arial" w:hAnsi="Arial"/>
      <w:b w:val="1"/>
      <w:sz w:val="28"/>
      <w:szCs w:val="28"/>
    </w:rPr>
  </w:style>
  <w:style w:type="paragraph" w:styleId="Heading4">
    <w:name w:val="heading 4"/>
    <w:basedOn w:val="Normal"/>
    <w:next w:val="Normal"/>
    <w:pPr>
      <w:keepNext w:val="1"/>
      <w:keepLines w:val="1"/>
      <w:spacing w:after="40" w:before="240" w:line="276" w:lineRule="auto"/>
    </w:pPr>
    <w:rPr>
      <w:rFonts w:ascii="Arial" w:cs="Arial" w:eastAsia="Arial" w:hAnsi="Arial"/>
      <w:b w:val="1"/>
    </w:rPr>
  </w:style>
  <w:style w:type="paragraph" w:styleId="Heading5">
    <w:name w:val="heading 5"/>
    <w:basedOn w:val="Normal"/>
    <w:next w:val="Normal"/>
    <w:pPr>
      <w:keepNext w:val="1"/>
      <w:keepLines w:val="1"/>
      <w:spacing w:after="40" w:before="220" w:line="276" w:lineRule="auto"/>
    </w:pPr>
    <w:rPr>
      <w:rFonts w:ascii="Arial" w:cs="Arial" w:eastAsia="Arial" w:hAnsi="Arial"/>
      <w:b w:val="1"/>
      <w:sz w:val="22"/>
      <w:szCs w:val="22"/>
    </w:rPr>
  </w:style>
  <w:style w:type="paragraph" w:styleId="Heading6">
    <w:name w:val="heading 6"/>
    <w:basedOn w:val="Normal"/>
    <w:next w:val="Normal"/>
    <w:pPr>
      <w:keepNext w:val="1"/>
      <w:keepLines w:val="1"/>
      <w:spacing w:after="40" w:before="200" w:line="276" w:lineRule="auto"/>
    </w:pPr>
    <w:rPr>
      <w:rFonts w:ascii="Arial" w:cs="Arial" w:eastAsia="Arial" w:hAnsi="Arial"/>
      <w:b w:val="1"/>
      <w:sz w:val="20"/>
      <w:szCs w:val="20"/>
    </w:rPr>
  </w:style>
  <w:style w:type="paragraph" w:styleId="Title">
    <w:name w:val="Title"/>
    <w:basedOn w:val="Normal"/>
    <w:next w:val="Normal"/>
    <w:pPr>
      <w:keepNext w:val="1"/>
      <w:keepLines w:val="1"/>
      <w:spacing w:after="120" w:before="480" w:line="276" w:lineRule="auto"/>
    </w:pPr>
    <w:rPr>
      <w:rFonts w:ascii="Arial" w:cs="Arial" w:eastAsia="Arial" w:hAnsi="Arial"/>
      <w:b w:val="1"/>
      <w:sz w:val="72"/>
      <w:szCs w:val="72"/>
    </w:rPr>
  </w:style>
  <w:style w:type="paragraph" w:styleId="Normlny" w:default="1">
    <w:name w:val="Normal"/>
  </w:style>
  <w:style w:type="paragraph" w:styleId="Nadpis1">
    <w:name w:val="heading 1"/>
    <w:basedOn w:val="Normlny"/>
    <w:next w:val="Normlny"/>
    <w:pPr>
      <w:keepNext w:val="1"/>
      <w:keepLines w:val="1"/>
      <w:spacing w:after="120" w:before="480" w:line="276" w:lineRule="auto"/>
      <w:outlineLvl w:val="0"/>
    </w:pPr>
    <w:rPr>
      <w:rFonts w:ascii="Arial" w:cs="Arial" w:eastAsia="Arial" w:hAnsi="Arial"/>
      <w:b w:val="1"/>
      <w:sz w:val="48"/>
      <w:szCs w:val="48"/>
    </w:rPr>
  </w:style>
  <w:style w:type="paragraph" w:styleId="Nadpis2">
    <w:name w:val="heading 2"/>
    <w:basedOn w:val="Normlny"/>
    <w:next w:val="Normlny"/>
    <w:pPr>
      <w:keepNext w:val="1"/>
      <w:keepLines w:val="1"/>
      <w:spacing w:after="80" w:before="360" w:line="276" w:lineRule="auto"/>
      <w:outlineLvl w:val="1"/>
    </w:pPr>
    <w:rPr>
      <w:rFonts w:ascii="Arial" w:cs="Arial" w:eastAsia="Arial" w:hAnsi="Arial"/>
      <w:b w:val="1"/>
      <w:sz w:val="36"/>
      <w:szCs w:val="36"/>
    </w:rPr>
  </w:style>
  <w:style w:type="paragraph" w:styleId="Nadpis3">
    <w:name w:val="heading 3"/>
    <w:basedOn w:val="Normlny"/>
    <w:next w:val="Normlny"/>
    <w:pPr>
      <w:keepNext w:val="1"/>
      <w:keepLines w:val="1"/>
      <w:spacing w:after="80" w:before="280" w:line="276" w:lineRule="auto"/>
      <w:outlineLvl w:val="2"/>
    </w:pPr>
    <w:rPr>
      <w:rFonts w:ascii="Arial" w:cs="Arial" w:eastAsia="Arial" w:hAnsi="Arial"/>
      <w:b w:val="1"/>
      <w:sz w:val="28"/>
      <w:szCs w:val="28"/>
    </w:rPr>
  </w:style>
  <w:style w:type="paragraph" w:styleId="Nadpis4">
    <w:name w:val="heading 4"/>
    <w:basedOn w:val="Normlny"/>
    <w:next w:val="Normlny"/>
    <w:pPr>
      <w:keepNext w:val="1"/>
      <w:keepLines w:val="1"/>
      <w:spacing w:after="40" w:before="240" w:line="276" w:lineRule="auto"/>
      <w:outlineLvl w:val="3"/>
    </w:pPr>
    <w:rPr>
      <w:rFonts w:ascii="Arial" w:cs="Arial" w:eastAsia="Arial" w:hAnsi="Arial"/>
      <w:b w:val="1"/>
    </w:rPr>
  </w:style>
  <w:style w:type="paragraph" w:styleId="Nadpis5">
    <w:name w:val="heading 5"/>
    <w:basedOn w:val="Normlny"/>
    <w:next w:val="Normlny"/>
    <w:pPr>
      <w:keepNext w:val="1"/>
      <w:keepLines w:val="1"/>
      <w:spacing w:after="40" w:before="220" w:line="276" w:lineRule="auto"/>
      <w:outlineLvl w:val="4"/>
    </w:pPr>
    <w:rPr>
      <w:rFonts w:ascii="Arial" w:cs="Arial" w:eastAsia="Arial" w:hAnsi="Arial"/>
      <w:b w:val="1"/>
      <w:sz w:val="22"/>
      <w:szCs w:val="22"/>
    </w:rPr>
  </w:style>
  <w:style w:type="paragraph" w:styleId="Nadpis6">
    <w:name w:val="heading 6"/>
    <w:basedOn w:val="Normlny"/>
    <w:next w:val="Normlny"/>
    <w:pPr>
      <w:keepNext w:val="1"/>
      <w:keepLines w:val="1"/>
      <w:spacing w:after="40" w:before="200" w:line="276" w:lineRule="auto"/>
      <w:outlineLvl w:val="5"/>
    </w:pPr>
    <w:rPr>
      <w:rFonts w:ascii="Arial" w:cs="Arial" w:eastAsia="Arial" w:hAnsi="Arial"/>
      <w:b w:val="1"/>
      <w:sz w:val="20"/>
      <w:szCs w:val="20"/>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pPr>
      <w:keepNext w:val="1"/>
      <w:keepLines w:val="1"/>
      <w:spacing w:after="120" w:before="480" w:line="276" w:lineRule="auto"/>
    </w:pPr>
    <w:rPr>
      <w:rFonts w:ascii="Arial" w:cs="Arial" w:eastAsia="Arial" w:hAnsi="Arial"/>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titul">
    <w:name w:val="Subtitle"/>
    <w:basedOn w:val="Normlny"/>
    <w:next w:val="Normlny"/>
    <w:pPr>
      <w:keepNext w:val="1"/>
      <w:keepLines w:val="1"/>
      <w:spacing w:after="80" w:before="360" w:line="276" w:lineRule="auto"/>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Normlnywebov">
    <w:name w:val="Normal (Web)"/>
    <w:basedOn w:val="Normlny"/>
    <w:uiPriority w:val="99"/>
    <w:semiHidden w:val="1"/>
    <w:unhideWhenUsed w:val="1"/>
    <w:rsid w:val="00B652F8"/>
    <w:pPr>
      <w:spacing w:after="100" w:afterAutospacing="1" w:before="100" w:beforeAutospacing="1"/>
    </w:pPr>
    <w:rPr>
      <w:lang w:eastAsia="sk-SK" w:val="sk-SK"/>
    </w:rPr>
  </w:style>
  <w:style w:type="paragraph" w:styleId="Odsekzoznamu">
    <w:name w:val="List Paragraph"/>
    <w:basedOn w:val="Normlny"/>
    <w:uiPriority w:val="34"/>
    <w:qFormat w:val="1"/>
    <w:rsid w:val="005E7F40"/>
    <w:pPr>
      <w:ind w:left="720"/>
      <w:contextualSpacing w:val="1"/>
    </w:p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JbRkXlM6v/ELGAq5xH8cD39Dw==">CgMxLjAyCGguZ2pkZ3hzOAByITExdUVDYnFyVmtZeUJZNnFpS1MyMmUwMFozck9rNTlJcA==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2024-11-07T09:30:00Z</dcterms:created>
  <dc:creator>Jurík, Beáta, (asistent)</dc:creator>
</cp:coreProperties>
</file>