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1A79C51E" w:rsidR="00DC72DC" w:rsidRPr="00434D2B" w:rsidRDefault="00434D2B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434D2B">
        <w:rPr>
          <w:rFonts w:ascii="Times New Roman" w:hAnsi="Times New Roman" w:cs="Times New Roman"/>
          <w:sz w:val="24"/>
          <w:szCs w:val="24"/>
          <w:lang w:eastAsia="sk-SK"/>
        </w:rPr>
        <w:t>Číslo: KNR – VOB –</w:t>
      </w:r>
      <w:r w:rsidR="00A57008">
        <w:rPr>
          <w:rFonts w:ascii="Times New Roman" w:hAnsi="Times New Roman" w:cs="Times New Roman"/>
          <w:sz w:val="24"/>
          <w:szCs w:val="24"/>
          <w:lang w:eastAsia="sk-SK"/>
        </w:rPr>
        <w:t>2207</w:t>
      </w:r>
      <w:r w:rsidRPr="00434D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/2024 - </w:t>
      </w:r>
      <w:r w:rsidR="00C77F42">
        <w:rPr>
          <w:rFonts w:ascii="Times New Roman" w:hAnsi="Times New Roman" w:cs="Times New Roman"/>
          <w:sz w:val="24"/>
          <w:szCs w:val="24"/>
          <w:lang w:eastAsia="sk-SK"/>
        </w:rPr>
        <w:t>9</w:t>
      </w:r>
    </w:p>
    <w:p w14:paraId="12E0FC2F" w14:textId="0D7FD3D1" w:rsidR="0061736A" w:rsidRPr="0061736A" w:rsidRDefault="00342EA6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5</w:t>
      </w:r>
      <w:r w:rsidR="00C77F42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08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A72CF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7B8F5B67" w:rsidR="0061736A" w:rsidRPr="00FE2478" w:rsidRDefault="0061736A" w:rsidP="005A72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E2478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FE2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478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FE24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</w:t>
      </w:r>
      <w:r w:rsidR="007B5133" w:rsidRPr="00FE2478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="007B5133" w:rsidRPr="00FE2478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FE2478" w:rsidRPr="00FE2478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FE2478" w:rsidRPr="00FE2478">
        <w:rPr>
          <w:rFonts w:ascii="Times New Roman" w:hAnsi="Times New Roman" w:cs="Times New Roman"/>
          <w:b/>
          <w:noProof/>
          <w:sz w:val="24"/>
          <w:szCs w:val="24"/>
        </w:rPr>
        <w:t xml:space="preserve">(tlač 508) </w:t>
      </w:r>
      <w:r w:rsidRPr="00FE24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FE24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36D094DD" w:rsidR="0061736A" w:rsidRPr="001E76CF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E51E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604</w:t>
      </w:r>
      <w:r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E51EC3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="00FB554E"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50C54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1E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1E76CF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="001E76CF" w:rsidRPr="001E76CF">
        <w:rPr>
          <w:rFonts w:ascii="Times New Roman" w:hAnsi="Times New Roman" w:cs="Times New Roman"/>
          <w:noProof/>
          <w:sz w:val="24"/>
          <w:szCs w:val="24"/>
        </w:rPr>
        <w:t xml:space="preserve">návrh zákona, </w:t>
      </w:r>
      <w:r w:rsidR="00974B0C" w:rsidRPr="00FE2478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974B0C" w:rsidRPr="00FE2478">
        <w:rPr>
          <w:rFonts w:ascii="Times New Roman" w:hAnsi="Times New Roman" w:cs="Times New Roman"/>
          <w:b/>
          <w:noProof/>
          <w:sz w:val="24"/>
          <w:szCs w:val="24"/>
        </w:rPr>
        <w:t>(tlač 508)</w:t>
      </w:r>
      <w:r w:rsidR="00E64E52" w:rsidRPr="005A72C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64E52" w:rsidRPr="005A7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E64E52" w:rsidRPr="005A72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  <w:r w:rsidR="00E64E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7D68D42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399EDBF7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14:paraId="1E6974D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obranu 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669FFA27" w14:textId="123A3E59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43217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21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14:paraId="224CA401" w14:textId="718C8592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192B12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2EBD2639" w14:textId="77777777" w:rsidR="000D595B" w:rsidRDefault="000D595B" w:rsidP="000D595B"/>
    <w:p w14:paraId="4E3E705C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lastRenderedPageBreak/>
        <w:t>V čl. I bode 1 § 2 ods. 3 písm. d) sa slová „osobitných predpisov,</w:t>
      </w:r>
      <w:r w:rsidRPr="00FD4050">
        <w:rPr>
          <w:rFonts w:ascii="Times New Roman" w:hAnsi="Times New Roman"/>
          <w:sz w:val="24"/>
          <w:szCs w:val="24"/>
          <w:vertAlign w:val="superscript"/>
        </w:rPr>
        <w:t>3</w:t>
      </w:r>
      <w:r w:rsidRPr="00FD4050">
        <w:rPr>
          <w:rFonts w:ascii="Times New Roman" w:hAnsi="Times New Roman"/>
          <w:sz w:val="24"/>
          <w:szCs w:val="24"/>
        </w:rPr>
        <w:t>)“ nahrádzajú slovami „osobitného predpisu,</w:t>
      </w:r>
      <w:r w:rsidRPr="00FD4050">
        <w:rPr>
          <w:rFonts w:ascii="Times New Roman" w:hAnsi="Times New Roman"/>
          <w:sz w:val="24"/>
          <w:szCs w:val="24"/>
          <w:vertAlign w:val="superscript"/>
        </w:rPr>
        <w:t>3</w:t>
      </w:r>
      <w:r w:rsidRPr="00FD4050">
        <w:rPr>
          <w:rFonts w:ascii="Times New Roman" w:hAnsi="Times New Roman"/>
          <w:sz w:val="24"/>
          <w:szCs w:val="24"/>
        </w:rPr>
        <w:t>)“.</w:t>
      </w:r>
    </w:p>
    <w:p w14:paraId="4C696877" w14:textId="77777777" w:rsidR="00FD4050" w:rsidRDefault="00FD4050" w:rsidP="00FD405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Spresnenie odkazu na osobitný predpis, keďže v poznámke pod čiarou je uvedené iba nariadenie Európskeho parlamentu a Rady (EÚ) 2022/2554 zo 14. decembra 2022 o digitálnej prevádzkovej odolnosti finančného sektora a o zmene nariadení (ES) č. 1060/2009, (EÚ) č. 648/2012, (EÚ) č. 600/2014, (EÚ) č. 909/2014 a (EÚ) 2016/1011.</w:t>
      </w:r>
    </w:p>
    <w:p w14:paraId="1D8723DB" w14:textId="77777777" w:rsidR="007F35B1" w:rsidRDefault="007F35B1" w:rsidP="00FD405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6539FE2A" w14:textId="0A173BD1" w:rsidR="007F35B1" w:rsidRPr="009E2141" w:rsidRDefault="007F35B1" w:rsidP="007F35B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7CD87F2D" w14:textId="77777777" w:rsidR="007F35B1" w:rsidRPr="009E2141" w:rsidRDefault="007F35B1" w:rsidP="007F35B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1893CD19" w14:textId="77777777" w:rsidR="007F35B1" w:rsidRPr="009E2141" w:rsidRDefault="007F35B1" w:rsidP="007F35B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92FF359" w14:textId="77777777" w:rsidR="007F35B1" w:rsidRPr="009E2141" w:rsidRDefault="007F35B1" w:rsidP="007F35B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4463A5F" w14:textId="77777777" w:rsidR="007F35B1" w:rsidRPr="00FD4050" w:rsidRDefault="007F35B1" w:rsidP="00FD405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6CD37289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bode 4 § 3 písm. j) sa vypúšťajú slová „(Ú. v. EÚ L 151, 7.6.2019)“.</w:t>
      </w:r>
    </w:p>
    <w:p w14:paraId="06DDDD4C" w14:textId="77777777" w:rsidR="00FD4050" w:rsidRDefault="00FD4050" w:rsidP="00FD4050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Vypustenie nadbytočných slov (odkaz na publikačný orgán, ktorým je Úradný vestník) z normatívneho právneho textu.</w:t>
      </w:r>
    </w:p>
    <w:p w14:paraId="231C1578" w14:textId="77777777" w:rsidR="004675E4" w:rsidRDefault="004675E4" w:rsidP="00FD4050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77A142DD" w14:textId="77E9F5B1" w:rsidR="004675E4" w:rsidRPr="009E2141" w:rsidRDefault="004675E4" w:rsidP="004675E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008F1199" w14:textId="77777777" w:rsidR="004675E4" w:rsidRPr="009E2141" w:rsidRDefault="004675E4" w:rsidP="004675E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0BA2D10F" w14:textId="77777777" w:rsidR="004675E4" w:rsidRPr="009E2141" w:rsidRDefault="004675E4" w:rsidP="004675E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003AE1F4" w14:textId="77777777" w:rsidR="004675E4" w:rsidRPr="009E2141" w:rsidRDefault="004675E4" w:rsidP="004675E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7F799DA2" w14:textId="77777777" w:rsidR="004675E4" w:rsidRPr="00FD4050" w:rsidRDefault="004675E4" w:rsidP="00FD4050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1B0BACDB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I, bode 6 § 3 písm. n) sa slovo „následky“ nahrádza slovom „narušenie“.</w:t>
      </w:r>
    </w:p>
    <w:p w14:paraId="29F301EF" w14:textId="77777777" w:rsidR="00FD4050" w:rsidRDefault="00FD4050" w:rsidP="00FD4050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Spresnenie a zosúladenie navrhovaného právneho textu s čl. 6 bodom 7 smernice Európskeho parlamentu a Rady (EÚ) 2002/2555 („rozsiahly kybernetický incident“ je incident, ktorý spôsobí narušenie na úrovni presahujúcej schopnosť členského štátu naň reagovať alebo ktorý má významný vplyv aspoň na dva členské štáty“).</w:t>
      </w:r>
    </w:p>
    <w:p w14:paraId="7D0DE289" w14:textId="77777777" w:rsidR="00940C5F" w:rsidRDefault="00940C5F" w:rsidP="00FD4050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3251BB09" w14:textId="04848898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048104BE" w14:textId="77777777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649F908A" w14:textId="77777777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5878DBB8" w14:textId="77777777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A9E0663" w14:textId="77777777" w:rsidR="00FD4050" w:rsidRPr="00FD4050" w:rsidRDefault="00FD4050" w:rsidP="00FD4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7F8A1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 čl. I v bode 7 v § 3 písm. </w:t>
      </w:r>
      <w:proofErr w:type="spellStart"/>
      <w:r w:rsidRPr="00FD4050">
        <w:rPr>
          <w:rFonts w:ascii="Times New Roman" w:hAnsi="Times New Roman"/>
          <w:sz w:val="24"/>
          <w:szCs w:val="24"/>
        </w:rPr>
        <w:t>ab</w:t>
      </w:r>
      <w:proofErr w:type="spellEnd"/>
      <w:r w:rsidRPr="00FD4050">
        <w:rPr>
          <w:rFonts w:ascii="Times New Roman" w:hAnsi="Times New Roman"/>
          <w:sz w:val="24"/>
          <w:szCs w:val="24"/>
        </w:rPr>
        <w:t>) sa za slová „na vnútroštátnej alebo regionálnej“ vkladá slovo „úrovni“.</w:t>
      </w:r>
    </w:p>
    <w:p w14:paraId="6EBA0B35" w14:textId="77777777" w:rsidR="00FD4050" w:rsidRPr="00FD4050" w:rsidRDefault="00FD4050" w:rsidP="00FD405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Doplnenie chýbajúceho slova.</w:t>
      </w:r>
    </w:p>
    <w:p w14:paraId="6B78DEA5" w14:textId="29971E64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17025F53" w14:textId="77777777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510F9E89" w14:textId="77777777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5F41CE20" w14:textId="77777777" w:rsidR="00940C5F" w:rsidRPr="009E2141" w:rsidRDefault="00940C5F" w:rsidP="00940C5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09FFA94B" w14:textId="77777777" w:rsidR="00FD4050" w:rsidRPr="00FD4050" w:rsidRDefault="00FD4050" w:rsidP="00FD405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0E53ED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 čl. I bode 7 § 3 sa vypúšťa písmeno </w:t>
      </w:r>
      <w:proofErr w:type="spellStart"/>
      <w:r w:rsidRPr="00FD4050">
        <w:rPr>
          <w:rFonts w:ascii="Times New Roman" w:hAnsi="Times New Roman"/>
          <w:sz w:val="24"/>
          <w:szCs w:val="24"/>
        </w:rPr>
        <w:t>ac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). </w:t>
      </w:r>
    </w:p>
    <w:p w14:paraId="30B66EFC" w14:textId="77777777" w:rsidR="00FD4050" w:rsidRPr="00FD4050" w:rsidRDefault="00FD4050" w:rsidP="00FD4050">
      <w:pPr>
        <w:pStyle w:val="Odsekzoznamu"/>
        <w:rPr>
          <w:rFonts w:ascii="Times New Roman" w:hAnsi="Times New Roman"/>
          <w:sz w:val="24"/>
          <w:szCs w:val="24"/>
        </w:rPr>
      </w:pPr>
    </w:p>
    <w:p w14:paraId="61CC82C0" w14:textId="77777777" w:rsidR="00FD4050" w:rsidRPr="00FD4050" w:rsidRDefault="00FD4050" w:rsidP="00FD4050">
      <w:pPr>
        <w:pStyle w:val="Odsekzoznamu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tejto súvislosti sa primerane upraví úvodná veta.</w:t>
      </w:r>
    </w:p>
    <w:p w14:paraId="7DC0EB58" w14:textId="77777777" w:rsidR="00FD4050" w:rsidRPr="00FD4050" w:rsidRDefault="00FD4050" w:rsidP="00FD4050">
      <w:pPr>
        <w:pStyle w:val="Odsekzoznamu"/>
        <w:rPr>
          <w:rFonts w:ascii="Times New Roman" w:hAnsi="Times New Roman"/>
          <w:sz w:val="24"/>
          <w:szCs w:val="24"/>
        </w:rPr>
      </w:pPr>
    </w:p>
    <w:p w14:paraId="6D1188E0" w14:textId="77777777" w:rsid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Legislatívno-technická úprava z dôvodu nadbytočnosti zavedenia pojmu „technická špecifikácia“.</w:t>
      </w:r>
    </w:p>
    <w:p w14:paraId="29A4C330" w14:textId="77777777" w:rsidR="00175C98" w:rsidRPr="009E2141" w:rsidRDefault="00175C98" w:rsidP="00175C9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30E0DCE2" w14:textId="6CFDB5DA" w:rsidR="00175C98" w:rsidRDefault="00175C98" w:rsidP="00175C9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5C3669D9" w14:textId="2E879B33" w:rsidR="00CC7A36" w:rsidRDefault="00CC7A36" w:rsidP="00175C9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22CC97" w14:textId="77777777" w:rsidR="00CC7A36" w:rsidRPr="00FD4050" w:rsidRDefault="00CC7A36" w:rsidP="00CC7A3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 čl. I bode 25 § 5a ods. 3 sa slová „a vysoká“ nahrádzajú slovami „alebo vysoká“.</w:t>
      </w:r>
    </w:p>
    <w:p w14:paraId="400F8DA1" w14:textId="77777777" w:rsidR="00CC7A36" w:rsidRPr="00FD4050" w:rsidRDefault="00CC7A36" w:rsidP="00CC7A36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</w:p>
    <w:p w14:paraId="2FB92BFC" w14:textId="77777777" w:rsidR="00CC7A36" w:rsidRDefault="00CC7A36" w:rsidP="00CC7A36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Spresnenie navrhovaného právneho textu v súlade s čl. 52 ods. 1 nariadenia (EÚ) 2019/881 „Európsky systém certifikácie kybernetickej bezpečnosti môže uvádzať jeden alebo viacero z týchto stupňov dôveryhodnosti pre produkty IKT, služby IKT a procesy IKT: „základný“, „pokročilý“ alebo „vysoký“.</w:t>
      </w:r>
    </w:p>
    <w:p w14:paraId="6DD93BDC" w14:textId="77777777" w:rsidR="00CC7A36" w:rsidRPr="009E2141" w:rsidRDefault="00CC7A36" w:rsidP="00CC7A3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41DA548B" w14:textId="77777777" w:rsidR="00CC7A36" w:rsidRPr="009E2141" w:rsidRDefault="00CC7A36" w:rsidP="00CC7A36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2359C68D" w14:textId="77777777" w:rsidR="00CC7A36" w:rsidRPr="009E2141" w:rsidRDefault="00CC7A36" w:rsidP="00175C9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F308C7" w14:textId="77777777" w:rsidR="00175C98" w:rsidRPr="00FD4050" w:rsidRDefault="00175C98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4BCE798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v bode 25 sa na konci pripája táto veta: „Poznámky pod čiarou k odkazom 10f a 10g sa vypúšťajú.“.</w:t>
      </w:r>
    </w:p>
    <w:p w14:paraId="6E0D938C" w14:textId="77777777" w:rsidR="00FD4050" w:rsidRDefault="00FD4050" w:rsidP="00FD4050">
      <w:pPr>
        <w:pStyle w:val="Odsekzoznamu"/>
        <w:ind w:left="212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Vzhľadom na nové znenie § 5a, v ktorom sa už nenachádzajú odkazy na poznámky pod čiarou 10f a 10g a ktoré sa nenachádzajú ani na inom mieste v zákone, je potrebné ich vypustiť.</w:t>
      </w:r>
    </w:p>
    <w:p w14:paraId="0FF36D73" w14:textId="77777777" w:rsidR="0043554F" w:rsidRDefault="0043554F" w:rsidP="00FD4050">
      <w:pPr>
        <w:pStyle w:val="Odsekzoznamu"/>
        <w:ind w:left="2124"/>
        <w:jc w:val="both"/>
        <w:rPr>
          <w:rFonts w:ascii="Times New Roman" w:hAnsi="Times New Roman"/>
          <w:sz w:val="24"/>
          <w:szCs w:val="24"/>
        </w:rPr>
      </w:pPr>
    </w:p>
    <w:p w14:paraId="6BCEC735" w14:textId="54B313AD" w:rsidR="0043554F" w:rsidRPr="009E2141" w:rsidRDefault="0043554F" w:rsidP="0043554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76BD3290" w14:textId="77777777" w:rsidR="0043554F" w:rsidRPr="009E2141" w:rsidRDefault="0043554F" w:rsidP="0043554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5349B752" w14:textId="77777777" w:rsidR="0043554F" w:rsidRPr="009E2141" w:rsidRDefault="0043554F" w:rsidP="0043554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4E0AAC1D" w14:textId="77777777" w:rsidR="0043554F" w:rsidRPr="009E2141" w:rsidRDefault="0043554F" w:rsidP="0043554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783D8972" w14:textId="77777777" w:rsidR="0043554F" w:rsidRPr="00FD4050" w:rsidRDefault="0043554F" w:rsidP="00FD4050">
      <w:pPr>
        <w:pStyle w:val="Odsekzoznamu"/>
        <w:ind w:left="2124"/>
        <w:jc w:val="both"/>
        <w:rPr>
          <w:rFonts w:ascii="Times New Roman" w:hAnsi="Times New Roman"/>
          <w:sz w:val="24"/>
          <w:szCs w:val="24"/>
        </w:rPr>
      </w:pPr>
    </w:p>
    <w:p w14:paraId="19E26031" w14:textId="77777777" w:rsidR="00FD4050" w:rsidRPr="00FD4050" w:rsidRDefault="00FD4050" w:rsidP="00FD4050">
      <w:pPr>
        <w:pStyle w:val="Odsekzoznamu"/>
        <w:ind w:left="2124"/>
        <w:jc w:val="both"/>
        <w:rPr>
          <w:rFonts w:ascii="Times New Roman" w:hAnsi="Times New Roman"/>
          <w:sz w:val="24"/>
          <w:szCs w:val="24"/>
        </w:rPr>
      </w:pPr>
    </w:p>
    <w:p w14:paraId="027E65F2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D4050">
        <w:rPr>
          <w:rFonts w:ascii="Times New Roman" w:hAnsi="Times New Roman"/>
          <w:sz w:val="24"/>
          <w:szCs w:val="24"/>
        </w:rPr>
        <w:t>V čl. I bod 30 znie:</w:t>
      </w:r>
    </w:p>
    <w:p w14:paraId="4619B188" w14:textId="77777777" w:rsidR="00FD4050" w:rsidRPr="00FD4050" w:rsidRDefault="00FD4050" w:rsidP="00FD4050">
      <w:pPr>
        <w:pStyle w:val="Odsekzoznamu"/>
        <w:spacing w:line="36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„30. V § 8 ods. 4 a v § 20 ods. 5 písm. e) sa slovo „hrozbách“ nahrádza slovami „kybernetických hrozbách“.“.</w:t>
      </w:r>
    </w:p>
    <w:p w14:paraId="7576250D" w14:textId="77777777" w:rsidR="00FD4050" w:rsidRPr="00FD4050" w:rsidRDefault="00FD4050" w:rsidP="00FD4050">
      <w:pPr>
        <w:pStyle w:val="Odsekzoznamu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ab/>
      </w:r>
      <w:r w:rsidRPr="00FD4050">
        <w:rPr>
          <w:rFonts w:ascii="Times New Roman" w:hAnsi="Times New Roman"/>
          <w:sz w:val="24"/>
          <w:szCs w:val="24"/>
        </w:rPr>
        <w:tab/>
      </w:r>
      <w:r w:rsidRPr="00FD4050">
        <w:rPr>
          <w:rFonts w:ascii="Times New Roman" w:hAnsi="Times New Roman"/>
          <w:sz w:val="24"/>
          <w:szCs w:val="24"/>
        </w:rPr>
        <w:tab/>
      </w: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úprava.</w:t>
      </w:r>
    </w:p>
    <w:p w14:paraId="2B72A264" w14:textId="66C323C9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67CCAF44" w14:textId="77777777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326CB4D9" w14:textId="77777777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0F62A6F3" w14:textId="77777777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339EA3DE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lastRenderedPageBreak/>
        <w:t>V čl. I bod 35 znie:</w:t>
      </w:r>
    </w:p>
    <w:p w14:paraId="68013A49" w14:textId="77777777" w:rsidR="00FD4050" w:rsidRPr="00FD4050" w:rsidRDefault="00FD4050" w:rsidP="00FD4050">
      <w:pPr>
        <w:pStyle w:val="Odsekzoznamu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„35. V § 10 sa slová „systémov, ktoré nie sú základnou službou a procesu riešenia kybernetických bezpečnostných incidentov, iný orgán štátnej správy a ústredný orgán“ nahrádzajú slovami „systémov a procesu riešenia kybernetických bezpečnostných incidentov, iný orgán štátnej správy“.“.</w:t>
      </w:r>
    </w:p>
    <w:p w14:paraId="38BB502E" w14:textId="77777777" w:rsidR="008D7EF1" w:rsidRDefault="008D7EF1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68CEB5" w14:textId="6740B70D" w:rsidR="00FD4050" w:rsidRDefault="00FD4050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úprava.</w:t>
      </w:r>
    </w:p>
    <w:p w14:paraId="78B628BA" w14:textId="036C4FDF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7F456AB1" w14:textId="77777777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251B03B6" w14:textId="77777777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186A16E4" w14:textId="77777777" w:rsidR="008D7EF1" w:rsidRPr="009E2141" w:rsidRDefault="008D7EF1" w:rsidP="008D7EF1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2C69E5C" w14:textId="77777777" w:rsidR="008D7EF1" w:rsidRPr="00FD4050" w:rsidRDefault="008D7EF1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2DF01CD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 čl. I bode 44 § 17 ods. 1 písm. c) siedmom bode sa slová „pre celý sektor vykonávanej činnosti, najmä ak by takéto riziko mohlo mať cezhraničný vplyv“ nahrádzajú slovami  „najmä v sektore, v ktorom by takéto narušenie alebo zásah mohli mať cezhraničný vplyv“.</w:t>
      </w:r>
    </w:p>
    <w:p w14:paraId="505506B0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8EE7962" w14:textId="77777777" w:rsid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Precizovanie textu v súlade s čl. 2 ods. 2 písm. d) smernice Európskeho parlamentu a Rady (EU) 2022/2555.</w:t>
      </w:r>
    </w:p>
    <w:p w14:paraId="71E30FD8" w14:textId="113DD501" w:rsidR="00A86217" w:rsidRPr="009E2141" w:rsidRDefault="00A86217" w:rsidP="00A8621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2EE3D352" w14:textId="77777777" w:rsidR="00A86217" w:rsidRPr="009E2141" w:rsidRDefault="00A86217" w:rsidP="00A8621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23D9B435" w14:textId="77777777" w:rsidR="00A86217" w:rsidRPr="00FD4050" w:rsidRDefault="00A86217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FB39093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 čl. I bode 44 § 18 ods. 1 písm. b) sa slová „presahuje podmienky veľkosti“ nahrádzajú slovami „prekračuje limity veľkosti určené“  a nad slovo podnik sa umiestňuje odkaz 23c. </w:t>
      </w:r>
    </w:p>
    <w:p w14:paraId="46BE276D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07FB5A24" w14:textId="77777777" w:rsidR="00FD4050" w:rsidRPr="00FD4050" w:rsidRDefault="00FD4050" w:rsidP="00FD4050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Poznámka pod čiarou k odkazu 23c znie:</w:t>
      </w:r>
    </w:p>
    <w:p w14:paraId="50BDCCE0" w14:textId="77777777" w:rsidR="00FD4050" w:rsidRPr="00FD4050" w:rsidRDefault="00FD4050" w:rsidP="00FD405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„</w:t>
      </w:r>
      <w:r w:rsidRPr="00FD4050">
        <w:rPr>
          <w:rFonts w:ascii="Times New Roman" w:hAnsi="Times New Roman" w:cs="Times New Roman"/>
          <w:sz w:val="24"/>
          <w:szCs w:val="24"/>
          <w:vertAlign w:val="superscript"/>
        </w:rPr>
        <w:t>23c</w:t>
      </w:r>
      <w:r w:rsidRPr="00FD4050">
        <w:rPr>
          <w:rFonts w:ascii="Times New Roman" w:hAnsi="Times New Roman" w:cs="Times New Roman"/>
          <w:sz w:val="24"/>
          <w:szCs w:val="24"/>
        </w:rPr>
        <w:t xml:space="preserve">) Odporúčanie Komisie 2003/361/ES zo 6. mája 2003 o vymedzení pojmu </w:t>
      </w:r>
      <w:proofErr w:type="spellStart"/>
      <w:r w:rsidRPr="00FD4050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D4050">
        <w:rPr>
          <w:rFonts w:ascii="Times New Roman" w:hAnsi="Times New Roman" w:cs="Times New Roman"/>
          <w:sz w:val="24"/>
          <w:szCs w:val="24"/>
        </w:rPr>
        <w:t>, malých a stredných podnikov (Ú. v. EÚ L 124, 20. 5. 2003).“.</w:t>
      </w:r>
    </w:p>
    <w:p w14:paraId="1C699740" w14:textId="77777777" w:rsidR="00FD4050" w:rsidRPr="00FD4050" w:rsidRDefault="00FD4050" w:rsidP="00FD4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V súvislosti s vložením novej poznámky pod čiarou sa primerane upraví predvetie k vkladaným poznámkam pod čiarou.</w:t>
      </w:r>
    </w:p>
    <w:p w14:paraId="19DC3EFB" w14:textId="77777777" w:rsidR="00FD4050" w:rsidRPr="00FD4050" w:rsidRDefault="00FD4050" w:rsidP="00FD4050">
      <w:pPr>
        <w:pStyle w:val="Odsekzoznamu"/>
        <w:ind w:left="1416" w:firstLine="696"/>
        <w:jc w:val="both"/>
        <w:rPr>
          <w:rFonts w:ascii="Times New Roman" w:hAnsi="Times New Roman"/>
          <w:sz w:val="24"/>
          <w:szCs w:val="24"/>
        </w:rPr>
      </w:pPr>
    </w:p>
    <w:p w14:paraId="3168D6A9" w14:textId="77777777" w:rsidR="00FD4050" w:rsidRDefault="00FD4050" w:rsidP="00FD405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Gramatické spresnenie navrhovaného právneho textu vrátane poznámky pod čiarou na odporúčanie Komisie, ktoré vymedzuje pojem </w:t>
      </w:r>
      <w:proofErr w:type="spellStart"/>
      <w:r w:rsidRPr="00FD4050">
        <w:rPr>
          <w:rFonts w:ascii="Times New Roman" w:hAnsi="Times New Roman"/>
          <w:sz w:val="24"/>
          <w:szCs w:val="24"/>
        </w:rPr>
        <w:t>mikro</w:t>
      </w:r>
      <w:proofErr w:type="spellEnd"/>
      <w:r w:rsidRPr="00FD4050">
        <w:rPr>
          <w:rFonts w:ascii="Times New Roman" w:hAnsi="Times New Roman"/>
          <w:sz w:val="24"/>
          <w:szCs w:val="24"/>
        </w:rPr>
        <w:t>, malý a stredný podnik.</w:t>
      </w:r>
    </w:p>
    <w:p w14:paraId="4D47AD40" w14:textId="77777777" w:rsidR="00B93E90" w:rsidRDefault="00B93E90" w:rsidP="00FD405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</w:p>
    <w:p w14:paraId="0FEE0693" w14:textId="77777777" w:rsidR="00B93E90" w:rsidRPr="009E2141" w:rsidRDefault="00B93E90" w:rsidP="00B93E9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397EE62E" w14:textId="77777777" w:rsidR="00B93E90" w:rsidRPr="009E2141" w:rsidRDefault="00B93E90" w:rsidP="00B93E9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0E3874E7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lastRenderedPageBreak/>
        <w:t>V čl. I. bode 45 § 19 ods. 1 sa na konci pripájajú tieto slová: „podľa osobitného predpisu</w:t>
      </w:r>
      <w:r w:rsidRPr="00FD4050">
        <w:rPr>
          <w:rFonts w:ascii="Times New Roman" w:hAnsi="Times New Roman"/>
          <w:sz w:val="24"/>
          <w:szCs w:val="24"/>
          <w:vertAlign w:val="superscript"/>
        </w:rPr>
        <w:t>24a</w:t>
      </w:r>
      <w:r w:rsidRPr="00FD4050">
        <w:rPr>
          <w:rFonts w:ascii="Times New Roman" w:hAnsi="Times New Roman"/>
          <w:sz w:val="24"/>
          <w:szCs w:val="24"/>
        </w:rPr>
        <w:t xml:space="preserve">)“. </w:t>
      </w:r>
    </w:p>
    <w:p w14:paraId="26E98DAC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8ECCB76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Poznámka pod čiarou k odkazu 24a znie:</w:t>
      </w:r>
    </w:p>
    <w:p w14:paraId="5F464EBF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„</w:t>
      </w:r>
      <w:r w:rsidRPr="00FD4050">
        <w:rPr>
          <w:rFonts w:ascii="Times New Roman" w:hAnsi="Times New Roman"/>
          <w:sz w:val="24"/>
          <w:szCs w:val="24"/>
          <w:vertAlign w:val="superscript"/>
        </w:rPr>
        <w:t>24a</w:t>
      </w:r>
      <w:r w:rsidRPr="00FD4050">
        <w:rPr>
          <w:rFonts w:ascii="Times New Roman" w:hAnsi="Times New Roman"/>
          <w:sz w:val="24"/>
          <w:szCs w:val="24"/>
        </w:rPr>
        <w:t xml:space="preserve">) Vykonávacie nariadenie Komisie (EÚ) 2024/2690 zo 17. októbra 2024, ktorým sa stanovujú pravidlá uplatňovania smernice (EÚ) 2022/2555, pokiaľ ide o technické a metodické požiadavky na opatrenia na riadenie kybernetických rizík a o bližšie určenie prípadov, v ktorých sa incident považuje za významný, vo vzťahu k poskytovateľom služieb DNS, správcom názvov TLD, poskytovateľom služieb </w:t>
      </w:r>
      <w:proofErr w:type="spellStart"/>
      <w:r w:rsidRPr="00FD4050">
        <w:rPr>
          <w:rFonts w:ascii="Times New Roman" w:hAnsi="Times New Roman"/>
          <w:sz w:val="24"/>
          <w:szCs w:val="24"/>
        </w:rPr>
        <w:t>cloud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4050">
        <w:rPr>
          <w:rFonts w:ascii="Times New Roman" w:hAnsi="Times New Roman"/>
          <w:sz w:val="24"/>
          <w:szCs w:val="24"/>
        </w:rPr>
        <w:t>computingu</w:t>
      </w:r>
      <w:proofErr w:type="spellEnd"/>
      <w:r w:rsidRPr="00FD4050">
        <w:rPr>
          <w:rFonts w:ascii="Times New Roman" w:hAnsi="Times New Roman"/>
          <w:sz w:val="24"/>
          <w:szCs w:val="24"/>
        </w:rPr>
        <w:t>, poskytovateľom služieb dátového centra, poskytovateľom sietí na sprístupňovanie obsahu, poskytovateľom riadených služieb, poskytovateľom riadených bezpečnostných služieb, poskytovateľom online trhov, internetových vyhľadávačov a platforiem služieb sociálnej siete a poskytovateľom dôveryhodných služieb (Ú. v. EÚ L, 2024/2690, 18.10.2024).“.</w:t>
      </w:r>
    </w:p>
    <w:p w14:paraId="2747F045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0DD95CB6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 súvislosti s vložením novej poznámky pod čiarou sa primerane upraví predvetie k vkladaným poznámkam pod čiarou a  nasledujúce poznámky pod čiarou 24a a 24b vrátane odkazov na </w:t>
      </w:r>
      <w:proofErr w:type="spellStart"/>
      <w:r w:rsidRPr="00FD4050">
        <w:rPr>
          <w:rFonts w:ascii="Times New Roman" w:hAnsi="Times New Roman"/>
          <w:sz w:val="24"/>
          <w:szCs w:val="24"/>
        </w:rPr>
        <w:t>ne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v čl. I v bodoch 54 a 58 sa primerane preznačia.</w:t>
      </w:r>
    </w:p>
    <w:p w14:paraId="66C67D31" w14:textId="77777777" w:rsidR="00FD4050" w:rsidRP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7BDC127" w14:textId="77777777" w:rsid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 xml:space="preserve">Precizovanie textu z dôvodu vývoja na úrovni legislatívy Európskej únie. </w:t>
      </w:r>
    </w:p>
    <w:p w14:paraId="312105D3" w14:textId="5CB0B932" w:rsidR="00751F9D" w:rsidRPr="009E2141" w:rsidRDefault="00751F9D" w:rsidP="00751F9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5AE92FB7" w14:textId="77777777" w:rsidR="00751F9D" w:rsidRPr="009E2141" w:rsidRDefault="00751F9D" w:rsidP="00751F9D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204278CD" w14:textId="77777777" w:rsidR="00751F9D" w:rsidRPr="00FD4050" w:rsidRDefault="00751F9D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5A7D4C6" w14:textId="77777777" w:rsidR="00FD4050" w:rsidRPr="00FD4050" w:rsidRDefault="00FD4050" w:rsidP="00FD4050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429AA771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v 49. bode sa slová „a táto veta“ nahrádzajú slovami „a pripája sa táto veta“.</w:t>
      </w:r>
    </w:p>
    <w:p w14:paraId="4216691A" w14:textId="77777777" w:rsidR="00FD4050" w:rsidRPr="00FD4050" w:rsidRDefault="00FD4050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CAD61F" w14:textId="77777777" w:rsidR="00FD4050" w:rsidRDefault="00FD4050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úprava.</w:t>
      </w:r>
    </w:p>
    <w:p w14:paraId="78C61594" w14:textId="2A50FD63" w:rsidR="00CC010C" w:rsidRPr="009E2141" w:rsidRDefault="00CC010C" w:rsidP="00CC010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6236D6FC" w14:textId="77777777" w:rsidR="00CC010C" w:rsidRPr="009E2141" w:rsidRDefault="00CC010C" w:rsidP="00CC010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6CE26413" w14:textId="77777777" w:rsidR="00CC010C" w:rsidRPr="009E2141" w:rsidRDefault="00CC010C" w:rsidP="00CC010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442627A3" w14:textId="77777777" w:rsidR="00CC010C" w:rsidRPr="009E2141" w:rsidRDefault="00CC010C" w:rsidP="00CC010C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30854EA3" w14:textId="77777777" w:rsidR="00FD4050" w:rsidRPr="00FD4050" w:rsidRDefault="00FD4050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52681EF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 čl. I bode 56 § 24 ods. 8 sa vypúšťajú slová „(Ú. v. EÚ L 333, 27.12.2022)“.</w:t>
      </w:r>
    </w:p>
    <w:p w14:paraId="31536293" w14:textId="77777777" w:rsidR="00FD4050" w:rsidRDefault="00FD4050" w:rsidP="00FD4050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Vypustenie nadbytočných slov (odkaz na publikačný orgán, ktorým je Úradný vestník) z normatívneho právneho textu.</w:t>
      </w:r>
    </w:p>
    <w:p w14:paraId="4B2B8872" w14:textId="149C4955" w:rsidR="00766415" w:rsidRPr="009E2141" w:rsidRDefault="000B409B" w:rsidP="0076641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766415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601E675C" w14:textId="77777777" w:rsidR="00766415" w:rsidRPr="009E2141" w:rsidRDefault="00766415" w:rsidP="0076641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7E2BEC9" w14:textId="77777777" w:rsidR="00766415" w:rsidRDefault="00766415" w:rsidP="00FD4050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6F97672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lastRenderedPageBreak/>
        <w:t>V čl. I v 67. bode sa za slová „§ 27a“ vkladajú slová „ods. 1“.</w:t>
      </w:r>
    </w:p>
    <w:p w14:paraId="0B41D37A" w14:textId="77777777" w:rsidR="00FD4050" w:rsidRPr="00FD4050" w:rsidRDefault="00FD4050" w:rsidP="00FD4050">
      <w:pPr>
        <w:pStyle w:val="Odsekzoznamu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75A9D8C" w14:textId="77777777" w:rsidR="00FD4050" w:rsidRDefault="00FD4050" w:rsidP="00FD40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FD4050">
        <w:rPr>
          <w:rFonts w:ascii="Times New Roman" w:hAnsi="Times New Roman" w:cs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 w:cs="Times New Roman"/>
          <w:sz w:val="24"/>
          <w:szCs w:val="24"/>
        </w:rPr>
        <w:t xml:space="preserve"> – technická úprava.</w:t>
      </w:r>
    </w:p>
    <w:p w14:paraId="648772BD" w14:textId="77777777" w:rsidR="00710FD9" w:rsidRPr="00FD4050" w:rsidRDefault="00710FD9" w:rsidP="00FD40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77248D" w14:textId="45D47EA0" w:rsidR="00B20CCE" w:rsidRPr="009E2141" w:rsidRDefault="00B20CCE" w:rsidP="00B20CC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0DC21F8D" w14:textId="77777777" w:rsidR="00B20CCE" w:rsidRPr="009E2141" w:rsidRDefault="00B20CCE" w:rsidP="00B20CC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6B410E1B" w14:textId="77777777" w:rsidR="00B20CCE" w:rsidRPr="009E2141" w:rsidRDefault="00B20CCE" w:rsidP="00B20CC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39C71041" w14:textId="77777777" w:rsidR="00B20CCE" w:rsidRPr="009E2141" w:rsidRDefault="00B20CCE" w:rsidP="00B20CCE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A5B06D5" w14:textId="77777777" w:rsidR="00FD4050" w:rsidRPr="00FD4050" w:rsidRDefault="00FD4050" w:rsidP="00FD405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206B3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 čl. I bod 69. znie:</w:t>
      </w:r>
    </w:p>
    <w:p w14:paraId="5167DB64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„69. V § 27a ods. 4 a 6 sa slová  „poskytovanie základnej služby“ nahrádzajú slovami „poskytovanie služby“.“.</w:t>
      </w:r>
    </w:p>
    <w:p w14:paraId="1858676B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1284306B" w14:textId="77777777" w:rsidR="00FD4050" w:rsidRDefault="00FD4050" w:rsidP="00FD4050">
      <w:pPr>
        <w:pStyle w:val="Odsekzoznamu"/>
        <w:ind w:left="4245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Legislatívno-technická úprava súvisiaca s vypustením pojmu „základná služba“ zo zákona, ktorá vyplýva zo smernice Európskeho parlamentu a Rady (EU) 2022/2555.</w:t>
      </w:r>
    </w:p>
    <w:p w14:paraId="54603654" w14:textId="77777777" w:rsidR="00DC3856" w:rsidRDefault="00DC3856" w:rsidP="00FD4050">
      <w:pPr>
        <w:pStyle w:val="Odsekzoznamu"/>
        <w:ind w:left="4245"/>
        <w:jc w:val="both"/>
        <w:rPr>
          <w:rFonts w:ascii="Times New Roman" w:hAnsi="Times New Roman"/>
          <w:sz w:val="24"/>
          <w:szCs w:val="24"/>
        </w:rPr>
      </w:pPr>
    </w:p>
    <w:p w14:paraId="7D03F802" w14:textId="3D7C26CE" w:rsidR="00DC3856" w:rsidRPr="009E2141" w:rsidRDefault="00DC3856" w:rsidP="00DC385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1C4E5DD0" w14:textId="77777777" w:rsidR="00DC3856" w:rsidRPr="009E2141" w:rsidRDefault="00DC3856" w:rsidP="00DC3856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4B83092E" w14:textId="77777777" w:rsidR="00DC3856" w:rsidRPr="00FD4050" w:rsidRDefault="00DC3856" w:rsidP="00FD4050">
      <w:pPr>
        <w:pStyle w:val="Odsekzoznamu"/>
        <w:ind w:left="4245"/>
        <w:jc w:val="both"/>
        <w:rPr>
          <w:rFonts w:ascii="Times New Roman" w:hAnsi="Times New Roman"/>
          <w:sz w:val="24"/>
          <w:szCs w:val="24"/>
        </w:rPr>
      </w:pPr>
    </w:p>
    <w:p w14:paraId="7442235A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8533386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bode 75 § 29j ods. 1 písm. c) sa na konci pripája slovo „alebo“.</w:t>
      </w:r>
    </w:p>
    <w:p w14:paraId="1AEC7107" w14:textId="77777777" w:rsid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>Legislatívno-technická úprava z dôvodu potreby  demonštratívneho výpočtu opatrení v § 29j ods. 1 písm. a) až d).</w:t>
      </w:r>
    </w:p>
    <w:p w14:paraId="717738EA" w14:textId="77777777" w:rsidR="00C6535A" w:rsidRPr="009E2141" w:rsidRDefault="00C6535A" w:rsidP="00C6535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05CF4B64" w14:textId="77777777" w:rsidR="00C6535A" w:rsidRPr="009E2141" w:rsidRDefault="00C6535A" w:rsidP="00C6535A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61C2DF7" w14:textId="77777777" w:rsidR="00C6535A" w:rsidRPr="00FD4050" w:rsidRDefault="00C6535A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AFA31DB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 čl. I 79. bode § 31 ods. 1 písm. a) sa slová „§ 17 ods. 3“ nahrádzajú slovami „§ 17 ods. 2“. </w:t>
      </w:r>
    </w:p>
    <w:p w14:paraId="6B57A31B" w14:textId="77777777" w:rsid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oprava vnútorného odkazu.</w:t>
      </w:r>
    </w:p>
    <w:p w14:paraId="109A2764" w14:textId="77777777" w:rsidR="00202CE8" w:rsidRPr="009E2141" w:rsidRDefault="00202CE8" w:rsidP="00202CE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04E5E9E8" w14:textId="77777777" w:rsidR="00202CE8" w:rsidRPr="009E2141" w:rsidRDefault="00202CE8" w:rsidP="00202CE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034B1874" w14:textId="77777777" w:rsidR="00202CE8" w:rsidRPr="009E2141" w:rsidRDefault="00202CE8" w:rsidP="00202CE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2F5C795" w14:textId="77777777" w:rsidR="00202CE8" w:rsidRPr="009E2141" w:rsidRDefault="00202CE8" w:rsidP="00202CE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2E97CCD7" w14:textId="77777777" w:rsidR="00202CE8" w:rsidRPr="00FD4050" w:rsidRDefault="00202CE8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0C4A0896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bode 79 § 31 ods. 2 sa za slovo „pokutu“ vkladajú slová „od 300 eur“.</w:t>
      </w:r>
    </w:p>
    <w:p w14:paraId="0F3822EF" w14:textId="77777777" w:rsid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lastRenderedPageBreak/>
        <w:t xml:space="preserve">Zavedenie dolnej hranice pokuty z dôvodu jej absencie a zosúladenie s platným právnym stavom. </w:t>
      </w:r>
    </w:p>
    <w:p w14:paraId="24570C3F" w14:textId="4C3FDE5E" w:rsidR="00A2279B" w:rsidRPr="009E2141" w:rsidRDefault="00A2279B" w:rsidP="00A2279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3A7D85FC" w14:textId="77777777" w:rsidR="00A2279B" w:rsidRPr="009E2141" w:rsidRDefault="00A2279B" w:rsidP="00A2279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9315356" w14:textId="77777777" w:rsidR="00A2279B" w:rsidRPr="00FD4050" w:rsidRDefault="00A2279B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7A0E664" w14:textId="77777777" w:rsidR="00FD4050" w:rsidRPr="00FD4050" w:rsidRDefault="00FD4050" w:rsidP="00FD405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2B373AD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bode 79 § 31 ods. 3 sa za slovo „pokutu“ vkladajú slová „od 500 eur“.</w:t>
      </w:r>
    </w:p>
    <w:p w14:paraId="69699CAC" w14:textId="77777777" w:rsid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D4050">
        <w:rPr>
          <w:rFonts w:ascii="Times New Roman" w:hAnsi="Times New Roman" w:cs="Times New Roman"/>
          <w:sz w:val="24"/>
          <w:szCs w:val="24"/>
        </w:rPr>
        <w:t xml:space="preserve">Zavedenie dolnej hranice pokuty z dôvodu jej absencie a zosúladenie s platným právnym stavom. </w:t>
      </w:r>
    </w:p>
    <w:p w14:paraId="7FD4E83D" w14:textId="3A4ED2AE" w:rsidR="0083363E" w:rsidRPr="009E2141" w:rsidRDefault="0083363E" w:rsidP="0083363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25DE659F" w14:textId="77777777" w:rsidR="0083363E" w:rsidRPr="009E2141" w:rsidRDefault="0083363E" w:rsidP="0083363E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5188954F" w14:textId="77777777" w:rsidR="0083363E" w:rsidRPr="00FD4050" w:rsidRDefault="0083363E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4A55610" w14:textId="77777777" w:rsidR="00FD4050" w:rsidRPr="00FD4050" w:rsidRDefault="00FD4050" w:rsidP="00FD405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5E3927B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bode 79 § 31 ods. 7 písm. c) sa slová „§ 27a ods. 5“ nahrádzajú slovami „§ 27a ods. 4“.</w:t>
      </w:r>
    </w:p>
    <w:p w14:paraId="66775D63" w14:textId="77777777" w:rsidR="00FD4050" w:rsidRDefault="00FD4050" w:rsidP="00FD405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Legislatívno-technická oprava vnútorného odkazu.</w:t>
      </w:r>
    </w:p>
    <w:p w14:paraId="7848F9FB" w14:textId="77777777" w:rsidR="00E41C4F" w:rsidRPr="009E2141" w:rsidRDefault="00E41C4F" w:rsidP="00E41C4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14:paraId="22AB1682" w14:textId="77777777" w:rsidR="00E41C4F" w:rsidRPr="009E2141" w:rsidRDefault="00E41C4F" w:rsidP="00E41C4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8AE0D81" w14:textId="77777777" w:rsidR="00E41C4F" w:rsidRPr="00FD4050" w:rsidRDefault="00E41C4F" w:rsidP="00FD4050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</w:p>
    <w:p w14:paraId="0C467D9A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 čl. I 90. bode § 34b ods. 1 a 3 sa slová „podľa  zákona“ nahrádzajú slovami „podľa  tohto zákona“. </w:t>
      </w:r>
    </w:p>
    <w:p w14:paraId="074D403C" w14:textId="77777777" w:rsidR="00FD4050" w:rsidRP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oprava spresňujúca o ktorý zákon sa jedná.</w:t>
      </w:r>
    </w:p>
    <w:p w14:paraId="29FE7688" w14:textId="46A8699F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2216022B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415DFF64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4E1B7C04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39A5F59F" w14:textId="77777777" w:rsidR="00FD4050" w:rsidRPr="00FD4050" w:rsidRDefault="00FD4050" w:rsidP="00FD4050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2ECC949A" w14:textId="77777777" w:rsidR="00FD4050" w:rsidRPr="00FD4050" w:rsidRDefault="00FD4050" w:rsidP="00FD4050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796DA87D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 90. bode § 34b ods. 2 a 4 sa vypúšťa slovo „zákona“.</w:t>
      </w:r>
    </w:p>
    <w:p w14:paraId="7EE5CDB9" w14:textId="77777777" w:rsidR="00FD4050" w:rsidRPr="00FD4050" w:rsidRDefault="00FD4050" w:rsidP="00FD4050">
      <w:pPr>
        <w:pStyle w:val="Odsekzoznamu"/>
        <w:ind w:left="1842" w:firstLine="282"/>
        <w:jc w:val="both"/>
        <w:rPr>
          <w:rFonts w:ascii="Times New Roman" w:hAnsi="Times New Roman"/>
          <w:sz w:val="24"/>
          <w:szCs w:val="24"/>
        </w:rPr>
      </w:pPr>
    </w:p>
    <w:p w14:paraId="51123E66" w14:textId="77777777" w:rsidR="00FD4050" w:rsidRPr="00FD4050" w:rsidRDefault="00FD4050" w:rsidP="00FD4050">
      <w:pPr>
        <w:pStyle w:val="Odsekzoznamu"/>
        <w:ind w:left="1842" w:firstLine="28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technické spresnenie.</w:t>
      </w:r>
    </w:p>
    <w:p w14:paraId="10D5A4C2" w14:textId="77777777" w:rsidR="007C6F0F" w:rsidRPr="009E2141" w:rsidRDefault="006819A7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7C6F0F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6F1E589A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7A39F9A3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1D2ADF6C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43F0A333" w14:textId="10C9F9CB" w:rsidR="00FD4050" w:rsidRPr="00FD4050" w:rsidRDefault="00FD4050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1B4B2" w14:textId="77777777" w:rsidR="00FD4050" w:rsidRPr="00FD4050" w:rsidRDefault="00FD4050" w:rsidP="00FD4050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196DC9FD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 čl. I 90. bode § 34b ods. 9 sa slová „odseku 9“ nahrádzajú slovami „odseku 8“. </w:t>
      </w:r>
    </w:p>
    <w:p w14:paraId="23EAA0AB" w14:textId="77777777" w:rsidR="00FD4050" w:rsidRP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7B227B9C" w14:textId="77777777" w:rsid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oprava vnútorného odkazu.</w:t>
      </w:r>
    </w:p>
    <w:p w14:paraId="75722178" w14:textId="77777777" w:rsidR="007C6F0F" w:rsidRPr="009E2141" w:rsidRDefault="008328C9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="007C6F0F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367ADE7F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22B6892D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4FB9516C" w14:textId="77777777" w:rsidR="007C6F0F" w:rsidRPr="009E2141" w:rsidRDefault="007C6F0F" w:rsidP="007C6F0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40D1142F" w14:textId="1375806B" w:rsidR="008328C9" w:rsidRPr="00FD4050" w:rsidRDefault="008328C9" w:rsidP="007C6F0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E8761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V čl. III v poznámke pod čiarou k odkazu 27g sa na konci pripájajú tieto slová: „v znení zákona č. .../2024 Z. z.“.</w:t>
      </w:r>
    </w:p>
    <w:p w14:paraId="7C2C6B3A" w14:textId="77777777" w:rsid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>Dopĺňa sa citácia poznámky pod čiarou.</w:t>
      </w:r>
    </w:p>
    <w:p w14:paraId="3F1C89EA" w14:textId="77777777" w:rsidR="00057C08" w:rsidRPr="009E2141" w:rsidRDefault="00A05E85" w:rsidP="00057C0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="00057C08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44E3A249" w14:textId="77777777" w:rsidR="00057C08" w:rsidRPr="009E2141" w:rsidRDefault="00057C08" w:rsidP="00057C0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6BD5A0E9" w14:textId="77777777" w:rsidR="00057C08" w:rsidRPr="009E2141" w:rsidRDefault="00057C08" w:rsidP="00057C0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D8AF50A" w14:textId="77777777" w:rsidR="00057C08" w:rsidRPr="009E2141" w:rsidRDefault="00057C08" w:rsidP="00057C0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54F92114" w14:textId="56E77E23" w:rsidR="00A05E85" w:rsidRPr="00FD4050" w:rsidRDefault="00A05E85" w:rsidP="00057C0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A8BDA" w14:textId="77777777" w:rsidR="00FD4050" w:rsidRP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87406BB" w14:textId="77777777" w:rsidR="00FD4050" w:rsidRPr="00FD4050" w:rsidRDefault="00FD4050" w:rsidP="00FD4050">
      <w:pPr>
        <w:pStyle w:val="Odsekzoznamu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050">
        <w:rPr>
          <w:rFonts w:ascii="Times New Roman" w:hAnsi="Times New Roman"/>
          <w:sz w:val="24"/>
          <w:szCs w:val="24"/>
        </w:rPr>
        <w:t xml:space="preserve">V čl. IV v 9 bode v§ 57jb ods. 1 a 2 sa za  slová „§ 34a ods. 8“ vkladajú slová „v znení účinnom do 31. decembra 2024“. </w:t>
      </w:r>
    </w:p>
    <w:p w14:paraId="26331A4A" w14:textId="77777777" w:rsidR="00FD4050" w:rsidRPr="00FD4050" w:rsidRDefault="00FD4050" w:rsidP="00FD4050">
      <w:pPr>
        <w:pStyle w:val="Odsekzoznamu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11844102" w14:textId="77777777" w:rsidR="00FD4050" w:rsidRDefault="00FD4050" w:rsidP="00FD4050">
      <w:pPr>
        <w:pStyle w:val="Odsekzoznamu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4050">
        <w:rPr>
          <w:rFonts w:ascii="Times New Roman" w:hAnsi="Times New Roman"/>
          <w:sz w:val="24"/>
          <w:szCs w:val="24"/>
        </w:rPr>
        <w:t>Legislatívno</w:t>
      </w:r>
      <w:proofErr w:type="spellEnd"/>
      <w:r w:rsidRPr="00FD4050">
        <w:rPr>
          <w:rFonts w:ascii="Times New Roman" w:hAnsi="Times New Roman"/>
          <w:sz w:val="24"/>
          <w:szCs w:val="24"/>
        </w:rPr>
        <w:t xml:space="preserve"> – technická oprava spresňujúca o ktoré znenie § 34a ods. 8 sa jedná, nakoľko bodom 1 v čl. IV sa niekoľko odsekov v § 34a vypúšťa. Táto zmena zároveň reflektuje posunutie účinnosti na 1. február 2025 navrhnutú v bode 22 časti C tohto stanoviska.</w:t>
      </w:r>
    </w:p>
    <w:p w14:paraId="2DBFB1B0" w14:textId="25BF2F52" w:rsidR="001F0017" w:rsidRPr="009E2141" w:rsidRDefault="001F0017" w:rsidP="001F001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14:paraId="2E106908" w14:textId="77777777" w:rsidR="001F0017" w:rsidRPr="009E2141" w:rsidRDefault="001F0017" w:rsidP="001F001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469A254F" w14:textId="77777777" w:rsidR="001F0017" w:rsidRPr="009E2141" w:rsidRDefault="001F0017" w:rsidP="001F001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22961387" w14:textId="77777777" w:rsidR="001F0017" w:rsidRPr="009E2141" w:rsidRDefault="001F0017" w:rsidP="001F001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4B08DAD3" w14:textId="77777777" w:rsidR="001F0017" w:rsidRPr="00FD4050" w:rsidRDefault="001F0017" w:rsidP="00FD4050">
      <w:pPr>
        <w:pStyle w:val="Odsekzoznamu"/>
        <w:ind w:left="2124"/>
        <w:jc w:val="both"/>
        <w:rPr>
          <w:rFonts w:ascii="Times New Roman" w:hAnsi="Times New Roman"/>
          <w:sz w:val="24"/>
          <w:szCs w:val="24"/>
        </w:rPr>
      </w:pPr>
    </w:p>
    <w:p w14:paraId="1D624EB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9F457E" w14:textId="67A41500" w:rsidR="0061736A" w:rsidRPr="0061736A" w:rsidRDefault="0061736A" w:rsidP="008B403E">
      <w:pPr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B01338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8B403E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B403E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6B3A1C" w:rsidRPr="00FE2478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6B3A1C" w:rsidRPr="00FE2478">
        <w:rPr>
          <w:rFonts w:ascii="Times New Roman" w:hAnsi="Times New Roman" w:cs="Times New Roman"/>
          <w:b/>
          <w:noProof/>
          <w:sz w:val="24"/>
          <w:szCs w:val="24"/>
        </w:rPr>
        <w:t xml:space="preserve">(tlač 508)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1E39F201" w14:textId="783A73A7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o bodoch č. 1 až </w:t>
      </w:r>
      <w:r w:rsidR="00C644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26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3005D42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6AA98495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5579ED82" w14:textId="2BA53F45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ab/>
        <w:t xml:space="preserve">Gestorský výbor určil spoločného spravodajcu výborov </w:t>
      </w:r>
      <w:r w:rsidR="006340A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Dávida </w:t>
      </w:r>
      <w:proofErr w:type="spellStart"/>
      <w:r w:rsidR="006340A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Demečka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 poslancov </w:t>
      </w:r>
      <w:r w:rsidR="008D6CA8">
        <w:rPr>
          <w:rFonts w:ascii="Times New Roman" w:hAnsi="Times New Roman" w:cs="Times New Roman"/>
          <w:sz w:val="24"/>
          <w:szCs w:val="24"/>
        </w:rPr>
        <w:t xml:space="preserve">Michala </w:t>
      </w:r>
      <w:proofErr w:type="spellStart"/>
      <w:r w:rsidR="008D6CA8">
        <w:rPr>
          <w:rFonts w:ascii="Times New Roman" w:hAnsi="Times New Roman" w:cs="Times New Roman"/>
          <w:sz w:val="24"/>
          <w:szCs w:val="24"/>
        </w:rPr>
        <w:t>Barteka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Samuela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Migaľa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Tibora Gašpara, Mariána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 a Ivana Ševčíka za náhradníkov spravodajcu.</w:t>
      </w:r>
    </w:p>
    <w:p w14:paraId="147B5301" w14:textId="419970FD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68BB20A6" w14:textId="03A9FD5D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960380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960380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60380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18358C" w:rsidRPr="00FE2478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18358C" w:rsidRPr="00FE2478">
        <w:rPr>
          <w:rFonts w:ascii="Times New Roman" w:hAnsi="Times New Roman" w:cs="Times New Roman"/>
          <w:b/>
          <w:noProof/>
          <w:sz w:val="24"/>
          <w:szCs w:val="24"/>
        </w:rPr>
        <w:t xml:space="preserve">(tlač 508)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F962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="005E41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D41A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36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758360D3" w:rsidR="0061736A" w:rsidRPr="0061736A" w:rsidRDefault="005B6AC8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2</w:t>
      </w:r>
      <w:r w:rsidR="00D5518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D55181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14:paraId="5CC306B7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40E57C0A" w14:textId="6A8A9683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3ED45224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p w14:paraId="726005FE" w14:textId="77777777"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14:paraId="68D2D616" w14:textId="77777777" w:rsidR="00CB4D48" w:rsidRDefault="00CB4D48"/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4474F"/>
    <w:multiLevelType w:val="hybridMultilevel"/>
    <w:tmpl w:val="06A0837A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4DC6"/>
    <w:rsid w:val="00057C08"/>
    <w:rsid w:val="000A38C5"/>
    <w:rsid w:val="000A4972"/>
    <w:rsid w:val="000B409B"/>
    <w:rsid w:val="000C1649"/>
    <w:rsid w:val="000D595B"/>
    <w:rsid w:val="00127379"/>
    <w:rsid w:val="00146972"/>
    <w:rsid w:val="00154042"/>
    <w:rsid w:val="00175C98"/>
    <w:rsid w:val="0018358C"/>
    <w:rsid w:val="00192B12"/>
    <w:rsid w:val="001A05A3"/>
    <w:rsid w:val="001D06E5"/>
    <w:rsid w:val="001E76CF"/>
    <w:rsid w:val="001F0017"/>
    <w:rsid w:val="00202CE8"/>
    <w:rsid w:val="00234252"/>
    <w:rsid w:val="00240225"/>
    <w:rsid w:val="00250774"/>
    <w:rsid w:val="00281624"/>
    <w:rsid w:val="002A77C8"/>
    <w:rsid w:val="002B6E28"/>
    <w:rsid w:val="002E1CDE"/>
    <w:rsid w:val="002E3980"/>
    <w:rsid w:val="002F3FFC"/>
    <w:rsid w:val="00300184"/>
    <w:rsid w:val="0032004C"/>
    <w:rsid w:val="00342EA6"/>
    <w:rsid w:val="00354726"/>
    <w:rsid w:val="00375CE9"/>
    <w:rsid w:val="003B5F20"/>
    <w:rsid w:val="003C72FF"/>
    <w:rsid w:val="003E0C5B"/>
    <w:rsid w:val="003F4114"/>
    <w:rsid w:val="00401124"/>
    <w:rsid w:val="00405259"/>
    <w:rsid w:val="004159F8"/>
    <w:rsid w:val="00424427"/>
    <w:rsid w:val="00425693"/>
    <w:rsid w:val="0043217E"/>
    <w:rsid w:val="00434D2B"/>
    <w:rsid w:val="0043554F"/>
    <w:rsid w:val="00443D91"/>
    <w:rsid w:val="00443FB0"/>
    <w:rsid w:val="00465D18"/>
    <w:rsid w:val="004675E4"/>
    <w:rsid w:val="00493015"/>
    <w:rsid w:val="004B72B9"/>
    <w:rsid w:val="004D7E0F"/>
    <w:rsid w:val="005018F1"/>
    <w:rsid w:val="00520CB6"/>
    <w:rsid w:val="0052553A"/>
    <w:rsid w:val="00546EB0"/>
    <w:rsid w:val="00556422"/>
    <w:rsid w:val="00585E11"/>
    <w:rsid w:val="0059158E"/>
    <w:rsid w:val="005A72CF"/>
    <w:rsid w:val="005B6AC8"/>
    <w:rsid w:val="005C4D04"/>
    <w:rsid w:val="005E3F78"/>
    <w:rsid w:val="005E4125"/>
    <w:rsid w:val="005F23A5"/>
    <w:rsid w:val="0061271C"/>
    <w:rsid w:val="0061736A"/>
    <w:rsid w:val="006340A1"/>
    <w:rsid w:val="00635008"/>
    <w:rsid w:val="006460AC"/>
    <w:rsid w:val="0066475A"/>
    <w:rsid w:val="006819A7"/>
    <w:rsid w:val="00694499"/>
    <w:rsid w:val="006953AB"/>
    <w:rsid w:val="006A23A8"/>
    <w:rsid w:val="006B3A1C"/>
    <w:rsid w:val="006B3F13"/>
    <w:rsid w:val="00710FD9"/>
    <w:rsid w:val="007119DE"/>
    <w:rsid w:val="007152EB"/>
    <w:rsid w:val="00751278"/>
    <w:rsid w:val="00751F9D"/>
    <w:rsid w:val="00766415"/>
    <w:rsid w:val="00783FFA"/>
    <w:rsid w:val="007A0009"/>
    <w:rsid w:val="007A0057"/>
    <w:rsid w:val="007A41B6"/>
    <w:rsid w:val="007B2080"/>
    <w:rsid w:val="007B5133"/>
    <w:rsid w:val="007C6F0F"/>
    <w:rsid w:val="007F35B1"/>
    <w:rsid w:val="008048B4"/>
    <w:rsid w:val="00813D84"/>
    <w:rsid w:val="00821B52"/>
    <w:rsid w:val="008328C9"/>
    <w:rsid w:val="0083363E"/>
    <w:rsid w:val="00835107"/>
    <w:rsid w:val="00837FCB"/>
    <w:rsid w:val="0086249A"/>
    <w:rsid w:val="00873B1A"/>
    <w:rsid w:val="008814D2"/>
    <w:rsid w:val="008B403E"/>
    <w:rsid w:val="008D0894"/>
    <w:rsid w:val="008D6CA8"/>
    <w:rsid w:val="008D7EF1"/>
    <w:rsid w:val="008E4F14"/>
    <w:rsid w:val="008F5BDF"/>
    <w:rsid w:val="0092738C"/>
    <w:rsid w:val="009322A0"/>
    <w:rsid w:val="00940C5F"/>
    <w:rsid w:val="00954179"/>
    <w:rsid w:val="00960380"/>
    <w:rsid w:val="009745D9"/>
    <w:rsid w:val="00974B0C"/>
    <w:rsid w:val="0098614A"/>
    <w:rsid w:val="00997D72"/>
    <w:rsid w:val="009A5D63"/>
    <w:rsid w:val="009A7FFA"/>
    <w:rsid w:val="009D2518"/>
    <w:rsid w:val="009E2141"/>
    <w:rsid w:val="009E596C"/>
    <w:rsid w:val="009F7ADE"/>
    <w:rsid w:val="00A05E85"/>
    <w:rsid w:val="00A2279B"/>
    <w:rsid w:val="00A50DB5"/>
    <w:rsid w:val="00A57008"/>
    <w:rsid w:val="00A621F2"/>
    <w:rsid w:val="00A6276F"/>
    <w:rsid w:val="00A63238"/>
    <w:rsid w:val="00A86217"/>
    <w:rsid w:val="00A86B4B"/>
    <w:rsid w:val="00AA3D76"/>
    <w:rsid w:val="00AB14E6"/>
    <w:rsid w:val="00AD338F"/>
    <w:rsid w:val="00AE3185"/>
    <w:rsid w:val="00B01338"/>
    <w:rsid w:val="00B0581B"/>
    <w:rsid w:val="00B20CCE"/>
    <w:rsid w:val="00B5081A"/>
    <w:rsid w:val="00B50C54"/>
    <w:rsid w:val="00B71B89"/>
    <w:rsid w:val="00B76CB6"/>
    <w:rsid w:val="00B93E90"/>
    <w:rsid w:val="00C022D4"/>
    <w:rsid w:val="00C32E86"/>
    <w:rsid w:val="00C41142"/>
    <w:rsid w:val="00C6449D"/>
    <w:rsid w:val="00C6535A"/>
    <w:rsid w:val="00C7554A"/>
    <w:rsid w:val="00C77F42"/>
    <w:rsid w:val="00CB4D48"/>
    <w:rsid w:val="00CC010C"/>
    <w:rsid w:val="00CC4A52"/>
    <w:rsid w:val="00CC7A36"/>
    <w:rsid w:val="00D0002F"/>
    <w:rsid w:val="00D06BB2"/>
    <w:rsid w:val="00D26591"/>
    <w:rsid w:val="00D35D69"/>
    <w:rsid w:val="00D41A93"/>
    <w:rsid w:val="00D55181"/>
    <w:rsid w:val="00D842ED"/>
    <w:rsid w:val="00D92513"/>
    <w:rsid w:val="00D96A7C"/>
    <w:rsid w:val="00DB4987"/>
    <w:rsid w:val="00DC3856"/>
    <w:rsid w:val="00DC72DC"/>
    <w:rsid w:val="00E07857"/>
    <w:rsid w:val="00E22CAD"/>
    <w:rsid w:val="00E26AA0"/>
    <w:rsid w:val="00E41C4F"/>
    <w:rsid w:val="00E51EC3"/>
    <w:rsid w:val="00E6328E"/>
    <w:rsid w:val="00E64E52"/>
    <w:rsid w:val="00E87F99"/>
    <w:rsid w:val="00E95D90"/>
    <w:rsid w:val="00EC0011"/>
    <w:rsid w:val="00ED6F4D"/>
    <w:rsid w:val="00EE04E5"/>
    <w:rsid w:val="00F15B6D"/>
    <w:rsid w:val="00F254E7"/>
    <w:rsid w:val="00F433EA"/>
    <w:rsid w:val="00F44337"/>
    <w:rsid w:val="00F46C4A"/>
    <w:rsid w:val="00F61700"/>
    <w:rsid w:val="00F61B70"/>
    <w:rsid w:val="00F65F19"/>
    <w:rsid w:val="00F71220"/>
    <w:rsid w:val="00F7430C"/>
    <w:rsid w:val="00F80C92"/>
    <w:rsid w:val="00F90CC3"/>
    <w:rsid w:val="00F962C3"/>
    <w:rsid w:val="00FB554E"/>
    <w:rsid w:val="00FC2406"/>
    <w:rsid w:val="00FD4050"/>
    <w:rsid w:val="00FD71AA"/>
    <w:rsid w:val="00FE2478"/>
    <w:rsid w:val="00FE583F"/>
    <w:rsid w:val="00FE5ED2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1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7C24-F102-4824-AF3B-8D74A8D7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54</cp:revision>
  <dcterms:created xsi:type="dcterms:W3CDTF">2024-11-24T20:08:00Z</dcterms:created>
  <dcterms:modified xsi:type="dcterms:W3CDTF">2024-11-25T15:26:00Z</dcterms:modified>
</cp:coreProperties>
</file>