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BB" w:rsidRPr="006E0B8D" w:rsidRDefault="00C76ABB" w:rsidP="00C76ABB">
      <w:pPr>
        <w:numPr>
          <w:ilvl w:val="0"/>
          <w:numId w:val="0"/>
        </w:numPr>
        <w:spacing w:after="0"/>
        <w:jc w:val="center"/>
        <w:rPr>
          <w:b/>
        </w:rPr>
      </w:pPr>
      <w:r w:rsidRPr="006E0B8D">
        <w:rPr>
          <w:b/>
        </w:rPr>
        <w:t>TABUĽKA ZHODY</w:t>
      </w:r>
    </w:p>
    <w:p w:rsidR="00C76ABB" w:rsidRPr="006E0B8D" w:rsidRDefault="00C76ABB" w:rsidP="00C76ABB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n</w:t>
      </w:r>
      <w:r w:rsidRPr="006E0B8D">
        <w:rPr>
          <w:b/>
        </w:rPr>
        <w:t>ávrhu právneho predpisu s právom Európskej únie</w:t>
      </w:r>
    </w:p>
    <w:tbl>
      <w:tblPr>
        <w:tblStyle w:val="Mriekatabuky"/>
        <w:tblW w:w="15019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954"/>
        <w:gridCol w:w="3298"/>
        <w:gridCol w:w="851"/>
        <w:gridCol w:w="1314"/>
        <w:gridCol w:w="992"/>
        <w:gridCol w:w="2228"/>
      </w:tblGrid>
      <w:tr w:rsidR="00C76ABB" w:rsidRPr="00843CC8" w:rsidTr="008B6FBB">
        <w:trPr>
          <w:trHeight w:val="789"/>
        </w:trPr>
        <w:tc>
          <w:tcPr>
            <w:tcW w:w="4248" w:type="dxa"/>
            <w:gridSpan w:val="3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Smernica Rady 2001/55/ES z 20. júla 2001 o minimálnych štandardoch na poskytovanie dočasnej ochrany v prípade hromadného prílevu vysídlených osôb a o opatreniach na podporu rovnováhy úsilia medzi členskými štátmi pri prijímaní takýchto osôb a znášaní z toho vyplývajúcich dôsledkov</w:t>
            </w:r>
          </w:p>
        </w:tc>
        <w:tc>
          <w:tcPr>
            <w:tcW w:w="10771" w:type="dxa"/>
            <w:gridSpan w:val="7"/>
            <w:vAlign w:val="center"/>
          </w:tcPr>
          <w:p w:rsidR="00C76ABB" w:rsidRPr="001D7FDB" w:rsidRDefault="00C76ABB" w:rsidP="008B6FBB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 xml:space="preserve">1. </w:t>
            </w:r>
            <w:r w:rsidRPr="00C24194">
              <w:rPr>
                <w:sz w:val="20"/>
                <w:szCs w:val="20"/>
              </w:rPr>
              <w:t>Návrh zákona, ktorým sa mení a dopĺňa zákon č. 404/2011 Z. z. o pobyte cudzincov a o zmene a doplnení zákona č. 480/2002 Z. z. o azyle a o zmene a doplnení niektorých zákonov v znení neskorších predpisov</w:t>
            </w:r>
            <w:r>
              <w:rPr>
                <w:sz w:val="20"/>
                <w:szCs w:val="20"/>
              </w:rPr>
              <w:t xml:space="preserve"> (ďalej len „n</w:t>
            </w:r>
            <w:r w:rsidRPr="001D7FDB">
              <w:rPr>
                <w:sz w:val="20"/>
                <w:szCs w:val="20"/>
              </w:rPr>
              <w:t>ávrh zákona“)</w:t>
            </w:r>
          </w:p>
          <w:p w:rsidR="00C76ABB" w:rsidRPr="00843CC8" w:rsidRDefault="00C76ABB" w:rsidP="00F06D75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>2. Zákon č. 480/2002 Z. z. o azyle a o zmene a doplnení niektorých zákonov v znení neskorších predpisov</w:t>
            </w:r>
            <w:r>
              <w:rPr>
                <w:sz w:val="20"/>
                <w:szCs w:val="20"/>
              </w:rPr>
              <w:t xml:space="preserve"> </w:t>
            </w:r>
            <w:r w:rsidR="00F06D75">
              <w:rPr>
                <w:sz w:val="20"/>
                <w:szCs w:val="20"/>
              </w:rPr>
              <w:t>(ďalej len „zákon č. 480/2002 Z. z.“)</w:t>
            </w:r>
          </w:p>
        </w:tc>
      </w:tr>
      <w:tr w:rsidR="00C76ABB" w:rsidRPr="00843CC8" w:rsidTr="008B6FBB">
        <w:trPr>
          <w:trHeight w:val="275"/>
        </w:trPr>
        <w:tc>
          <w:tcPr>
            <w:tcW w:w="846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5</w:t>
            </w:r>
          </w:p>
        </w:tc>
        <w:tc>
          <w:tcPr>
            <w:tcW w:w="3298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7</w:t>
            </w:r>
          </w:p>
        </w:tc>
        <w:tc>
          <w:tcPr>
            <w:tcW w:w="1314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9</w:t>
            </w:r>
          </w:p>
        </w:tc>
        <w:tc>
          <w:tcPr>
            <w:tcW w:w="2228" w:type="dxa"/>
            <w:vAlign w:val="center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10</w:t>
            </w:r>
          </w:p>
        </w:tc>
      </w:tr>
      <w:tr w:rsidR="00C76ABB" w:rsidRPr="00843CC8" w:rsidTr="008B6FBB">
        <w:tc>
          <w:tcPr>
            <w:tcW w:w="846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Článok (Č, O, V, P)</w:t>
            </w:r>
          </w:p>
        </w:tc>
        <w:tc>
          <w:tcPr>
            <w:tcW w:w="2410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Text</w:t>
            </w:r>
          </w:p>
        </w:tc>
        <w:tc>
          <w:tcPr>
            <w:tcW w:w="992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Spôsob transpozície</w:t>
            </w:r>
          </w:p>
        </w:tc>
        <w:tc>
          <w:tcPr>
            <w:tcW w:w="1134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Číslo</w:t>
            </w:r>
          </w:p>
        </w:tc>
        <w:tc>
          <w:tcPr>
            <w:tcW w:w="954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298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Text</w:t>
            </w:r>
          </w:p>
        </w:tc>
        <w:tc>
          <w:tcPr>
            <w:tcW w:w="851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Zhoda</w:t>
            </w:r>
          </w:p>
        </w:tc>
        <w:tc>
          <w:tcPr>
            <w:tcW w:w="1314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Poznámky</w:t>
            </w:r>
          </w:p>
        </w:tc>
        <w:tc>
          <w:tcPr>
            <w:tcW w:w="992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2228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C76ABB" w:rsidRPr="00843CC8" w:rsidTr="008B6FBB">
        <w:tc>
          <w:tcPr>
            <w:tcW w:w="846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8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O: 1</w:t>
            </w:r>
          </w:p>
        </w:tc>
        <w:tc>
          <w:tcPr>
            <w:tcW w:w="2410" w:type="dxa"/>
          </w:tcPr>
          <w:p w:rsidR="00C76ABB" w:rsidRPr="00843CC8" w:rsidRDefault="00C76ABB" w:rsidP="00C76A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C76ABB">
              <w:rPr>
                <w:sz w:val="20"/>
                <w:szCs w:val="20"/>
              </w:rPr>
              <w:t>1. Členské štáty prijmú potre</w:t>
            </w:r>
            <w:r>
              <w:rPr>
                <w:sz w:val="20"/>
                <w:szCs w:val="20"/>
              </w:rPr>
              <w:t xml:space="preserve">bné opatrenia na to, aby osobám </w:t>
            </w:r>
            <w:r w:rsidRPr="00C76ABB">
              <w:rPr>
                <w:sz w:val="20"/>
                <w:szCs w:val="20"/>
              </w:rPr>
              <w:t>požívajúcim dočasnú oc</w:t>
            </w:r>
            <w:r>
              <w:rPr>
                <w:sz w:val="20"/>
                <w:szCs w:val="20"/>
              </w:rPr>
              <w:t xml:space="preserve">hranu bolo poskytnuté povolenie </w:t>
            </w:r>
            <w:r w:rsidRPr="00C76ABB">
              <w:rPr>
                <w:sz w:val="20"/>
                <w:szCs w:val="20"/>
              </w:rPr>
              <w:t xml:space="preserve">na pobyt počas celého obdobia </w:t>
            </w:r>
            <w:r>
              <w:rPr>
                <w:sz w:val="20"/>
                <w:szCs w:val="20"/>
              </w:rPr>
              <w:t xml:space="preserve">trvania ochrany. Na tento účel </w:t>
            </w:r>
            <w:r w:rsidRPr="00C76ABB">
              <w:rPr>
                <w:sz w:val="20"/>
                <w:szCs w:val="20"/>
              </w:rPr>
              <w:t>budú vydané doklady alebo iné rovnocenné potvrdenia.</w:t>
            </w:r>
          </w:p>
        </w:tc>
        <w:tc>
          <w:tcPr>
            <w:tcW w:w="992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N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5F2CA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C76A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C76A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C76ABB" w:rsidRPr="00843CC8" w:rsidRDefault="00C76ABB" w:rsidP="00C76A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216AD" w:rsidRDefault="002216AD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216AD" w:rsidRDefault="002216AD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II</w:t>
            </w: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</w:t>
            </w:r>
          </w:p>
          <w:p w:rsidR="005C0004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480/2002 Z. z.</w:t>
            </w: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5C0004" w:rsidRPr="00843CC8" w:rsidRDefault="005C0004" w:rsidP="005C000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II</w:t>
            </w:r>
          </w:p>
          <w:p w:rsidR="00F06D75" w:rsidRDefault="00F06D75" w:rsidP="00F06D7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</w:t>
            </w:r>
          </w:p>
          <w:p w:rsidR="00F06D75" w:rsidRDefault="00F06D75" w:rsidP="00F06D7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480/2002 Z. z.</w:t>
            </w: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Pr="00843CC8" w:rsidRDefault="00F06D75" w:rsidP="00F06D7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43CC8">
              <w:rPr>
                <w:sz w:val="20"/>
                <w:szCs w:val="20"/>
              </w:rPr>
              <w:t>ávrh zákona</w:t>
            </w:r>
          </w:p>
          <w:p w:rsidR="00F06D75" w:rsidRPr="00843CC8" w:rsidRDefault="00F06D75" w:rsidP="00F06D7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II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 59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O:15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73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13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125</w:t>
            </w:r>
          </w:p>
          <w:p w:rsidR="005C0004" w:rsidRPr="00843CC8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15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216AD" w:rsidRDefault="002216AD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216AD" w:rsidRDefault="002216AD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31</w:t>
            </w:r>
          </w:p>
          <w:p w:rsidR="005C0004" w:rsidRPr="00843CC8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31</w:t>
            </w:r>
          </w:p>
          <w:p w:rsidR="005C0004" w:rsidRDefault="005C0004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10</w:t>
            </w: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36 </w:t>
            </w:r>
          </w:p>
          <w:p w:rsidR="00F06D75" w:rsidRPr="00843CC8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9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8" w:type="dxa"/>
          </w:tcPr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76ABB">
              <w:rPr>
                <w:rFonts w:cs="Times New Roman"/>
                <w:b/>
                <w:sz w:val="20"/>
                <w:szCs w:val="20"/>
              </w:rPr>
              <w:lastRenderedPageBreak/>
              <w:t>„(15) Platnosť potvrdenia o tolerovanom pobyte na území Slovenskej republiky s názvom „DOČASNÉ ÚTOČISKO“ vydaného cudzincovi, ktorý požiadal o poskytnutie dočasného útočiska na území Slovenskej republiky a spĺňa podmienky na jeho poskytnutie podľa osobitného predpisu,</w:t>
            </w:r>
            <w:r w:rsidR="007222E6">
              <w:rPr>
                <w:rFonts w:cs="Times New Roman"/>
                <w:b/>
                <w:sz w:val="20"/>
                <w:szCs w:val="20"/>
                <w:vertAlign w:val="superscript"/>
              </w:rPr>
              <w:t>69</w:t>
            </w:r>
            <w:r w:rsidRPr="00C76ABB">
              <w:rPr>
                <w:rFonts w:cs="Times New Roman"/>
                <w:b/>
                <w:sz w:val="20"/>
                <w:szCs w:val="20"/>
                <w:vertAlign w:val="superscript"/>
              </w:rPr>
              <w:t>a</w:t>
            </w:r>
            <w:r w:rsidRPr="00C76ABB">
              <w:rPr>
                <w:rFonts w:cs="Times New Roman"/>
                <w:b/>
                <w:sz w:val="20"/>
                <w:szCs w:val="20"/>
              </w:rPr>
              <w:t xml:space="preserve">) je 90 dní od jeho vydania. </w:t>
            </w:r>
          </w:p>
          <w:p w:rsidR="00F06D75" w:rsidRDefault="00F06D75" w:rsidP="00C76A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C76ABB" w:rsidRPr="00C76ABB" w:rsidRDefault="00C76ABB" w:rsidP="00C76A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76ABB">
              <w:rPr>
                <w:rFonts w:cs="Times New Roman"/>
                <w:b/>
                <w:sz w:val="20"/>
                <w:szCs w:val="20"/>
              </w:rPr>
              <w:t xml:space="preserve">Poznámka pod čiarou k odkazu </w:t>
            </w:r>
            <w:r w:rsidR="007222E6">
              <w:rPr>
                <w:rFonts w:cs="Times New Roman"/>
                <w:b/>
                <w:sz w:val="20"/>
                <w:szCs w:val="20"/>
              </w:rPr>
              <w:t>69</w:t>
            </w:r>
            <w:r w:rsidRPr="00C76ABB">
              <w:rPr>
                <w:rFonts w:cs="Times New Roman"/>
                <w:b/>
                <w:sz w:val="20"/>
                <w:szCs w:val="20"/>
              </w:rPr>
              <w:t>a znie:</w:t>
            </w:r>
          </w:p>
          <w:p w:rsidR="00C76ABB" w:rsidRDefault="00C76ABB" w:rsidP="00C76A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76ABB">
              <w:rPr>
                <w:rFonts w:cs="Times New Roman"/>
                <w:b/>
                <w:sz w:val="20"/>
                <w:szCs w:val="20"/>
              </w:rPr>
              <w:t>„</w:t>
            </w:r>
            <w:r w:rsidR="007222E6">
              <w:rPr>
                <w:rFonts w:cs="Times New Roman"/>
                <w:b/>
                <w:sz w:val="20"/>
                <w:szCs w:val="20"/>
              </w:rPr>
              <w:t>69</w:t>
            </w:r>
            <w:r w:rsidRPr="00C76ABB">
              <w:rPr>
                <w:rFonts w:cs="Times New Roman"/>
                <w:b/>
                <w:sz w:val="20"/>
                <w:szCs w:val="20"/>
              </w:rPr>
              <w:t>a) § 31 ods. 1 a 10 zákona č. 480/2002 Z. z. v znení neskorších predpisov.“.</w:t>
            </w: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76ABB">
              <w:rPr>
                <w:rFonts w:cs="Times New Roman"/>
                <w:b/>
                <w:sz w:val="20"/>
                <w:szCs w:val="20"/>
              </w:rPr>
              <w:t xml:space="preserve">(13) Cudzincovi, ktorému bolo poskytnuté dočasné útočisko, policajný útvar vydá doklad o </w:t>
            </w:r>
            <w:r w:rsidRPr="00C76ABB">
              <w:rPr>
                <w:rFonts w:cs="Times New Roman"/>
                <w:b/>
                <w:sz w:val="20"/>
                <w:szCs w:val="20"/>
              </w:rPr>
              <w:lastRenderedPageBreak/>
              <w:t xml:space="preserve">pobyte, v ktorom uvedie názov „DOČASNÉ ÚTOČISKO“. Doklad o pobyte sa vydáva s platnosťou na </w:t>
            </w:r>
            <w:r w:rsidR="007222E6">
              <w:rPr>
                <w:rFonts w:cs="Times New Roman"/>
                <w:b/>
                <w:sz w:val="20"/>
                <w:szCs w:val="20"/>
              </w:rPr>
              <w:t>tri</w:t>
            </w:r>
            <w:r w:rsidRPr="00C76ABB">
              <w:rPr>
                <w:rFonts w:cs="Times New Roman"/>
                <w:b/>
                <w:sz w:val="20"/>
                <w:szCs w:val="20"/>
              </w:rPr>
              <w:t xml:space="preserve"> roky. Pred uplynutím platnosti dokladu o pobyte vydaného podľa tohto odseku sa platnosť takého dokladu skončí aj vtedy, ak cudzincovi zaniklo dočasné útočisko. Cudzinec, ktorému bolo poskytnuté dočasné útočisko, je povinný v žiadosti o vydanie dokladu o pobyte uviesť adresu na území Slovenskej republiky, na ktorú mu bude doklad doručený.</w:t>
            </w:r>
          </w:p>
          <w:p w:rsidR="00C76ABB" w:rsidRDefault="00C76ABB" w:rsidP="00C76ABB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5C0004" w:rsidRDefault="005C0004" w:rsidP="00212620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(15) </w:t>
            </w:r>
            <w:r w:rsidR="00582B78" w:rsidRPr="00582B78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Cudzinec, ktorému bolo poskytnuté dočasné útočisko, podáva žiadosť o vydanie dokladu o pobyte podľa § 73 ods. 13 na policajnom útvare, ktorý si vyberie prostredníctvom</w:t>
            </w:r>
            <w:r w:rsidR="002216AD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582B78" w:rsidRPr="00582B78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elektronického rezervačného systému ministerstva vnútra z policajných útvarov určených ministerstvom vnútra.</w:t>
            </w:r>
          </w:p>
          <w:p w:rsidR="005C0004" w:rsidRP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5C0004" w:rsidRP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Cudzinec uvedený v § 30 ods. 1 je povinný poskytnúť poverenému zamestnancovi ministerstva osobné údaje na účel poskytnutia dočasného útočiska v rozsahu podľa prílohy č. 3.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Cudzincovi sa vydá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potvrdenie o tolerovanom pobyte na území Slovenskej republiky podľa osobitného predpisu,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sk-SK"/>
              </w:rPr>
              <w:t>13baa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) ktoré je dočasným dokladom o pobyte,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ak</w:t>
            </w:r>
          </w:p>
          <w:p w:rsidR="005C0004" w:rsidRP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a)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jeho príchod na územie Slovenskej republiky zabezpečoval Úrad vysokého komisára alebo iná medzinárodná organizácia,</w:t>
            </w:r>
          </w:p>
          <w:p w:rsidR="005C0004" w:rsidRP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lastRenderedPageBreak/>
              <w:t xml:space="preserve">b)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ide o presídlenie cudzinca, ktorému poskytoval dočasné útočisko iný štát, alebo</w:t>
            </w:r>
          </w:p>
          <w:p w:rsid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c)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>tak rozhodne vláda.</w:t>
            </w:r>
          </w:p>
          <w:p w:rsid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  <w:p w:rsidR="005C0004" w:rsidRP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Poznámka pod čiarou k odkazu 13baa znie:</w:t>
            </w:r>
          </w:p>
          <w:p w:rsid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1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3baa) § 59 ods. 15 zákona č. 404/2011 Z. z. v znení zákona č. ... /202</w:t>
            </w:r>
            <w:r w:rsidR="007222E6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4</w:t>
            </w:r>
            <w:r w:rsidRPr="005C000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Z. z.</w:t>
            </w:r>
          </w:p>
          <w:p w:rsidR="005C0004" w:rsidRDefault="005C0004" w:rsidP="005C0004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F06D75" w:rsidRDefault="005C0004" w:rsidP="00F06D75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(10) 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Ak sa žiadosti cudzinca o poskytnutie dočasného útočiska vyhovie, rozhodnutie sa nevydáva a cudzincovi sa vydá len </w:t>
            </w:r>
            <w:r w:rsidR="00F06D75"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potvrdenie o tolerovanom pobyte na území Slovenskej republiky podľa osobitného predpisu,</w:t>
            </w:r>
            <w:r w:rsidR="00F06D75" w:rsidRPr="00F06D75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sk-SK"/>
              </w:rPr>
              <w:t>13baa</w:t>
            </w:r>
            <w:r w:rsidR="00F06D75"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) ktoré je dočasným dokladom o pobyte</w:t>
            </w:r>
            <w:r w:rsidRPr="005C000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; ministerstvo bezodkladne oznámi túto skutočnosť príslušnému policajnému útvaru a poskytne mu údaje potrebné na vydanie </w:t>
            </w:r>
            <w:r w:rsid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potvrdenia</w:t>
            </w:r>
            <w:r w:rsidR="007222E6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.</w:t>
            </w:r>
          </w:p>
          <w:p w:rsidR="00F06D75" w:rsidRDefault="00F06D75" w:rsidP="00F06D75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5C0004" w:rsidRDefault="00F06D75" w:rsidP="00F06D75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(9) Odídencovi vydá policajný útvar doklad o pobyte podľa osobitného predpisu.</w:t>
            </w:r>
            <w:r w:rsidRPr="00F06D75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sk-SK"/>
              </w:rPr>
              <w:t>13bba</w:t>
            </w:r>
            <w:r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)</w:t>
            </w:r>
          </w:p>
          <w:p w:rsidR="00F06D75" w:rsidRDefault="00F06D75" w:rsidP="00F06D75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F06D75" w:rsidRPr="00F06D75" w:rsidRDefault="00F06D75" w:rsidP="00F06D75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Poznámka pod čiarou k odkazu 13bba znie:</w:t>
            </w:r>
          </w:p>
          <w:p w:rsidR="00F06D75" w:rsidRPr="00F06D75" w:rsidRDefault="00F06D75" w:rsidP="007222E6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13bba) § 73 ods. 13 zákona č. 404/2011 Z. z. v znení zákona č. ... /202</w:t>
            </w:r>
            <w:r w:rsidR="007222E6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4</w:t>
            </w:r>
            <w:r w:rsidRPr="00F06D7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Z. z.</w:t>
            </w:r>
          </w:p>
        </w:tc>
        <w:tc>
          <w:tcPr>
            <w:tcW w:w="851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lastRenderedPageBreak/>
              <w:t>Ú</w:t>
            </w: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6ABB" w:rsidRPr="00843CC8" w:rsidRDefault="00C76ABB" w:rsidP="005F2CA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C76ABB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12620" w:rsidRDefault="00212620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212620">
              <w:rPr>
                <w:sz w:val="20"/>
                <w:szCs w:val="20"/>
              </w:rPr>
              <w:t xml:space="preserve">Doterajšie odseky 13 až 17 sa </w:t>
            </w:r>
            <w:r w:rsidRPr="00212620">
              <w:rPr>
                <w:sz w:val="20"/>
                <w:szCs w:val="20"/>
              </w:rPr>
              <w:lastRenderedPageBreak/>
              <w:t>označujú ako odseky 14 až 18.</w:t>
            </w: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F2CA9" w:rsidRDefault="005F2CA9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5F2CA9" w:rsidRDefault="005F2CA9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F06D75">
              <w:rPr>
                <w:sz w:val="20"/>
                <w:szCs w:val="20"/>
              </w:rPr>
              <w:t>Doterajší odsek 9 sa označuje ako odsek 10</w:t>
            </w: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06D75" w:rsidRPr="00843CC8" w:rsidRDefault="00F06D75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C76ABB" w:rsidRPr="00843CC8" w:rsidRDefault="00C76ABB" w:rsidP="008B6FB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0645" w:rsidRDefault="009B0645" w:rsidP="005F2CA9">
      <w:pPr>
        <w:numPr>
          <w:ilvl w:val="0"/>
          <w:numId w:val="0"/>
        </w:numPr>
      </w:pPr>
    </w:p>
    <w:sectPr w:rsidR="009B0645" w:rsidSect="006E0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DE" w:rsidRDefault="003C2EDE" w:rsidP="00BB3E44">
      <w:pPr>
        <w:spacing w:after="0" w:line="240" w:lineRule="auto"/>
      </w:pPr>
      <w:r>
        <w:separator/>
      </w:r>
    </w:p>
  </w:endnote>
  <w:endnote w:type="continuationSeparator" w:id="0">
    <w:p w:rsidR="003C2EDE" w:rsidRDefault="003C2EDE" w:rsidP="00BB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 w:rsidP="00BB3E44">
    <w:pPr>
      <w:pStyle w:val="Pta"/>
      <w:numPr>
        <w:ilvl w:val="0"/>
        <w:numId w:val="0"/>
      </w:numPr>
      <w:ind w:left="3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DE" w:rsidRDefault="003C2EDE" w:rsidP="00BB3E44">
      <w:pPr>
        <w:spacing w:after="0" w:line="240" w:lineRule="auto"/>
      </w:pPr>
      <w:r>
        <w:separator/>
      </w:r>
    </w:p>
  </w:footnote>
  <w:footnote w:type="continuationSeparator" w:id="0">
    <w:p w:rsidR="003C2EDE" w:rsidRDefault="003C2EDE" w:rsidP="00BB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 w:rsidP="00BB3E44">
    <w:pPr>
      <w:pStyle w:val="Hlavika"/>
      <w:numPr>
        <w:ilvl w:val="0"/>
        <w:numId w:val="0"/>
      </w:numPr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44" w:rsidRDefault="00BB3E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E6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476A"/>
    <w:multiLevelType w:val="hybridMultilevel"/>
    <w:tmpl w:val="2C7CF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4886"/>
    <w:multiLevelType w:val="hybridMultilevel"/>
    <w:tmpl w:val="20A4AFC4"/>
    <w:lvl w:ilvl="0" w:tplc="A528744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4E74A8"/>
    <w:multiLevelType w:val="hybridMultilevel"/>
    <w:tmpl w:val="8DBA8D32"/>
    <w:lvl w:ilvl="0" w:tplc="417CB6B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102F376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1D67"/>
    <w:multiLevelType w:val="hybridMultilevel"/>
    <w:tmpl w:val="21C28C7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28F8146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86753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2350C"/>
    <w:multiLevelType w:val="hybridMultilevel"/>
    <w:tmpl w:val="189C7D7E"/>
    <w:lvl w:ilvl="0" w:tplc="EB164EC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3262"/>
    <w:multiLevelType w:val="hybridMultilevel"/>
    <w:tmpl w:val="48020A30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0F">
      <w:start w:val="1"/>
      <w:numFmt w:val="decimal"/>
      <w:lvlText w:val="%3."/>
      <w:lvlJc w:val="lef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8F90A54"/>
    <w:multiLevelType w:val="hybridMultilevel"/>
    <w:tmpl w:val="B502BF46"/>
    <w:lvl w:ilvl="0" w:tplc="041B000F">
      <w:start w:val="1"/>
      <w:numFmt w:val="decimal"/>
      <w:lvlText w:val="%1."/>
      <w:lvlJc w:val="left"/>
      <w:pPr>
        <w:ind w:left="358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495E"/>
    <w:multiLevelType w:val="hybridMultilevel"/>
    <w:tmpl w:val="CB4EF6C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0F02E87"/>
    <w:multiLevelType w:val="hybridMultilevel"/>
    <w:tmpl w:val="9AEE016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AEC04F4"/>
    <w:multiLevelType w:val="hybridMultilevel"/>
    <w:tmpl w:val="F416A610"/>
    <w:lvl w:ilvl="0" w:tplc="041B0017">
      <w:start w:val="1"/>
      <w:numFmt w:val="lowerLetter"/>
      <w:pStyle w:val="Normlny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05C7F"/>
    <w:multiLevelType w:val="hybridMultilevel"/>
    <w:tmpl w:val="626EB2C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16AFC"/>
    <w:multiLevelType w:val="hybridMultilevel"/>
    <w:tmpl w:val="32E8703C"/>
    <w:lvl w:ilvl="0" w:tplc="3984093A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BB"/>
    <w:rsid w:val="0013756A"/>
    <w:rsid w:val="00153873"/>
    <w:rsid w:val="001C73C9"/>
    <w:rsid w:val="00212620"/>
    <w:rsid w:val="002216AD"/>
    <w:rsid w:val="003C2EDE"/>
    <w:rsid w:val="00582B78"/>
    <w:rsid w:val="005C0004"/>
    <w:rsid w:val="005F2CA9"/>
    <w:rsid w:val="007222E6"/>
    <w:rsid w:val="0077225A"/>
    <w:rsid w:val="009B0645"/>
    <w:rsid w:val="00BB3E44"/>
    <w:rsid w:val="00C76ABB"/>
    <w:rsid w:val="00F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CF66"/>
  <w15:docId w15:val="{9D3C917D-1996-4D3D-814C-204B076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ABB"/>
    <w:pPr>
      <w:numPr>
        <w:numId w:val="2"/>
      </w:numPr>
      <w:spacing w:after="120" w:line="276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6ABB"/>
    <w:pPr>
      <w:contextualSpacing/>
    </w:pPr>
  </w:style>
  <w:style w:type="character" w:styleId="Hypertextovprepojenie">
    <w:name w:val="Hyperlink"/>
    <w:basedOn w:val="Predvolenpsmoodseku"/>
    <w:uiPriority w:val="99"/>
    <w:unhideWhenUsed/>
    <w:rsid w:val="00C76AB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B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B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E44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B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E4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7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3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7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6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8E4C-E7F3-4780-B41C-C5E5A1B1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Kušnárik</dc:creator>
  <cp:keywords/>
  <dc:description/>
  <cp:lastModifiedBy>Renáta Harušťáková</cp:lastModifiedBy>
  <cp:revision>5</cp:revision>
  <cp:lastPrinted>2024-11-11T09:34:00Z</cp:lastPrinted>
  <dcterms:created xsi:type="dcterms:W3CDTF">2024-10-22T08:35:00Z</dcterms:created>
  <dcterms:modified xsi:type="dcterms:W3CDTF">2024-11-20T09:58:00Z</dcterms:modified>
</cp:coreProperties>
</file>