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0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640"/>
        <w:gridCol w:w="1765"/>
        <w:gridCol w:w="1520"/>
      </w:tblGrid>
      <w:tr w:rsidR="007D5748" w:rsidRPr="007B7470" w:rsidTr="00896CC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6192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896CC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40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20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C0C0C0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C51FD4" w:rsidRPr="007B7470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C0C0C0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7 020 512</w:t>
            </w:r>
            <w:r w:rsidR="008C3A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765" w:type="dxa"/>
            <w:shd w:val="clear" w:color="auto" w:fill="C0C0C0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E067A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SR/</w:t>
            </w:r>
            <w:r w:rsidR="002D6B27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07E</w:t>
            </w:r>
            <w:r w:rsidR="002D6B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D6B27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Tvorba a implementácia politík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5 159 512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8 986 574</w:t>
            </w:r>
          </w:p>
        </w:tc>
      </w:tr>
      <w:tr w:rsidR="00F960E7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F960E7" w:rsidRPr="007B7470" w:rsidRDefault="00F960E7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MPSVR SR/0EK Informačné technológie financované zo štátneho rozpočtu</w:t>
            </w:r>
          </w:p>
        </w:tc>
        <w:tc>
          <w:tcPr>
            <w:tcW w:w="1267" w:type="dxa"/>
            <w:noWrap/>
            <w:vAlign w:val="center"/>
          </w:tcPr>
          <w:p w:rsidR="00F960E7" w:rsidRPr="007B7470" w:rsidRDefault="00F960E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0" w:type="dxa"/>
            <w:noWrap/>
            <w:vAlign w:val="center"/>
          </w:tcPr>
          <w:p w:rsidR="00F960E7" w:rsidRPr="008F0E39" w:rsidRDefault="00896CCD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1 861 000</w:t>
            </w:r>
          </w:p>
        </w:tc>
        <w:tc>
          <w:tcPr>
            <w:tcW w:w="1765" w:type="dxa"/>
            <w:noWrap/>
            <w:vAlign w:val="center"/>
          </w:tcPr>
          <w:p w:rsidR="00F960E7" w:rsidRDefault="00F960E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:rsidR="00F960E7" w:rsidRDefault="00F960E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7 020 512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</w:tr>
      <w:tr w:rsidR="00E067AF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067AF" w:rsidRPr="007B7470" w:rsidRDefault="00E067AF" w:rsidP="00E067A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E067AF" w:rsidRPr="007B7470" w:rsidRDefault="00E067AF" w:rsidP="00E0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E067AF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7 020 512</w:t>
            </w:r>
          </w:p>
        </w:tc>
        <w:tc>
          <w:tcPr>
            <w:tcW w:w="1765" w:type="dxa"/>
            <w:noWrap/>
            <w:vAlign w:val="center"/>
          </w:tcPr>
          <w:p w:rsidR="00E067AF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520" w:type="dxa"/>
            <w:noWrap/>
            <w:vAlign w:val="center"/>
          </w:tcPr>
          <w:p w:rsidR="00E067AF" w:rsidRPr="007B7470" w:rsidRDefault="008307D7" w:rsidP="0026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9 120 974</w:t>
            </w: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240</w:t>
            </w:r>
          </w:p>
        </w:tc>
        <w:tc>
          <w:tcPr>
            <w:tcW w:w="1765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240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240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4E62EF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240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A165C" w:rsidRPr="007B7470" w:rsidTr="008C3A07">
        <w:trPr>
          <w:trHeight w:val="392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1A165C" w:rsidRPr="007B7470" w:rsidRDefault="001A165C" w:rsidP="00D9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1A165C" w:rsidRPr="007B7470" w:rsidRDefault="001A165C" w:rsidP="008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8C3A07" w:rsidRPr="008C3A07" w:rsidRDefault="008307D7" w:rsidP="008C3A0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2 270 651</w:t>
            </w:r>
          </w:p>
          <w:p w:rsidR="001A165C" w:rsidRPr="008C3A07" w:rsidRDefault="001A165C" w:rsidP="008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A165C" w:rsidRPr="007B7470" w:rsidRDefault="008307D7" w:rsidP="00644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5 449 562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A165C" w:rsidRPr="007B7470" w:rsidRDefault="008307D7" w:rsidP="00644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5 449 562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A165C" w:rsidRPr="008C3A07" w:rsidRDefault="001A165C" w:rsidP="00D9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1A165C" w:rsidRPr="008C3A07" w:rsidRDefault="001A165C" w:rsidP="008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C3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3A07" w:rsidRPr="008C3A07" w:rsidRDefault="008307D7" w:rsidP="008C3A0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2 270 651</w:t>
            </w:r>
          </w:p>
          <w:p w:rsidR="001A165C" w:rsidRPr="007A6071" w:rsidRDefault="001A165C" w:rsidP="008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65C" w:rsidRPr="007A6071" w:rsidRDefault="008307D7" w:rsidP="00644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5 449 562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165C" w:rsidRPr="007A6071" w:rsidRDefault="008307D7" w:rsidP="00644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5 449 562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C0C0C0"/>
            <w:noWrap/>
            <w:vAlign w:val="center"/>
          </w:tcPr>
          <w:p w:rsidR="001A165C" w:rsidRPr="007B7470" w:rsidRDefault="008307D7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7 020 512</w:t>
            </w:r>
          </w:p>
        </w:tc>
        <w:tc>
          <w:tcPr>
            <w:tcW w:w="1765" w:type="dxa"/>
            <w:shd w:val="clear" w:color="auto" w:fill="C0C0C0"/>
            <w:noWrap/>
            <w:vAlign w:val="center"/>
          </w:tcPr>
          <w:p w:rsidR="001A165C" w:rsidRPr="007B7470" w:rsidRDefault="008307D7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9 120 974</w:t>
            </w:r>
          </w:p>
        </w:tc>
        <w:tc>
          <w:tcPr>
            <w:tcW w:w="1520" w:type="dxa"/>
            <w:shd w:val="clear" w:color="auto" w:fill="C0C0C0"/>
            <w:noWrap/>
            <w:vAlign w:val="center"/>
          </w:tcPr>
          <w:p w:rsidR="001A165C" w:rsidRPr="007B7470" w:rsidRDefault="008307D7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9 120 974</w:t>
            </w:r>
          </w:p>
        </w:tc>
      </w:tr>
      <w:tr w:rsidR="001A165C" w:rsidRPr="007B7470" w:rsidTr="00896CC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A165C" w:rsidRPr="007B7470" w:rsidRDefault="001A165C" w:rsidP="003E3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</w:t>
            </w:r>
            <w:r w:rsidR="00E8516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 w:rsidR="00E85166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07E</w:t>
            </w:r>
            <w:r w:rsidR="00E8516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E85166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Tvorba a implementácia politík</w:t>
            </w:r>
          </w:p>
        </w:tc>
        <w:tc>
          <w:tcPr>
            <w:tcW w:w="1267" w:type="dxa"/>
            <w:noWrap/>
            <w:vAlign w:val="center"/>
          </w:tcPr>
          <w:p w:rsidR="001A165C" w:rsidRPr="007B7470" w:rsidRDefault="001A165C" w:rsidP="001A16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noWrap/>
            <w:vAlign w:val="center"/>
          </w:tcPr>
          <w:p w:rsidR="001A165C" w:rsidRPr="007B7470" w:rsidRDefault="00E85166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5 159 512</w:t>
            </w:r>
          </w:p>
        </w:tc>
        <w:tc>
          <w:tcPr>
            <w:tcW w:w="1765" w:type="dxa"/>
            <w:noWrap/>
            <w:vAlign w:val="center"/>
          </w:tcPr>
          <w:p w:rsidR="001A165C" w:rsidRPr="007B7470" w:rsidRDefault="00E85166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9 120 974</w:t>
            </w:r>
          </w:p>
        </w:tc>
        <w:tc>
          <w:tcPr>
            <w:tcW w:w="1520" w:type="dxa"/>
            <w:noWrap/>
            <w:vAlign w:val="center"/>
          </w:tcPr>
          <w:p w:rsidR="001A165C" w:rsidRPr="007B7470" w:rsidRDefault="00D574DC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9 120 974</w:t>
            </w:r>
          </w:p>
        </w:tc>
      </w:tr>
      <w:tr w:rsidR="00F61BF8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F61BF8" w:rsidRPr="00F9244D" w:rsidRDefault="00E85166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MPSVR SR/0EK Informačné technológie financované zo štátneho rozpočtu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F61BF8" w:rsidRPr="00F9244D" w:rsidRDefault="00E85166" w:rsidP="00896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BFBFBF" w:themeFill="background1" w:themeFillShade="BF"/>
            <w:noWrap/>
            <w:vAlign w:val="center"/>
          </w:tcPr>
          <w:p w:rsidR="00F61BF8" w:rsidRPr="00F9244D" w:rsidRDefault="00E85166" w:rsidP="0094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1 861 000</w:t>
            </w:r>
          </w:p>
        </w:tc>
        <w:tc>
          <w:tcPr>
            <w:tcW w:w="1765" w:type="dxa"/>
            <w:shd w:val="clear" w:color="auto" w:fill="BFBFBF" w:themeFill="background1" w:themeFillShade="BF"/>
            <w:noWrap/>
            <w:vAlign w:val="center"/>
          </w:tcPr>
          <w:p w:rsidR="00F61BF8" w:rsidRPr="00F9244D" w:rsidRDefault="00E85166" w:rsidP="0094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F61BF8" w:rsidRPr="00F9244D" w:rsidRDefault="00E85166" w:rsidP="00944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896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F9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896CC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896CCD" w:rsidRPr="007B7470" w:rsidRDefault="00896CCD" w:rsidP="00896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0" w:type="dxa"/>
            <w:shd w:val="clear" w:color="auto" w:fill="A6A6A6" w:themeFill="background1" w:themeFillShade="A6"/>
            <w:noWrap/>
          </w:tcPr>
          <w:p w:rsidR="00896CCD" w:rsidRPr="003A237B" w:rsidRDefault="004E62EF" w:rsidP="0089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65" w:type="dxa"/>
            <w:shd w:val="clear" w:color="auto" w:fill="A6A6A6" w:themeFill="background1" w:themeFillShade="A6"/>
            <w:noWrap/>
          </w:tcPr>
          <w:p w:rsidR="00896CCD" w:rsidRPr="003A237B" w:rsidRDefault="004E62EF" w:rsidP="0089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20" w:type="dxa"/>
            <w:shd w:val="clear" w:color="auto" w:fill="A6A6A6" w:themeFill="background1" w:themeFillShade="A6"/>
            <w:noWrap/>
          </w:tcPr>
          <w:p w:rsidR="00896CCD" w:rsidRPr="003A237B" w:rsidRDefault="004E62EF" w:rsidP="00896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1"/>
    <w:p w:rsidR="00E067AF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</w:t>
      </w:r>
    </w:p>
    <w:p w:rsidR="00E067AF" w:rsidRDefault="00E067AF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F624A" w:rsidRPr="007B7470" w:rsidRDefault="00E067AF" w:rsidP="00E067AF">
      <w:pPr>
        <w:spacing w:after="0"/>
        <w:ind w:left="708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</w:t>
      </w:r>
      <w:r w:rsidR="001C721D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992"/>
        <w:gridCol w:w="1276"/>
        <w:gridCol w:w="1417"/>
        <w:gridCol w:w="1418"/>
      </w:tblGrid>
      <w:tr w:rsidR="001C721D" w:rsidRPr="007B7470" w:rsidTr="00FD12A1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A84041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A84041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A84041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7B7470" w:rsidRDefault="00A84041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</w:tr>
      <w:tr w:rsidR="000422C9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422C9" w:rsidRPr="007B7470" w:rsidRDefault="000422C9" w:rsidP="0004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7B7470" w:rsidRDefault="000422C9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0422C9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0422C9" w:rsidRPr="007B7470" w:rsidRDefault="000422C9" w:rsidP="0004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MPSVR SR/</w:t>
            </w:r>
            <w:r w:rsidR="002D6B27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07E</w:t>
            </w:r>
            <w:r w:rsidR="002D6B2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D6B27" w:rsidRPr="00D43D1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Tvorba a implementácia politík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7B7470" w:rsidRDefault="000422C9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2C9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MPSVR SR/0EK Informačné technológie financované zo štátneho rozpočtu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3E3E6D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96CCD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0422C9" w:rsidRDefault="004E62EF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432B38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896CCD" w:rsidRPr="007B7470" w:rsidTr="00432B38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96CCD" w:rsidRPr="007B7470" w:rsidRDefault="00896CCD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CCD" w:rsidRPr="007B7470" w:rsidRDefault="00896CCD" w:rsidP="0043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4E62EF" w:rsidRPr="005A4258" w:rsidRDefault="004E62EF" w:rsidP="004E62E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A3578">
        <w:rPr>
          <w:rFonts w:ascii="Times New Roman" w:hAnsi="Times New Roman"/>
          <w:bCs/>
          <w:sz w:val="24"/>
        </w:rPr>
        <w:t>Výdavky vyplývajúce z</w:t>
      </w:r>
      <w:r w:rsidR="004C1F09">
        <w:rPr>
          <w:rFonts w:ascii="Times New Roman" w:hAnsi="Times New Roman"/>
          <w:bCs/>
          <w:sz w:val="24"/>
        </w:rPr>
        <w:t xml:space="preserve"> vládneho </w:t>
      </w:r>
      <w:r w:rsidRPr="001A3578">
        <w:rPr>
          <w:rFonts w:ascii="Times New Roman" w:hAnsi="Times New Roman"/>
          <w:bCs/>
          <w:sz w:val="24"/>
        </w:rPr>
        <w:t xml:space="preserve">návrhu </w:t>
      </w:r>
      <w:r>
        <w:rPr>
          <w:rFonts w:ascii="Times New Roman" w:hAnsi="Times New Roman"/>
          <w:bCs/>
          <w:sz w:val="24"/>
        </w:rPr>
        <w:t>zákona o integrovanej posudkovej činnosti  sú</w:t>
      </w:r>
      <w:r w:rsidRPr="001A3578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zabezpečené v rozpočte a limite výdavkov verejnej správy, prostriedkov EÚ a POO. Nakoľko sa v tejto etape jedná o indikovaný rozpočet, konkretizácia výdavkov na základe aktuálnej realizácie procesov bude zahrnutá pri tvorbe návrhu rozpočtu</w:t>
      </w:r>
      <w:r>
        <w:rPr>
          <w:rFonts w:ascii="Times New Roman" w:hAnsi="Times New Roman"/>
          <w:bCs/>
          <w:kern w:val="3"/>
          <w:sz w:val="24"/>
        </w:rPr>
        <w:t xml:space="preserve"> v </w:t>
      </w:r>
      <w:r w:rsidRPr="001A3578">
        <w:rPr>
          <w:rFonts w:ascii="Times New Roman" w:hAnsi="Times New Roman"/>
          <w:bCs/>
          <w:kern w:val="3"/>
          <w:sz w:val="24"/>
        </w:rPr>
        <w:t>rokoch 202</w:t>
      </w:r>
      <w:r>
        <w:rPr>
          <w:rFonts w:ascii="Times New Roman" w:hAnsi="Times New Roman"/>
          <w:bCs/>
          <w:kern w:val="3"/>
          <w:sz w:val="24"/>
        </w:rPr>
        <w:t>6</w:t>
      </w:r>
      <w:r w:rsidRPr="001A3578">
        <w:rPr>
          <w:rFonts w:ascii="Times New Roman" w:hAnsi="Times New Roman"/>
          <w:bCs/>
          <w:kern w:val="3"/>
          <w:sz w:val="24"/>
        </w:rPr>
        <w:t xml:space="preserve"> až 2027</w:t>
      </w:r>
      <w:r>
        <w:rPr>
          <w:rFonts w:ascii="Times New Roman" w:hAnsi="Times New Roman"/>
          <w:bCs/>
          <w:kern w:val="3"/>
          <w:sz w:val="24"/>
        </w:rPr>
        <w:t xml:space="preserve"> zo zdrojov ŠR, EÚ a POO.</w:t>
      </w:r>
    </w:p>
    <w:p w:rsidR="00FA3F08" w:rsidRDefault="00FA3F0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A3F08" w:rsidRDefault="005A4258" w:rsidP="004B07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A3F0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</w:t>
      </w:r>
      <w:r w:rsid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novej právnej úpravy </w:t>
      </w:r>
      <w:r w:rsidR="00EF71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najmä </w:t>
      </w:r>
      <w:r w:rsidR="00FA3F0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zefe</w:t>
      </w:r>
      <w:r w:rsidR="00EF7159">
        <w:rPr>
          <w:rFonts w:ascii="Times New Roman" w:eastAsia="Times New Roman" w:hAnsi="Times New Roman" w:cs="Times New Roman"/>
          <w:sz w:val="24"/>
          <w:szCs w:val="24"/>
          <w:lang w:eastAsia="sk-SK"/>
        </w:rPr>
        <w:t>ktívnenie posudkového systému v </w:t>
      </w:r>
      <w:r w:rsidR="00FA3F0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podmienkach Slovenskej republiky, nakoľko podľa doterajšej právnej úpravy sa posudková činnosť vykonáva na rozličné účely sociálneho zabezpečenia, pričom každý z týchto účelov je regulovaný inou legislatívou v rámci práva sociálneho zabezpečenia a vykonávaný iným subjektom verejnej sociálnej správy (obce, vyššie územné celky, úrady práce, sociálnych vecí a rodiny, Sociálna poisťovňa). </w:t>
      </w:r>
    </w:p>
    <w:p w:rsidR="00FA3F08" w:rsidRDefault="00FA3F08" w:rsidP="004B07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Predkladaný </w:t>
      </w:r>
      <w:r w:rsidR="004C1F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vládny 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ustanovuje zjednotenie posudkovej činnosti, novo vykonávanej v správnom konaní o integrovano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 posudku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, a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to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na účely uplatnenia nárokov podmi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enených integrovaným posudkom (</w:t>
      </w:r>
      <w:r w:rsidR="00EF7159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 peňažných príspevkov na kompenzáciu sociálnych dôsledkov ť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ažkého zdravotného postihnutia a v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oblasti sociálnych služieb 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podmienených odkázanosťo</w:t>
      </w:r>
      <w:r w:rsidR="00EF71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  fyzickej osoby na pomoc inej 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fyzickej osoby), ako aj v rámci podpory účasti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znevýhodnených osôb na trhu práce v sociálnej ekonomike </w:t>
      </w:r>
      <w:r w:rsidR="00EF7159">
        <w:rPr>
          <w:rFonts w:ascii="Times New Roman" w:eastAsia="Times New Roman" w:hAnsi="Times New Roman" w:cs="Times New Roman"/>
          <w:sz w:val="24"/>
          <w:szCs w:val="24"/>
          <w:lang w:eastAsia="sk-SK"/>
        </w:rPr>
        <w:t>(sociálne podniky)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, kde ide o posudzovanie dlhodobého zdravotného postihnu</w:t>
      </w:r>
      <w:r w:rsid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tia realizované vo vzťahu k 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podrobnému opis</w:t>
      </w:r>
      <w:r w:rsidR="00EF7159">
        <w:rPr>
          <w:rFonts w:ascii="Times New Roman" w:eastAsia="Times New Roman" w:hAnsi="Times New Roman" w:cs="Times New Roman"/>
          <w:sz w:val="24"/>
          <w:szCs w:val="24"/>
          <w:lang w:eastAsia="sk-SK"/>
        </w:rPr>
        <w:t>u konkrétnej pracovnej činnosti</w:t>
      </w:r>
      <w:r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D675C" w:rsidRDefault="007F5190" w:rsidP="004B079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FA3F0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ýkon posudkovej činnosti bude centralizovaný na jeden subjekt, t. j. posudzovanie budú vykonávať výlučne úrady práce, sociálnych vecí a</w:t>
      </w:r>
      <w:r w:rsidR="009D675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FA3F0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rodiny</w:t>
      </w:r>
      <w:r w:rsidR="009D67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navrhovaného zákona sa bude vykonávať sociálna a lekárska posudková činnosť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Súčasne </w:t>
      </w:r>
      <w:r w:rsid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>sa kladie dôraz aj</w:t>
      </w:r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sebaidentifikáciu</w:t>
      </w:r>
      <w:proofErr w:type="spellEnd"/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posudzovaných </w:t>
      </w:r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osôb (vyplnením </w:t>
      </w:r>
      <w:proofErr w:type="spellStart"/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sebahodnotiaceho</w:t>
      </w:r>
      <w:proofErr w:type="spellEnd"/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dotazníka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  <w:proofErr w:type="spellStart"/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Sebahodnotiaci</w:t>
      </w:r>
      <w:proofErr w:type="spellEnd"/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dotazník</w:t>
      </w:r>
      <w:r w:rsidR="00781558" w:rsidRP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e prvotným zdrojom informácií o ťažkostiach vyplývajúcich z </w:t>
      </w:r>
      <w:r w:rsidR="00781558" w:rsidRP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>funkčných dôsledkov zdravotného stavu, ktoré posudzovaná osoba pociťuje. Dotazník má 12 otázok a</w:t>
      </w:r>
      <w:r w:rsidR="00F5329A">
        <w:rPr>
          <w:rFonts w:ascii="Times New Roman" w:eastAsia="Times New Roman" w:hAnsi="Times New Roman" w:cs="Times New Roman"/>
          <w:sz w:val="24"/>
          <w:szCs w:val="24"/>
          <w:lang w:eastAsia="sk-SK"/>
        </w:rPr>
        <w:t> je inšpirovaný dotazníkom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WHODAS</w:t>
      </w:r>
      <w:r w:rsidR="00781558" w:rsidRP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Sociálna posudková činnosť bude predchádzať lekárskej posudkovej činnosti a </w:t>
      </w:r>
      <w:r w:rsidR="009D675C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>má za úlohu precíznejšie posúdiť všetky potreby a aspekty sociálnej situácie posudzovanej osoby.</w:t>
      </w:r>
      <w:r w:rsid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rámci 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sociálnej posudkovej činnosti 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bude sociálny pracovník vypĺňať dotazník, ktorý má 36 otá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zok a</w:t>
      </w:r>
      <w:r w:rsidR="00F5329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31 doplňujúcich otázok a je inšpirovaný dotazníkom 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WHODAS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. Výsledkom sociálnej posudkovej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činnosti je sociálny posudok. Lekárska posudková činnosť bude nasledovať po sociálnej posudkovej činnosti</w:t>
      </w:r>
      <w:r w:rsidR="00F86109">
        <w:rPr>
          <w:rFonts w:ascii="Times New Roman" w:eastAsia="Times New Roman" w:hAnsi="Times New Roman" w:cs="Times New Roman"/>
          <w:sz w:val="24"/>
          <w:szCs w:val="24"/>
          <w:lang w:eastAsia="sk-SK"/>
        </w:rPr>
        <w:t>. Dosiahne sa tak,</w:t>
      </w:r>
      <w:r w:rsid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aby 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posudkový lekár disponoval pri vyhotovovaní lekárskeho posudku informáciami o</w:t>
      </w:r>
      <w:r w:rsid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EA035F" w:rsidRPr="00EA035F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potrebách a sociálnej situácii posudzovanej osoby.</w:t>
      </w:r>
      <w:r w:rsidR="00F861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>Výstupom z</w:t>
      </w:r>
      <w:r w:rsidR="00F86109">
        <w:rPr>
          <w:rFonts w:ascii="Times New Roman" w:eastAsia="Times New Roman" w:hAnsi="Times New Roman" w:cs="Times New Roman"/>
          <w:sz w:val="24"/>
          <w:szCs w:val="24"/>
          <w:lang w:eastAsia="sk-SK"/>
        </w:rPr>
        <w:t>o sociálnej a lekárskej posudkovej činnosti</w:t>
      </w:r>
      <w:r w:rsid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</w:t>
      </w:r>
      <w:r w:rsidR="00781558" w:rsidRPr="00FA3F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integrovaný posudok</w:t>
      </w:r>
      <w:r w:rsidR="0078155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F5190" w:rsidRDefault="007F5190" w:rsidP="007F5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Súčasťou </w:t>
      </w:r>
      <w:r w:rsidR="004C1F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vládneho </w:t>
      </w:r>
      <w:r w:rsidRP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návrhu zákona sú aj návrhy novelizácie s integrovanou posudkovou činnosťou previazaných, resp.  súvisiacich právnych predpisov, ktoré sú obsiahnuté v čl. II až </w:t>
      </w:r>
      <w:r w:rsidR="004E0B55">
        <w:rPr>
          <w:rFonts w:ascii="Times New Roman" w:eastAsia="Times New Roman" w:hAnsi="Times New Roman" w:cs="Times New Roman"/>
          <w:sz w:val="24"/>
          <w:szCs w:val="24"/>
          <w:lang w:eastAsia="sk-SK"/>
        </w:rPr>
        <w:t>XI</w:t>
      </w:r>
      <w:r w:rsidRPr="007F5190">
        <w:rPr>
          <w:rFonts w:ascii="Times New Roman" w:eastAsia="Times New Roman" w:hAnsi="Times New Roman" w:cs="Times New Roman"/>
          <w:sz w:val="24"/>
          <w:szCs w:val="24"/>
          <w:lang w:eastAsia="sk-SK"/>
        </w:rPr>
        <w:t>. Ide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E0B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novely zákona č. 453/2003 Z. z. o orgánoch štátnej správy v oblasti sociálnych vecí, rodiny a služieb zamestnanosti a o zmene a doplnení niektorých zákonov v znení neskorších predpisov, </w:t>
      </w:r>
      <w:r w:rsidR="004E0B55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novely zákona č. 552/2003 Z. z. o výkone práce vo verejnom záujme v znení zákona a o zmene a doplnení niektorých zákonov,</w:t>
      </w:r>
      <w:r w:rsidR="004E0B55" w:rsidRPr="00887EAF">
        <w:t xml:space="preserve"> </w:t>
      </w:r>
      <w:r w:rsidR="004E0B55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novely zákona č. 553/2003 Z. z. o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E0B55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odmeňovaní niektorých zamestnancov pri výkone práce vo verejnom záujme a o zmene a doplnení niektorých zákonov,  návrh novely zákona  č. 5/2004 Z. z.  o službách zamestnanosti a o zmene a doplnení niektorých zákonov, 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novely zákona č. 305/2005 Z. z. o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sociálnoprávnej ochrane detí a o sociálnej kuratele a o zmene a doplnení niektorých zákonov v znení neskorších predpisov, návrh novely zákona č. 447/2008 Z. z. o peňažných príspevkoch na kompenzáciu ťažkého zdravotného postihnutia a o zmene a doplnení niektorých zákonov v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 neskorších predpisov, návrh novely zákona č. 448/2008 Z. z. o sociálnych službách a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zmene a doplnení zákona č. 455/1991 Zb. o živnostenskom podnikaní (živnostenský zákon) v znení neskorších predpisov v znení  neskorších predpisov</w:t>
      </w:r>
      <w:r w:rsidR="00887EAF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, návrh novely zákona č. 417/2013 Z. z. o pomoci v hmotnej núdzi a o zmene a doplnení niektorých zákonov, návrh novely zákona č.  55/2017 Z. z. o štátnej službe a o zmene a doplnení niektorých zákonov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návrh novely zákona č. 112/2018 Z. z. o sociálnej ekonomike a sociálnych podnikoch a o zmene a dopl</w:t>
      </w:r>
      <w:r w:rsidR="004B0799"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>není niektorých zákonov v znení</w:t>
      </w:r>
      <w:r w:rsidRPr="00887E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neskorších predpisov.</w:t>
      </w:r>
    </w:p>
    <w:p w:rsidR="006309D3" w:rsidRDefault="006309D3" w:rsidP="007F5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</w:t>
      </w:r>
      <w:r w:rsidRPr="00411A4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F5329A" w:rsidRPr="00411A4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Jasne popíšte, v prípade potreby použite nižšie uvedenú tabuľku. Uveďte aj odhady základov daní a/alebo poplatkov, ak sa ich táto zmena týka.</w:t>
      </w:r>
    </w:p>
    <w:p w:rsidR="004B0799" w:rsidRPr="007B7470" w:rsidRDefault="004B0799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B7470" w:rsidRDefault="00A84041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:rsidTr="002B63FD">
        <w:trPr>
          <w:trHeight w:val="70"/>
        </w:trPr>
        <w:tc>
          <w:tcPr>
            <w:tcW w:w="4530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B923AC" w:rsidRDefault="00B923AC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BE7038" w:rsidRPr="00432B38" w:rsidRDefault="00D90184" w:rsidP="00BE703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EB786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Pri odhade vplyvu na rozpočet verejnej správy </w:t>
      </w:r>
      <w:r w:rsidR="00BE7038" w:rsidRPr="00D62ED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sa vychádzalo z potreby navýšenia počtu sociálnych pracovníkov a posudkových lekárov z dôvodu zabezpečenia implementácie zákona o integrovanej posudkovej činnosti, ako aj vzhľadom na navýšenie agendy pre úrady práce, sociálnych vecí a rodiny, ktoré budú vykonávať posudkovú činnosť aj na účely sociálnych služieb. Mení sa aj celkový spôsob posudzovania na účely peňažných príspevkov na</w:t>
      </w:r>
      <w:r w:rsidR="00411A4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 </w:t>
      </w:r>
      <w:r w:rsidR="00BE7038" w:rsidRPr="00D62ED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kompenzáciu, sociálnych služieb a sociálnej ekonomiky, pričom sociálna posudková činnosť  bude predchádzať lekárskej posudkovej činnosti a bude vykonávaná pri každej žiadosti o integrovaný posudok,</w:t>
      </w:r>
      <w:r w:rsidR="00BE7038" w:rsidRPr="00D62ED8">
        <w:t xml:space="preserve"> </w:t>
      </w:r>
      <w:r w:rsidR="00BE7038" w:rsidRPr="00D62ED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a to vždy v domácom prostredí posudzovanej osoby resp. prostredí v ktorom sa osoba aktuálne zdržiava. V tejto súvislosti je nevyhnutné zabezpečiť na každom úrade práce, sociálnych vecí a rodiny, aby úsek zabezpečujúci posudzovanie na účely integrovanej posudkovej činnosti, mal k dispozícii vybavenie motorovými vozidlami. Zároveň dôjde k zvýšeniu výdavkov úradov na náklady súvisiace s prevádzkou týchto vozidiel (napr. nákup pohonných hmôt úhrada poistení). </w:t>
      </w:r>
      <w:r w:rsidR="00EB786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Vzhľadom na celkovú zmenu posudzovania a výkon posudkovej činnosti je potrebné zabezpečiť primerané úpravy v informačných systémoch, ktoré vyplývajú aj z míľnikov plánu obnovy a odolnosti pre</w:t>
      </w:r>
      <w:r w:rsidR="00411A4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 </w:t>
      </w:r>
      <w:r w:rsidR="00EB786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Slovenskú republiku ako napríklad zabezpečenie pripojenia posudkových lekárov k elektronickým zdravotným knižkám.  </w:t>
      </w:r>
    </w:p>
    <w:p w:rsidR="00D90184" w:rsidRPr="00BE7038" w:rsidRDefault="00D90184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D90184" w:rsidRPr="00BE7038" w:rsidRDefault="00D90184" w:rsidP="00D90184">
      <w:pPr>
        <w:pStyle w:val="xxmsonormal"/>
        <w:spacing w:before="0" w:beforeAutospacing="0" w:after="0" w:afterAutospacing="0"/>
        <w:ind w:firstLine="567"/>
        <w:jc w:val="both"/>
      </w:pPr>
      <w:r w:rsidRPr="00BE7038">
        <w:t xml:space="preserve">Vplyvy na roky 2024 až 2027 boli odhadované za obdobie zodpovedajúce navrhovanej účinnosti legislatívnych </w:t>
      </w:r>
      <w:r w:rsidRPr="0052583D">
        <w:t>zmien (s účinnosťou od 1. 9. 2025</w:t>
      </w:r>
      <w:r w:rsidRPr="00BE7038">
        <w:t>).</w:t>
      </w:r>
    </w:p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5"/>
        <w:gridCol w:w="776"/>
        <w:gridCol w:w="1264"/>
        <w:gridCol w:w="1512"/>
        <w:gridCol w:w="1419"/>
      </w:tblGrid>
      <w:tr w:rsidR="00BE7038" w:rsidRPr="00BE7038" w:rsidTr="00F9244D">
        <w:trPr>
          <w:trHeight w:val="315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Opakované náklady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038" w:rsidRPr="00BE7038" w:rsidTr="00F9244D">
        <w:trPr>
          <w:trHeight w:val="148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4A0" w:rsidRPr="00432B38" w:rsidRDefault="00AD24A0" w:rsidP="00AD24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24A0" w:rsidRPr="00432B38" w:rsidRDefault="00AD24A0" w:rsidP="00A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počet prijatých zamestnancov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suma na 1 zamestnanca na mesiac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4A0" w:rsidRPr="00432B38" w:rsidRDefault="00AD24A0" w:rsidP="00A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suma na všetkých zamestnancov na mesiac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4A0" w:rsidRPr="00432B38" w:rsidRDefault="00AD24A0" w:rsidP="00AD2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 xml:space="preserve"> ročne </w:t>
            </w:r>
          </w:p>
        </w:tc>
      </w:tr>
      <w:tr w:rsidR="00BE7038" w:rsidRPr="00BE7038" w:rsidTr="00F9244D">
        <w:trPr>
          <w:cantSplit/>
          <w:trHeight w:val="428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Sociálni pracovníci - celková cena práce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140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1 886,00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264 040,00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3 168 480,00</w:t>
            </w:r>
          </w:p>
        </w:tc>
      </w:tr>
      <w:tr w:rsidR="00BE7038" w:rsidRPr="00BE7038" w:rsidTr="00F9244D">
        <w:trPr>
          <w:cantSplit/>
          <w:trHeight w:val="416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Posudkoví lekári na 1 úväzok - CCP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3 533,50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353 350,00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4 240 200,00</w:t>
            </w:r>
          </w:p>
        </w:tc>
      </w:tr>
      <w:tr w:rsidR="00BE7038" w:rsidRPr="00BE7038" w:rsidTr="00F9244D">
        <w:trPr>
          <w:cantSplit/>
          <w:trHeight w:val="667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Náklady na pohonné hmoty v prepočte na cca 30 000km = 2700,00.- EUR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129 600,00</w:t>
            </w:r>
          </w:p>
        </w:tc>
      </w:tr>
      <w:tr w:rsidR="00BE7038" w:rsidRPr="00BE7038" w:rsidTr="00F9244D">
        <w:trPr>
          <w:cantSplit/>
          <w:trHeight w:val="422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24A0" w:rsidRPr="002A4174" w:rsidRDefault="00AD24A0" w:rsidP="00585B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Náklady na ročné PZP cca 100</w:t>
            </w:r>
            <w:r w:rsidR="00585B67" w:rsidRPr="002A4174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EUR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2A4174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4 800,00</w:t>
            </w:r>
          </w:p>
        </w:tc>
      </w:tr>
      <w:tr w:rsidR="00BE7038" w:rsidRPr="00BE7038" w:rsidTr="00F9244D">
        <w:trPr>
          <w:cantSplit/>
          <w:trHeight w:val="438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 xml:space="preserve">Tovary a služby 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220,00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52 800,00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633 600,00</w:t>
            </w:r>
          </w:p>
        </w:tc>
      </w:tr>
      <w:tr w:rsidR="00BE7038" w:rsidRPr="00BE7038" w:rsidTr="00F9244D">
        <w:trPr>
          <w:cantSplit/>
          <w:trHeight w:val="39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A546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 xml:space="preserve">Stravné 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2 88 000</w:t>
            </w:r>
          </w:p>
        </w:tc>
      </w:tr>
      <w:tr w:rsidR="00A546B7" w:rsidRPr="00BE7038" w:rsidTr="00F9244D">
        <w:trPr>
          <w:cantSplit/>
          <w:trHeight w:val="39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6B7" w:rsidRPr="00432B38" w:rsidRDefault="00A546B7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DDS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7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7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7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4 800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46B7" w:rsidRPr="00432B38" w:rsidRDefault="00A546B7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57 600</w:t>
            </w:r>
          </w:p>
        </w:tc>
      </w:tr>
      <w:tr w:rsidR="00BE7038" w:rsidRPr="00BE7038" w:rsidTr="00F9244D">
        <w:trPr>
          <w:cantSplit/>
          <w:trHeight w:val="637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Nájom a energie (pri sume 207,875 na 1 zamestnanca na mesiac)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207,88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49 891,20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598 694,40</w:t>
            </w:r>
          </w:p>
        </w:tc>
      </w:tr>
      <w:tr w:rsidR="00BE7038" w:rsidRPr="00BE7038" w:rsidTr="00F9244D">
        <w:trPr>
          <w:trHeight w:val="31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Opakované náklady spolu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4A0" w:rsidRPr="00432B38" w:rsidRDefault="00AD24A0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432B38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4A0" w:rsidRPr="00432B38" w:rsidRDefault="00C370AB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748 881,2</w:t>
            </w:r>
            <w:r w:rsidR="0094490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AD24A0" w:rsidRPr="00432B38" w:rsidRDefault="00C370AB" w:rsidP="0043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9 120</w:t>
            </w:r>
            <w:r w:rsidR="0094490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974</w:t>
            </w:r>
            <w:r w:rsidR="0094490A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,40</w:t>
            </w:r>
          </w:p>
        </w:tc>
      </w:tr>
    </w:tbl>
    <w:p w:rsidR="00D90184" w:rsidRPr="00BE7038" w:rsidRDefault="00D90184" w:rsidP="00D90184">
      <w:pPr>
        <w:rPr>
          <w:rFonts w:ascii="Times New Roman" w:hAnsi="Times New Roman" w:cs="Times New Roman"/>
          <w:sz w:val="24"/>
          <w:szCs w:val="24"/>
        </w:rPr>
      </w:pPr>
    </w:p>
    <w:p w:rsidR="004B0799" w:rsidRDefault="004B0799" w:rsidP="00D90184">
      <w:pPr>
        <w:rPr>
          <w:rFonts w:ascii="Times New Roman" w:hAnsi="Times New Roman" w:cs="Times New Roman"/>
          <w:color w:val="1F497D"/>
          <w:sz w:val="24"/>
          <w:szCs w:val="24"/>
        </w:rPr>
      </w:pPr>
    </w:p>
    <w:tbl>
      <w:tblPr>
        <w:tblpPr w:leftFromText="141" w:rightFromText="141" w:vertAnchor="text" w:horzAnchor="margin" w:tblpY="139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850"/>
        <w:gridCol w:w="1285"/>
        <w:gridCol w:w="1975"/>
      </w:tblGrid>
      <w:tr w:rsidR="00EB7860" w:rsidRPr="00BE7038" w:rsidTr="00585B67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Jednorazové náklady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EB7860" w:rsidRPr="00BE7038" w:rsidTr="00585B67">
        <w:trPr>
          <w:trHeight w:val="102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IKT (140 sociálnych pracovníkov 100 úväzkov lekárov, pri obsadení jedného úväzku 2 lekármi je potreba IKT pre lekárov 100*2 )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340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1 650,00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561 000,00</w:t>
            </w:r>
          </w:p>
        </w:tc>
      </w:tr>
      <w:tr w:rsidR="00EB7860" w:rsidRPr="00BE7038" w:rsidTr="00585B67">
        <w:trPr>
          <w:trHeight w:val="90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Nábytok  (pracovný stôl, pracovná stolička, kontajner, cena s DPH)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429,61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103 106,40</w:t>
            </w:r>
          </w:p>
        </w:tc>
      </w:tr>
      <w:tr w:rsidR="00EB7860" w:rsidRPr="00BE7038" w:rsidTr="00585B67">
        <w:trPr>
          <w:trHeight w:val="12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60" w:rsidRPr="002A4174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Náklady na kúpu vozidla v zmysle nariadenia vlády: maximálna cena 26 400,00 (zvýšenie návštev v domácnosti)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60" w:rsidRPr="002A4174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48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2A4174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26 400,00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860" w:rsidRPr="002A4174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2A4174">
              <w:rPr>
                <w:rFonts w:ascii="Times New Roman" w:eastAsia="Times New Roman" w:hAnsi="Times New Roman" w:cs="Times New Roman"/>
                <w:lang w:eastAsia="sk-SK"/>
              </w:rPr>
              <w:t>1 267 200,00</w:t>
            </w:r>
          </w:p>
        </w:tc>
      </w:tr>
      <w:tr w:rsidR="00EB7860" w:rsidRPr="00BE7038" w:rsidTr="00585B67">
        <w:trPr>
          <w:trHeight w:val="12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 xml:space="preserve">Zmena v informačnom systéme riadenia sociálnych dávok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700 000</w:t>
            </w:r>
          </w:p>
        </w:tc>
      </w:tr>
      <w:tr w:rsidR="00EB7860" w:rsidRPr="00BE7038" w:rsidTr="00585B67">
        <w:trPr>
          <w:trHeight w:val="12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60" w:rsidRPr="00585B67" w:rsidRDefault="00EB7860" w:rsidP="00B30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Pripojenie posudko</w:t>
            </w:r>
            <w:r w:rsidR="00B30F4A">
              <w:rPr>
                <w:rFonts w:ascii="Times New Roman" w:eastAsia="Times New Roman" w:hAnsi="Times New Roman" w:cs="Times New Roman"/>
                <w:lang w:eastAsia="sk-SK"/>
              </w:rPr>
              <w:t>vých</w:t>
            </w: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 xml:space="preserve"> lekárov k systému elektronických zdravotných knižiek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600 000</w:t>
            </w:r>
          </w:p>
        </w:tc>
      </w:tr>
      <w:tr w:rsidR="00EB7860" w:rsidRPr="00BE7038" w:rsidTr="00585B67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Spolu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B7860" w:rsidRPr="00585B67" w:rsidRDefault="00EB7860" w:rsidP="00EB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85B6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3 231 306,40</w:t>
            </w:r>
          </w:p>
        </w:tc>
      </w:tr>
    </w:tbl>
    <w:p w:rsidR="004B0799" w:rsidRDefault="004B0799" w:rsidP="00D90184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4B0799" w:rsidRDefault="004B0799" w:rsidP="00D90184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4B0799" w:rsidRPr="00D90184" w:rsidRDefault="004B0799" w:rsidP="00D90184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D90184" w:rsidRDefault="00D90184" w:rsidP="00D90184">
      <w:pPr>
        <w:rPr>
          <w:rFonts w:ascii="Calibri" w:hAnsi="Calibri" w:cs="Calibri"/>
          <w:color w:val="1F497D"/>
        </w:rPr>
      </w:pPr>
    </w:p>
    <w:p w:rsidR="00B923AC" w:rsidRDefault="00B923AC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896CCD" w:rsidRDefault="00896CC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896CCD" w:rsidRDefault="00896CCD" w:rsidP="00896CCD">
      <w:pPr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896CCD" w:rsidRDefault="00896CCD" w:rsidP="00896CCD">
      <w:pPr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DA57CB" w:rsidRPr="00EB7860" w:rsidRDefault="00DA57CB" w:rsidP="00EB7860">
      <w:pPr>
        <w:rPr>
          <w:rFonts w:ascii="Times New Roman" w:eastAsia="Times New Roman" w:hAnsi="Times New Roman" w:cs="Times New Roman"/>
          <w:sz w:val="24"/>
          <w:szCs w:val="20"/>
          <w:lang w:eastAsia="sk-SK"/>
        </w:rPr>
        <w:sectPr w:rsidR="00DA57CB" w:rsidRPr="00EB7860" w:rsidSect="002B63FD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A8404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A8404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A8404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A8404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375D82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5 753 312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375D82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9 120 974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E067AF" w:rsidRDefault="00375D82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9 120 974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2 270 651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A5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</w:t>
            </w:r>
            <w:r w:rsidR="009027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620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2A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816 299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83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1 959 118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8307D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1 959 118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087E93" w:rsidRDefault="0068083C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bez DDS</w:t>
            </w:r>
          </w:p>
        </w:tc>
      </w:tr>
      <w:tr w:rsidR="00A546B7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B7" w:rsidRPr="007B7470" w:rsidRDefault="00761E4D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DDS (627)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6B7" w:rsidRDefault="00A546B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6B7" w:rsidRDefault="002A4174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6B7" w:rsidRDefault="00A546B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6B7" w:rsidRDefault="00A546B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57 600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6B7" w:rsidRPr="007B7470" w:rsidRDefault="00A546B7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896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 w:rsidR="00A502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2 522 362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1 366 694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1 366 694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68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</w:t>
            </w:r>
            <w:r w:rsidR="006808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(640): </w:t>
            </w:r>
            <w:r w:rsidR="00CA1B5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Jednotlivcovi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808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(64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2014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94490A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A546B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A546B7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288 000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087E93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87E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Finančný príspevok na stravovanie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97ECD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1 267 200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ECD" w:rsidRPr="007B7470" w:rsidRDefault="00C97ECD" w:rsidP="00C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C97ECD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1 267 200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7ECD" w:rsidRPr="007B7470" w:rsidRDefault="00C97ECD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ECD" w:rsidRPr="007B7470" w:rsidRDefault="00C97ECD" w:rsidP="00C97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F3" w:rsidRPr="000422C9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F3" w:rsidRPr="000422C9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AF3" w:rsidRPr="000422C9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66AF3" w:rsidRPr="007B7470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AF3" w:rsidRPr="007B7470" w:rsidRDefault="00266AF3" w:rsidP="0026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AF3" w:rsidRPr="00447560" w:rsidRDefault="0063454D" w:rsidP="00161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7 020 512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AF3" w:rsidRPr="00447560" w:rsidRDefault="0063454D" w:rsidP="0044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6AF3" w:rsidRPr="00447560" w:rsidRDefault="0063454D" w:rsidP="0044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9 120 974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66AF3" w:rsidRPr="007B7470" w:rsidRDefault="00266AF3" w:rsidP="0026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B0799" w:rsidRDefault="004B0799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Pr="007B7470" w:rsidRDefault="00241DF3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E067A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8404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8404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8404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A84041" w:rsidP="00A8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A840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0422C9">
        <w:trPr>
          <w:trHeight w:val="310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A37ED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A546B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A546B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E067AF" w:rsidRDefault="00A546B7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04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087E93" w:rsidRDefault="00E067AF" w:rsidP="0024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A5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9449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0422C9" w:rsidP="00A54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</w:t>
            </w:r>
            <w:r w:rsidR="009449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</w:t>
            </w:r>
            <w:r w:rsidR="00A546B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087E93" w:rsidRDefault="00E067AF" w:rsidP="0024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37ED4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C97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A546B7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067AF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7AF" w:rsidRPr="007B7470" w:rsidRDefault="00E067AF" w:rsidP="00E0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7AF" w:rsidRPr="007B7470" w:rsidRDefault="00E067AF" w:rsidP="00E0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0422C9" w:rsidRPr="007B7470" w:rsidTr="00447560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2C9" w:rsidRPr="007B7470" w:rsidRDefault="000422C9" w:rsidP="0004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2C9" w:rsidRPr="007B7470" w:rsidRDefault="000422C9" w:rsidP="0004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2C9" w:rsidRPr="00447560" w:rsidRDefault="0063454D" w:rsidP="0083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2C9" w:rsidRPr="00447560" w:rsidRDefault="0063454D" w:rsidP="0044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2C9" w:rsidRPr="00447560" w:rsidRDefault="0063454D" w:rsidP="0044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0422C9" w:rsidRPr="007B7470" w:rsidRDefault="000422C9" w:rsidP="00042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41DF3" w:rsidRPr="007B7470" w:rsidRDefault="00241DF3" w:rsidP="00CD6CD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</w:t>
      </w:r>
    </w:p>
    <w:p w:rsidR="007D5748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p w:rsidR="004B0799" w:rsidRPr="007B7470" w:rsidRDefault="004B0799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69B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69B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69B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7D5748" w:rsidRPr="007B7470" w:rsidTr="00E45787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69B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69B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69B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69B0" w:rsidRDefault="00A8404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7D5748" w:rsidRPr="007B7470" w:rsidTr="00E45787">
        <w:trPr>
          <w:trHeight w:val="255"/>
        </w:trPr>
        <w:tc>
          <w:tcPr>
            <w:tcW w:w="6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  <w:r w:rsidR="00CD6CDD"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(Sociálny pracovník</w:t>
            </w:r>
            <w:r w:rsidR="000931FA"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9E4B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0931F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BE703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BE703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9E4B5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0931F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BE703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BE703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0931F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4E62EF" w:rsidP="00761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1 387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4E62E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761E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387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748" w:rsidRPr="007D69B0" w:rsidRDefault="004E62E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1 </w:t>
            </w:r>
            <w:r w:rsidR="00761E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387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7D5748" w:rsidRPr="007D69B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7D69B0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1 387</w:t>
            </w:r>
            <w:r w:rsidR="00BE7038"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7D69B0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1 387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7D69B0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1 387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Počet zamestnancov celkom (Posudkový lekár)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E7038" w:rsidRPr="00E45787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E7038" w:rsidRPr="00E45787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:rsidR="00BE7038" w:rsidRPr="00E45787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E45787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457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87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7038" w:rsidRPr="00E45787" w:rsidRDefault="00761E4D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2 599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BE7038" w:rsidRPr="00E45787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E7038" w:rsidRPr="007B7470" w:rsidTr="00E45787">
        <w:trPr>
          <w:trHeight w:val="255"/>
        </w:trPr>
        <w:tc>
          <w:tcPr>
            <w:tcW w:w="6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3 110 950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7 466 280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7 466 280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Mzdy, platy, služobné príjmy a ostatné osobné vyrovnania (610)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D3032D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2 270 651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D3032D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2 270 651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8307D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5 449 562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D3032D" w:rsidRDefault="0090272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 840 299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90272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2 016 718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90272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2 016 718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038" w:rsidRPr="007D69B0" w:rsidRDefault="00BE7038" w:rsidP="00A54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Pr="007D69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Vrátane DDS</w:t>
            </w: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BE7038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D69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D3032D" w:rsidRDefault="0094490A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</w:t>
            </w:r>
            <w:r w:rsidR="009027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840 299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37215D" w:rsidP="00372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       </w:t>
            </w:r>
            <w:r w:rsidR="00902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2 016 718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038" w:rsidRPr="007D69B0" w:rsidRDefault="00902727" w:rsidP="00BE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2 016 718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7038" w:rsidRPr="007D69B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703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703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BE7038" w:rsidRPr="007B7470" w:rsidRDefault="00BE7038" w:rsidP="00BE703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E703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E7038" w:rsidRPr="007B7470" w:rsidRDefault="00BE7038" w:rsidP="00BE7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p w:rsidR="004B0799" w:rsidRPr="007B7470" w:rsidRDefault="004B0799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:rsidR="002B63FD" w:rsidRPr="00585B67" w:rsidRDefault="002B63FD" w:rsidP="00585B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585B6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sa vypĺňa pre každé opatrenie samostatne. V prípade zavádzania viacerých opatrení sa vyplní aj tabuľka obsahujúca aj kumulatívny efekt zavedeni</w:t>
      </w:r>
      <w:r w:rsidR="00E16CA9">
        <w:rPr>
          <w:rFonts w:ascii="Times New Roman" w:eastAsia="Times New Roman" w:hAnsi="Times New Roman" w:cs="Times New Roman"/>
          <w:sz w:val="24"/>
          <w:szCs w:val="24"/>
          <w:lang w:eastAsia="sk-SK"/>
        </w:rPr>
        <w:t>a všetkých opatrení súčasne.</w:t>
      </w:r>
    </w:p>
    <w:p w:rsidR="00CB3623" w:rsidRPr="00A738C0" w:rsidRDefault="00CB3623" w:rsidP="00585B67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A8" w:rsidRDefault="00C96DA8">
      <w:pPr>
        <w:spacing w:after="0" w:line="240" w:lineRule="auto"/>
      </w:pPr>
      <w:r>
        <w:separator/>
      </w:r>
    </w:p>
  </w:endnote>
  <w:endnote w:type="continuationSeparator" w:id="0">
    <w:p w:rsidR="00C96DA8" w:rsidRDefault="00C96DA8">
      <w:pPr>
        <w:spacing w:after="0" w:line="240" w:lineRule="auto"/>
      </w:pPr>
      <w:r>
        <w:continuationSeparator/>
      </w:r>
    </w:p>
  </w:endnote>
  <w:endnote w:type="continuationNotice" w:id="1">
    <w:p w:rsidR="00C96DA8" w:rsidRDefault="00C96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F8" w:rsidRDefault="00F61BF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F61BF8" w:rsidRDefault="00F61BF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F8" w:rsidRDefault="00F61BF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427BE">
      <w:rPr>
        <w:noProof/>
      </w:rPr>
      <w:t>11</w:t>
    </w:r>
    <w:r>
      <w:fldChar w:fldCharType="end"/>
    </w:r>
  </w:p>
  <w:p w:rsidR="00F61BF8" w:rsidRDefault="00F61BF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F8" w:rsidRDefault="00F61BF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F61BF8" w:rsidRDefault="00F61B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A8" w:rsidRDefault="00C96DA8">
      <w:pPr>
        <w:spacing w:after="0" w:line="240" w:lineRule="auto"/>
      </w:pPr>
      <w:r>
        <w:separator/>
      </w:r>
    </w:p>
  </w:footnote>
  <w:footnote w:type="continuationSeparator" w:id="0">
    <w:p w:rsidR="00C96DA8" w:rsidRDefault="00C96DA8">
      <w:pPr>
        <w:spacing w:after="0" w:line="240" w:lineRule="auto"/>
      </w:pPr>
      <w:r>
        <w:continuationSeparator/>
      </w:r>
    </w:p>
  </w:footnote>
  <w:footnote w:type="continuationNotice" w:id="1">
    <w:p w:rsidR="00C96DA8" w:rsidRDefault="00C96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F8" w:rsidRDefault="00F61BF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F61BF8" w:rsidRPr="00EB59C8" w:rsidRDefault="00F61BF8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F8" w:rsidRPr="000A15AE" w:rsidRDefault="00F61BF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422C9"/>
    <w:rsid w:val="00057135"/>
    <w:rsid w:val="000624CD"/>
    <w:rsid w:val="00065326"/>
    <w:rsid w:val="00067CA7"/>
    <w:rsid w:val="00082A55"/>
    <w:rsid w:val="00087A66"/>
    <w:rsid w:val="00087E93"/>
    <w:rsid w:val="00090D17"/>
    <w:rsid w:val="0009208A"/>
    <w:rsid w:val="000931FA"/>
    <w:rsid w:val="000B4516"/>
    <w:rsid w:val="000B509B"/>
    <w:rsid w:val="000C3072"/>
    <w:rsid w:val="000F00DA"/>
    <w:rsid w:val="001127A8"/>
    <w:rsid w:val="00116F99"/>
    <w:rsid w:val="0016172F"/>
    <w:rsid w:val="00170D2B"/>
    <w:rsid w:val="00171614"/>
    <w:rsid w:val="00195C13"/>
    <w:rsid w:val="001A165C"/>
    <w:rsid w:val="001C721D"/>
    <w:rsid w:val="001F5D86"/>
    <w:rsid w:val="001F624A"/>
    <w:rsid w:val="00200898"/>
    <w:rsid w:val="00212894"/>
    <w:rsid w:val="002135D4"/>
    <w:rsid w:val="0021597A"/>
    <w:rsid w:val="002177DB"/>
    <w:rsid w:val="002309F4"/>
    <w:rsid w:val="00241DF3"/>
    <w:rsid w:val="00266AF3"/>
    <w:rsid w:val="0028695C"/>
    <w:rsid w:val="002879E7"/>
    <w:rsid w:val="002A4174"/>
    <w:rsid w:val="002A753E"/>
    <w:rsid w:val="002B5AD4"/>
    <w:rsid w:val="002B63FD"/>
    <w:rsid w:val="002D6B27"/>
    <w:rsid w:val="00317B90"/>
    <w:rsid w:val="003408F5"/>
    <w:rsid w:val="0036631C"/>
    <w:rsid w:val="0037215D"/>
    <w:rsid w:val="00375D82"/>
    <w:rsid w:val="003A237B"/>
    <w:rsid w:val="003B06E8"/>
    <w:rsid w:val="003B7684"/>
    <w:rsid w:val="003C5D33"/>
    <w:rsid w:val="003E1896"/>
    <w:rsid w:val="003E3E6D"/>
    <w:rsid w:val="003F35B7"/>
    <w:rsid w:val="00411A47"/>
    <w:rsid w:val="004157E1"/>
    <w:rsid w:val="0042480F"/>
    <w:rsid w:val="00432B38"/>
    <w:rsid w:val="00440A16"/>
    <w:rsid w:val="00446310"/>
    <w:rsid w:val="00447560"/>
    <w:rsid w:val="00447C49"/>
    <w:rsid w:val="00474F11"/>
    <w:rsid w:val="00487203"/>
    <w:rsid w:val="004A4209"/>
    <w:rsid w:val="004B0799"/>
    <w:rsid w:val="004C1F09"/>
    <w:rsid w:val="004D169C"/>
    <w:rsid w:val="004E0B55"/>
    <w:rsid w:val="004E5E76"/>
    <w:rsid w:val="004E62EF"/>
    <w:rsid w:val="005005EC"/>
    <w:rsid w:val="00510DC5"/>
    <w:rsid w:val="0052583D"/>
    <w:rsid w:val="005307FC"/>
    <w:rsid w:val="00553992"/>
    <w:rsid w:val="00585B67"/>
    <w:rsid w:val="00592E96"/>
    <w:rsid w:val="005A4258"/>
    <w:rsid w:val="005B051A"/>
    <w:rsid w:val="005B1EE1"/>
    <w:rsid w:val="005C1A2B"/>
    <w:rsid w:val="005E3699"/>
    <w:rsid w:val="005F2ACA"/>
    <w:rsid w:val="006309D3"/>
    <w:rsid w:val="0063454D"/>
    <w:rsid w:val="00635546"/>
    <w:rsid w:val="006427BE"/>
    <w:rsid w:val="006435B9"/>
    <w:rsid w:val="006448DC"/>
    <w:rsid w:val="00667960"/>
    <w:rsid w:val="0068083C"/>
    <w:rsid w:val="006A2947"/>
    <w:rsid w:val="006F4257"/>
    <w:rsid w:val="00714D9C"/>
    <w:rsid w:val="00717B29"/>
    <w:rsid w:val="007239CD"/>
    <w:rsid w:val="007246BD"/>
    <w:rsid w:val="00727689"/>
    <w:rsid w:val="0073141E"/>
    <w:rsid w:val="00761E4D"/>
    <w:rsid w:val="00763740"/>
    <w:rsid w:val="0077530D"/>
    <w:rsid w:val="00781558"/>
    <w:rsid w:val="00782B91"/>
    <w:rsid w:val="00785085"/>
    <w:rsid w:val="007A6071"/>
    <w:rsid w:val="007B7470"/>
    <w:rsid w:val="007C5BF0"/>
    <w:rsid w:val="007D3EA0"/>
    <w:rsid w:val="007D5748"/>
    <w:rsid w:val="007D69B0"/>
    <w:rsid w:val="007F40A7"/>
    <w:rsid w:val="007F5190"/>
    <w:rsid w:val="00813372"/>
    <w:rsid w:val="008205B7"/>
    <w:rsid w:val="00825908"/>
    <w:rsid w:val="008307D7"/>
    <w:rsid w:val="00832D80"/>
    <w:rsid w:val="00834406"/>
    <w:rsid w:val="008438A6"/>
    <w:rsid w:val="00887EAF"/>
    <w:rsid w:val="00893B20"/>
    <w:rsid w:val="00893B76"/>
    <w:rsid w:val="00896CCD"/>
    <w:rsid w:val="00897BE7"/>
    <w:rsid w:val="008C3A07"/>
    <w:rsid w:val="008C4500"/>
    <w:rsid w:val="008D339D"/>
    <w:rsid w:val="008E0835"/>
    <w:rsid w:val="008E2736"/>
    <w:rsid w:val="008F0E39"/>
    <w:rsid w:val="00902727"/>
    <w:rsid w:val="00902EDD"/>
    <w:rsid w:val="00943733"/>
    <w:rsid w:val="0094490A"/>
    <w:rsid w:val="00945A2A"/>
    <w:rsid w:val="009706B7"/>
    <w:rsid w:val="009D675C"/>
    <w:rsid w:val="009E4B56"/>
    <w:rsid w:val="009F6CF0"/>
    <w:rsid w:val="00A245C7"/>
    <w:rsid w:val="00A37ED4"/>
    <w:rsid w:val="00A5024B"/>
    <w:rsid w:val="00A539DD"/>
    <w:rsid w:val="00A546B7"/>
    <w:rsid w:val="00A72E75"/>
    <w:rsid w:val="00A738C0"/>
    <w:rsid w:val="00A82EFF"/>
    <w:rsid w:val="00A84041"/>
    <w:rsid w:val="00AA1D53"/>
    <w:rsid w:val="00AB23D0"/>
    <w:rsid w:val="00AB5919"/>
    <w:rsid w:val="00AC7C75"/>
    <w:rsid w:val="00AD24A0"/>
    <w:rsid w:val="00B15B33"/>
    <w:rsid w:val="00B30F4A"/>
    <w:rsid w:val="00B36A97"/>
    <w:rsid w:val="00B5535C"/>
    <w:rsid w:val="00B801BA"/>
    <w:rsid w:val="00B923AC"/>
    <w:rsid w:val="00B92F23"/>
    <w:rsid w:val="00BA2C5A"/>
    <w:rsid w:val="00BD27AF"/>
    <w:rsid w:val="00BE7038"/>
    <w:rsid w:val="00C15212"/>
    <w:rsid w:val="00C15D88"/>
    <w:rsid w:val="00C16C1B"/>
    <w:rsid w:val="00C370AB"/>
    <w:rsid w:val="00C455E9"/>
    <w:rsid w:val="00C51FD4"/>
    <w:rsid w:val="00C611AD"/>
    <w:rsid w:val="00C64BDB"/>
    <w:rsid w:val="00C653D7"/>
    <w:rsid w:val="00C96DA8"/>
    <w:rsid w:val="00C97ECD"/>
    <w:rsid w:val="00CA18F2"/>
    <w:rsid w:val="00CA1B51"/>
    <w:rsid w:val="00CB04E9"/>
    <w:rsid w:val="00CB3623"/>
    <w:rsid w:val="00CC0E46"/>
    <w:rsid w:val="00CD6CDD"/>
    <w:rsid w:val="00CE299A"/>
    <w:rsid w:val="00CE359E"/>
    <w:rsid w:val="00CF2C35"/>
    <w:rsid w:val="00D200BE"/>
    <w:rsid w:val="00D3032D"/>
    <w:rsid w:val="00D55BEE"/>
    <w:rsid w:val="00D574DC"/>
    <w:rsid w:val="00D638F5"/>
    <w:rsid w:val="00D7236A"/>
    <w:rsid w:val="00D85029"/>
    <w:rsid w:val="00D90102"/>
    <w:rsid w:val="00D90184"/>
    <w:rsid w:val="00D9171A"/>
    <w:rsid w:val="00D922E5"/>
    <w:rsid w:val="00D92A14"/>
    <w:rsid w:val="00DA57CB"/>
    <w:rsid w:val="00DC7ADC"/>
    <w:rsid w:val="00DE04C5"/>
    <w:rsid w:val="00DE5BF1"/>
    <w:rsid w:val="00E067AF"/>
    <w:rsid w:val="00E07CE9"/>
    <w:rsid w:val="00E1050B"/>
    <w:rsid w:val="00E1196C"/>
    <w:rsid w:val="00E15E14"/>
    <w:rsid w:val="00E16CA9"/>
    <w:rsid w:val="00E329BA"/>
    <w:rsid w:val="00E35C68"/>
    <w:rsid w:val="00E45787"/>
    <w:rsid w:val="00E46D5A"/>
    <w:rsid w:val="00E4770B"/>
    <w:rsid w:val="00E578F9"/>
    <w:rsid w:val="00E67490"/>
    <w:rsid w:val="00E85166"/>
    <w:rsid w:val="00E963A3"/>
    <w:rsid w:val="00EA035F"/>
    <w:rsid w:val="00EA1E90"/>
    <w:rsid w:val="00EB7860"/>
    <w:rsid w:val="00ED2B29"/>
    <w:rsid w:val="00EE0CA3"/>
    <w:rsid w:val="00EE28EB"/>
    <w:rsid w:val="00EF7159"/>
    <w:rsid w:val="00F03306"/>
    <w:rsid w:val="00F20986"/>
    <w:rsid w:val="00F2530E"/>
    <w:rsid w:val="00F348E6"/>
    <w:rsid w:val="00F35AB4"/>
    <w:rsid w:val="00F40136"/>
    <w:rsid w:val="00F410CE"/>
    <w:rsid w:val="00F5329A"/>
    <w:rsid w:val="00F61BF8"/>
    <w:rsid w:val="00F86109"/>
    <w:rsid w:val="00F9244D"/>
    <w:rsid w:val="00F95ECF"/>
    <w:rsid w:val="00F960E7"/>
    <w:rsid w:val="00FA3F08"/>
    <w:rsid w:val="00FB4A4A"/>
    <w:rsid w:val="00FC38D9"/>
    <w:rsid w:val="00FD12A1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lny"/>
    <w:rsid w:val="00D9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32B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2B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2B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2B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2B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:fields xmlns:f="http://schemas.fabasoft.com/folio/2007/fields">
  <f:record ref="">
    <f:field ref="objname" par="" edit="true" text="06a_analýza-vplyvov-na-rozpočet-verejnej-správy"/>
    <f:field ref="objsubject" par="" edit="true" text=""/>
    <f:field ref="objcreatedby" par="" text="Banas, František Jozef"/>
    <f:field ref="objcreatedat" par="" text="16.10.2024 14:11:03"/>
    <f:field ref="objchangedby" par="" text="Administrator, System"/>
    <f:field ref="objmodifiedat" par="" text="16.10.2024 14:11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D37AC16-B333-4BF5-818D-5C5E1396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Kostková Daša</cp:lastModifiedBy>
  <cp:revision>3</cp:revision>
  <cp:lastPrinted>2024-08-22T11:03:00Z</cp:lastPrinted>
  <dcterms:created xsi:type="dcterms:W3CDTF">2024-11-20T12:59:00Z</dcterms:created>
  <dcterms:modified xsi:type="dcterms:W3CDTF">2024-11-20T12:59:00Z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align="center"&gt;Scenár 1: Verejnosť je informovaná o tvorbe právneho predpisu&lt;/h2&gt;			&lt;/td&gt;		&lt;/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František Jozef Banas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integrovanej posudkovej činnosti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</vt:lpwstr>
  </property>
  <property fmtid="{D5CDD505-2E9C-101B-9397-08002B2CF9AE}" pid="23" name="FSC#SKEDITIONSLOVLEX@103.510:plnynazovpredpis">
    <vt:lpwstr> Zákon o integrovanej posudkovej činnosti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26205/2024-M_OdVPA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LP/2024/557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zákona o integrovanej posudkovej činnosti a o zmene a doplnení niektorých zákonov sa predkladá na základe Plánu legislatívnych úloh vlády Slovenskej republiky na&amp;nbsp;rok 2024. Navrhovaným zákonom Slovenská republika napĺňa &amp;nbsp;úlohu vyplývajúc</vt:lpwstr>
  </property>
  <property fmtid="{D5CDD505-2E9C-101B-9397-08002B2CF9AE}" pid="150" name="FSC#SKEDITIONSLOVLEX@103.510:vytvorenedna">
    <vt:lpwstr>16. 10. 2024</vt:lpwstr>
  </property>
  <property fmtid="{D5CDD505-2E9C-101B-9397-08002B2CF9AE}" pid="151" name="FSC#COOSYSTEM@1.1:Container">
    <vt:lpwstr>COO.2145.1000.3.6391848</vt:lpwstr>
  </property>
  <property fmtid="{D5CDD505-2E9C-101B-9397-08002B2CF9AE}" pid="152" name="FSC#FSCFOLIO@1.1001:docpropproject">
    <vt:lpwstr/>
  </property>
</Properties>
</file>