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9.xml" ContentType="application/vnd.openxmlformats-officedocument.themeOverrid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10.xml" ContentType="application/vnd.openxmlformats-officedocument.themeOverrid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1.xml" ContentType="application/vnd.openxmlformats-officedocument.themeOverrid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3.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4.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12.xml" ContentType="application/vnd.openxmlformats-officedocument.themeOverride+xml"/>
  <Override PartName="/word/charts/chart35.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13.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09720558"/>
        <w:placeholder>
          <w:docPart w:val="4CFA9320A03148E98EF733F7A917AECF"/>
        </w:placeholder>
      </w:sdtPr>
      <w:sdtContent>
        <w:p w14:paraId="12D0BE3D" w14:textId="43387147" w:rsidR="00196D31" w:rsidRDefault="006C125B" w:rsidP="00FF5DA3">
          <w:pPr>
            <w:pStyle w:val="Nzov"/>
            <w:spacing w:before="4800"/>
          </w:pPr>
          <w:r>
            <w:t xml:space="preserve">STANOVISKO </w:t>
          </w:r>
          <w:r>
            <w:br/>
            <w:t xml:space="preserve">najvyššieho kontrolného úradu sr k návrhu štátneho rozpočtu sr na rok </w:t>
          </w:r>
          <w:r w:rsidRPr="009A64E6">
            <w:t>202</w:t>
          </w:r>
          <w:r w:rsidR="00AD186F">
            <w:t>5</w:t>
          </w:r>
        </w:p>
      </w:sdtContent>
    </w:sdt>
    <w:p w14:paraId="6D1ED517" w14:textId="77777777" w:rsidR="00F539EB" w:rsidRDefault="00F539EB" w:rsidP="00FF5DA3">
      <w:pPr>
        <w:pStyle w:val="Podtitul"/>
        <w:spacing w:after="1200"/>
      </w:pPr>
    </w:p>
    <w:p w14:paraId="427B3189" w14:textId="4F4B93D7" w:rsidR="00F071B7" w:rsidRDefault="00AD186F" w:rsidP="00F071B7">
      <w:pPr>
        <w:jc w:val="center"/>
        <w:rPr>
          <w:b/>
          <w:color w:val="314364" w:themeColor="text2"/>
          <w:sz w:val="32"/>
          <w:szCs w:val="32"/>
        </w:rPr>
      </w:pPr>
      <w:r>
        <w:rPr>
          <w:b/>
          <w:color w:val="314364" w:themeColor="text2"/>
          <w:sz w:val="32"/>
          <w:szCs w:val="32"/>
        </w:rPr>
        <w:t>November</w:t>
      </w:r>
      <w:r w:rsidR="00F071B7" w:rsidRPr="00FF5DA3">
        <w:rPr>
          <w:b/>
          <w:color w:val="314364" w:themeColor="text2"/>
          <w:sz w:val="32"/>
          <w:szCs w:val="32"/>
        </w:rPr>
        <w:t xml:space="preserve"> </w:t>
      </w:r>
      <w:r w:rsidR="00F071B7">
        <w:rPr>
          <w:b/>
          <w:color w:val="314364" w:themeColor="text2"/>
          <w:sz w:val="32"/>
          <w:szCs w:val="32"/>
        </w:rPr>
        <w:t>202</w:t>
      </w:r>
      <w:r>
        <w:rPr>
          <w:b/>
          <w:color w:val="314364" w:themeColor="text2"/>
          <w:sz w:val="32"/>
          <w:szCs w:val="32"/>
        </w:rPr>
        <w:t>4</w:t>
      </w:r>
    </w:p>
    <w:p w14:paraId="0B2834C2" w14:textId="77777777" w:rsidR="00F071B7" w:rsidRDefault="00F071B7" w:rsidP="00F071B7">
      <w:pPr>
        <w:jc w:val="center"/>
        <w:rPr>
          <w:b/>
          <w:color w:val="314364" w:themeColor="text2"/>
          <w:sz w:val="32"/>
          <w:szCs w:val="32"/>
        </w:rPr>
      </w:pPr>
    </w:p>
    <w:p w14:paraId="207C9DBE" w14:textId="77777777" w:rsidR="00F071B7" w:rsidRDefault="00F071B7" w:rsidP="00F071B7">
      <w:pPr>
        <w:jc w:val="center"/>
        <w:rPr>
          <w:b/>
          <w:color w:val="314364" w:themeColor="text2"/>
          <w:sz w:val="32"/>
          <w:szCs w:val="32"/>
        </w:rPr>
      </w:pPr>
    </w:p>
    <w:p w14:paraId="67BC3C64" w14:textId="77777777" w:rsidR="00F071B7" w:rsidRDefault="00F071B7" w:rsidP="00F071B7">
      <w:pPr>
        <w:jc w:val="center"/>
        <w:rPr>
          <w:b/>
          <w:color w:val="314364" w:themeColor="text2"/>
          <w:sz w:val="32"/>
          <w:szCs w:val="32"/>
        </w:rPr>
      </w:pPr>
    </w:p>
    <w:p w14:paraId="3B65B546" w14:textId="77777777" w:rsidR="00F071B7" w:rsidRDefault="00F071B7" w:rsidP="00F071B7">
      <w:pPr>
        <w:jc w:val="center"/>
        <w:rPr>
          <w:b/>
          <w:color w:val="314364" w:themeColor="text2"/>
          <w:sz w:val="32"/>
          <w:szCs w:val="32"/>
        </w:rPr>
      </w:pPr>
    </w:p>
    <w:p w14:paraId="2E9319C2" w14:textId="6E5666E2" w:rsidR="00F81151" w:rsidRDefault="00F81151" w:rsidP="00F81151">
      <w:pPr>
        <w:tabs>
          <w:tab w:val="left" w:pos="3615"/>
        </w:tabs>
        <w:rPr>
          <w:sz w:val="32"/>
          <w:szCs w:val="32"/>
        </w:rPr>
      </w:pPr>
      <w:r>
        <w:rPr>
          <w:sz w:val="32"/>
          <w:szCs w:val="32"/>
        </w:rPr>
        <w:tab/>
      </w:r>
    </w:p>
    <w:p w14:paraId="0AE2ECA2" w14:textId="66357726" w:rsidR="00F071B7" w:rsidRPr="00F81151" w:rsidRDefault="00F81151" w:rsidP="00AD186F">
      <w:pPr>
        <w:tabs>
          <w:tab w:val="left" w:pos="3615"/>
          <w:tab w:val="center" w:pos="4535"/>
        </w:tabs>
        <w:rPr>
          <w:sz w:val="32"/>
          <w:szCs w:val="32"/>
        </w:rPr>
        <w:sectPr w:rsidR="00F071B7" w:rsidRPr="00F81151" w:rsidSect="00A9226D">
          <w:headerReference w:type="default" r:id="rId8"/>
          <w:footerReference w:type="default" r:id="rId9"/>
          <w:pgSz w:w="11906" w:h="16838" w:code="9"/>
          <w:pgMar w:top="1985" w:right="1418" w:bottom="1134" w:left="1418" w:header="0" w:footer="284" w:gutter="0"/>
          <w:cols w:space="708"/>
          <w:docGrid w:linePitch="360"/>
        </w:sectPr>
      </w:pPr>
      <w:r>
        <w:rPr>
          <w:sz w:val="32"/>
          <w:szCs w:val="32"/>
        </w:rPr>
        <w:tab/>
      </w:r>
      <w:r w:rsidR="00BB1B27">
        <w:rPr>
          <w:sz w:val="32"/>
          <w:szCs w:val="32"/>
        </w:rPr>
        <w:tab/>
      </w:r>
      <w:r w:rsidR="00AD186F">
        <w:rPr>
          <w:sz w:val="32"/>
          <w:szCs w:val="32"/>
        </w:rPr>
        <w:tab/>
      </w:r>
    </w:p>
    <w:sdt>
      <w:sdtPr>
        <w:rPr>
          <w:rFonts w:eastAsiaTheme="minorHAnsi" w:cs="Segoe UI"/>
          <w:color w:val="auto"/>
          <w:sz w:val="20"/>
          <w:szCs w:val="22"/>
          <w:lang w:eastAsia="en-US"/>
        </w:rPr>
        <w:id w:val="1304823830"/>
        <w:docPartObj>
          <w:docPartGallery w:val="Table of Contents"/>
          <w:docPartUnique/>
        </w:docPartObj>
      </w:sdtPr>
      <w:sdtEndPr>
        <w:rPr>
          <w:rFonts w:cstheme="minorBidi"/>
          <w:b/>
          <w:bCs/>
        </w:rPr>
      </w:sdtEndPr>
      <w:sdtContent>
        <w:p w14:paraId="5C4FE225" w14:textId="77777777" w:rsidR="00F071B7" w:rsidRPr="0052700B" w:rsidRDefault="00F071B7" w:rsidP="00F071B7">
          <w:pPr>
            <w:pStyle w:val="Hlavikaobsahu"/>
            <w:rPr>
              <w:rFonts w:cs="Segoe UI"/>
            </w:rPr>
          </w:pPr>
          <w:r w:rsidRPr="0052700B">
            <w:rPr>
              <w:rFonts w:cs="Segoe UI"/>
            </w:rPr>
            <w:t>Obsah</w:t>
          </w:r>
        </w:p>
        <w:p w14:paraId="7D9DB593" w14:textId="58A5F753" w:rsidR="0052700B" w:rsidRPr="0052700B" w:rsidRDefault="006C125B">
          <w:pPr>
            <w:pStyle w:val="Obsah1"/>
            <w:rPr>
              <w:rFonts w:ascii="Segoe UI" w:eastAsiaTheme="minorEastAsia" w:hAnsi="Segoe UI" w:cs="Segoe UI"/>
              <w:b w:val="0"/>
              <w:bCs w:val="0"/>
              <w:caps w:val="0"/>
              <w:color w:val="auto"/>
              <w:sz w:val="22"/>
              <w:szCs w:val="22"/>
              <w:lang w:eastAsia="sk-SK"/>
            </w:rPr>
          </w:pPr>
          <w:r w:rsidRPr="0052700B">
            <w:rPr>
              <w:rFonts w:ascii="Segoe UI" w:hAnsi="Segoe UI" w:cs="Segoe UI"/>
            </w:rPr>
            <w:fldChar w:fldCharType="begin"/>
          </w:r>
          <w:r w:rsidRPr="0052700B">
            <w:rPr>
              <w:rFonts w:ascii="Segoe UI" w:hAnsi="Segoe UI" w:cs="Segoe UI"/>
            </w:rPr>
            <w:instrText xml:space="preserve"> TOC \o "1-3" \h \z \u </w:instrText>
          </w:r>
          <w:r w:rsidRPr="0052700B">
            <w:rPr>
              <w:rFonts w:ascii="Segoe UI" w:hAnsi="Segoe UI" w:cs="Segoe UI"/>
            </w:rPr>
            <w:fldChar w:fldCharType="separate"/>
          </w:r>
          <w:hyperlink w:anchor="_Toc182559171" w:history="1">
            <w:r w:rsidR="0052700B" w:rsidRPr="0052700B">
              <w:rPr>
                <w:rStyle w:val="Hypertextovprepojenie"/>
                <w:rFonts w:cs="Segoe UI"/>
              </w:rPr>
              <w:t>Zhrnutie</w:t>
            </w:r>
            <w:r w:rsidR="0052700B" w:rsidRPr="0052700B">
              <w:rPr>
                <w:rFonts w:ascii="Segoe UI" w:hAnsi="Segoe UI" w:cs="Segoe UI"/>
                <w:webHidden/>
              </w:rPr>
              <w:tab/>
            </w:r>
            <w:r w:rsidR="0052700B" w:rsidRPr="0052700B">
              <w:rPr>
                <w:rFonts w:ascii="Segoe UI" w:hAnsi="Segoe UI" w:cs="Segoe UI"/>
                <w:webHidden/>
              </w:rPr>
              <w:fldChar w:fldCharType="begin"/>
            </w:r>
            <w:r w:rsidR="0052700B" w:rsidRPr="0052700B">
              <w:rPr>
                <w:rFonts w:ascii="Segoe UI" w:hAnsi="Segoe UI" w:cs="Segoe UI"/>
                <w:webHidden/>
              </w:rPr>
              <w:instrText xml:space="preserve"> PAGEREF _Toc182559171 \h </w:instrText>
            </w:r>
            <w:r w:rsidR="0052700B" w:rsidRPr="0052700B">
              <w:rPr>
                <w:rFonts w:ascii="Segoe UI" w:hAnsi="Segoe UI" w:cs="Segoe UI"/>
                <w:webHidden/>
              </w:rPr>
            </w:r>
            <w:r w:rsidR="0052700B" w:rsidRPr="0052700B">
              <w:rPr>
                <w:rFonts w:ascii="Segoe UI" w:hAnsi="Segoe UI" w:cs="Segoe UI"/>
                <w:webHidden/>
              </w:rPr>
              <w:fldChar w:fldCharType="separate"/>
            </w:r>
            <w:r w:rsidR="003F23CE">
              <w:rPr>
                <w:rFonts w:ascii="Segoe UI" w:hAnsi="Segoe UI" w:cs="Segoe UI"/>
                <w:webHidden/>
              </w:rPr>
              <w:t>4</w:t>
            </w:r>
            <w:r w:rsidR="0052700B" w:rsidRPr="0052700B">
              <w:rPr>
                <w:rFonts w:ascii="Segoe UI" w:hAnsi="Segoe UI" w:cs="Segoe UI"/>
                <w:webHidden/>
              </w:rPr>
              <w:fldChar w:fldCharType="end"/>
            </w:r>
          </w:hyperlink>
        </w:p>
        <w:p w14:paraId="264BB2A7" w14:textId="6B71E4EE" w:rsidR="0052700B" w:rsidRPr="0052700B" w:rsidRDefault="0052700B">
          <w:pPr>
            <w:pStyle w:val="Obsah1"/>
            <w:rPr>
              <w:rFonts w:ascii="Segoe UI" w:eastAsiaTheme="minorEastAsia" w:hAnsi="Segoe UI" w:cs="Segoe UI"/>
              <w:b w:val="0"/>
              <w:bCs w:val="0"/>
              <w:caps w:val="0"/>
              <w:color w:val="auto"/>
              <w:sz w:val="22"/>
              <w:szCs w:val="22"/>
              <w:lang w:eastAsia="sk-SK"/>
            </w:rPr>
          </w:pPr>
          <w:hyperlink w:anchor="_Toc182559172" w:history="1">
            <w:r w:rsidRPr="0052700B">
              <w:rPr>
                <w:rStyle w:val="Hypertextovprepojenie"/>
                <w:rFonts w:cs="Segoe UI"/>
              </w:rPr>
              <w:t>1</w:t>
            </w:r>
            <w:r w:rsidRPr="0052700B">
              <w:rPr>
                <w:rFonts w:ascii="Segoe UI" w:eastAsiaTheme="minorEastAsia" w:hAnsi="Segoe UI" w:cs="Segoe UI"/>
                <w:b w:val="0"/>
                <w:bCs w:val="0"/>
                <w:caps w:val="0"/>
                <w:color w:val="auto"/>
                <w:sz w:val="22"/>
                <w:szCs w:val="22"/>
                <w:lang w:eastAsia="sk-SK"/>
              </w:rPr>
              <w:tab/>
            </w:r>
            <w:r w:rsidRPr="0052700B">
              <w:rPr>
                <w:rStyle w:val="Hypertextovprepojenie"/>
                <w:rFonts w:cs="Segoe UI"/>
              </w:rPr>
              <w:t>Makroekonomické predpoklady rozpočtu</w:t>
            </w:r>
            <w:r w:rsidRPr="0052700B">
              <w:rPr>
                <w:rFonts w:ascii="Segoe UI" w:hAnsi="Segoe UI" w:cs="Segoe UI"/>
                <w:webHidden/>
              </w:rPr>
              <w:tab/>
            </w:r>
            <w:r w:rsidRPr="0052700B">
              <w:rPr>
                <w:rFonts w:ascii="Segoe UI" w:hAnsi="Segoe UI" w:cs="Segoe UI"/>
                <w:webHidden/>
              </w:rPr>
              <w:fldChar w:fldCharType="begin"/>
            </w:r>
            <w:r w:rsidRPr="0052700B">
              <w:rPr>
                <w:rFonts w:ascii="Segoe UI" w:hAnsi="Segoe UI" w:cs="Segoe UI"/>
                <w:webHidden/>
              </w:rPr>
              <w:instrText xml:space="preserve"> PAGEREF _Toc182559172 \h </w:instrText>
            </w:r>
            <w:r w:rsidRPr="0052700B">
              <w:rPr>
                <w:rFonts w:ascii="Segoe UI" w:hAnsi="Segoe UI" w:cs="Segoe UI"/>
                <w:webHidden/>
              </w:rPr>
            </w:r>
            <w:r w:rsidRPr="0052700B">
              <w:rPr>
                <w:rFonts w:ascii="Segoe UI" w:hAnsi="Segoe UI" w:cs="Segoe UI"/>
                <w:webHidden/>
              </w:rPr>
              <w:fldChar w:fldCharType="separate"/>
            </w:r>
            <w:r w:rsidR="003F23CE">
              <w:rPr>
                <w:rFonts w:ascii="Segoe UI" w:hAnsi="Segoe UI" w:cs="Segoe UI"/>
                <w:webHidden/>
              </w:rPr>
              <w:t>7</w:t>
            </w:r>
            <w:r w:rsidRPr="0052700B">
              <w:rPr>
                <w:rFonts w:ascii="Segoe UI" w:hAnsi="Segoe UI" w:cs="Segoe UI"/>
                <w:webHidden/>
              </w:rPr>
              <w:fldChar w:fldCharType="end"/>
            </w:r>
          </w:hyperlink>
        </w:p>
        <w:p w14:paraId="41117A06" w14:textId="42011AD1" w:rsidR="0052700B" w:rsidRPr="0052700B" w:rsidRDefault="0052700B">
          <w:pPr>
            <w:pStyle w:val="Obsah1"/>
            <w:rPr>
              <w:rFonts w:ascii="Segoe UI" w:eastAsiaTheme="minorEastAsia" w:hAnsi="Segoe UI" w:cs="Segoe UI"/>
              <w:b w:val="0"/>
              <w:bCs w:val="0"/>
              <w:caps w:val="0"/>
              <w:color w:val="auto"/>
              <w:sz w:val="22"/>
              <w:szCs w:val="22"/>
              <w:lang w:eastAsia="sk-SK"/>
            </w:rPr>
          </w:pPr>
          <w:hyperlink w:anchor="_Toc182559173" w:history="1">
            <w:r w:rsidRPr="0052700B">
              <w:rPr>
                <w:rStyle w:val="Hypertextovprepojenie"/>
                <w:rFonts w:cs="Segoe UI"/>
              </w:rPr>
              <w:t>2</w:t>
            </w:r>
            <w:r w:rsidRPr="0052700B">
              <w:rPr>
                <w:rFonts w:ascii="Segoe UI" w:eastAsiaTheme="minorEastAsia" w:hAnsi="Segoe UI" w:cs="Segoe UI"/>
                <w:b w:val="0"/>
                <w:bCs w:val="0"/>
                <w:caps w:val="0"/>
                <w:color w:val="auto"/>
                <w:sz w:val="22"/>
                <w:szCs w:val="22"/>
                <w:lang w:eastAsia="sk-SK"/>
              </w:rPr>
              <w:tab/>
            </w:r>
            <w:r w:rsidRPr="0052700B">
              <w:rPr>
                <w:rStyle w:val="Hypertextovprepojenie"/>
                <w:rFonts w:cs="Segoe UI"/>
              </w:rPr>
              <w:t>Východiskový rámec návrhu RVS</w:t>
            </w:r>
            <w:r w:rsidRPr="0052700B">
              <w:rPr>
                <w:rFonts w:ascii="Segoe UI" w:hAnsi="Segoe UI" w:cs="Segoe UI"/>
                <w:webHidden/>
              </w:rPr>
              <w:tab/>
            </w:r>
            <w:r w:rsidRPr="0052700B">
              <w:rPr>
                <w:rFonts w:ascii="Segoe UI" w:hAnsi="Segoe UI" w:cs="Segoe UI"/>
                <w:webHidden/>
              </w:rPr>
              <w:fldChar w:fldCharType="begin"/>
            </w:r>
            <w:r w:rsidRPr="0052700B">
              <w:rPr>
                <w:rFonts w:ascii="Segoe UI" w:hAnsi="Segoe UI" w:cs="Segoe UI"/>
                <w:webHidden/>
              </w:rPr>
              <w:instrText xml:space="preserve"> PAGEREF _Toc182559173 \h </w:instrText>
            </w:r>
            <w:r w:rsidRPr="0052700B">
              <w:rPr>
                <w:rFonts w:ascii="Segoe UI" w:hAnsi="Segoe UI" w:cs="Segoe UI"/>
                <w:webHidden/>
              </w:rPr>
            </w:r>
            <w:r w:rsidRPr="0052700B">
              <w:rPr>
                <w:rFonts w:ascii="Segoe UI" w:hAnsi="Segoe UI" w:cs="Segoe UI"/>
                <w:webHidden/>
              </w:rPr>
              <w:fldChar w:fldCharType="separate"/>
            </w:r>
            <w:r w:rsidR="003F23CE">
              <w:rPr>
                <w:rFonts w:ascii="Segoe UI" w:hAnsi="Segoe UI" w:cs="Segoe UI"/>
                <w:webHidden/>
              </w:rPr>
              <w:t>9</w:t>
            </w:r>
            <w:r w:rsidRPr="0052700B">
              <w:rPr>
                <w:rFonts w:ascii="Segoe UI" w:hAnsi="Segoe UI" w:cs="Segoe UI"/>
                <w:webHidden/>
              </w:rPr>
              <w:fldChar w:fldCharType="end"/>
            </w:r>
          </w:hyperlink>
        </w:p>
        <w:p w14:paraId="56830B59" w14:textId="111A6037" w:rsidR="0052700B" w:rsidRPr="0052700B" w:rsidRDefault="0052700B">
          <w:pPr>
            <w:pStyle w:val="Obsah2"/>
            <w:tabs>
              <w:tab w:val="left" w:pos="800"/>
              <w:tab w:val="right" w:leader="dot" w:pos="9060"/>
            </w:tabs>
            <w:rPr>
              <w:rFonts w:ascii="Segoe UI" w:eastAsiaTheme="minorEastAsia" w:hAnsi="Segoe UI" w:cs="Segoe UI"/>
              <w:smallCaps w:val="0"/>
              <w:noProof/>
              <w:sz w:val="22"/>
              <w:szCs w:val="22"/>
              <w:lang w:eastAsia="sk-SK"/>
            </w:rPr>
          </w:pPr>
          <w:hyperlink w:anchor="_Toc182559174" w:history="1">
            <w:r w:rsidRPr="0052700B">
              <w:rPr>
                <w:rStyle w:val="Hypertextovprepojenie"/>
                <w:rFonts w:cs="Segoe UI"/>
                <w:noProof/>
              </w:rPr>
              <w:t>2.1</w:t>
            </w:r>
            <w:r w:rsidRPr="0052700B">
              <w:rPr>
                <w:rFonts w:ascii="Segoe UI" w:eastAsiaTheme="minorEastAsia" w:hAnsi="Segoe UI" w:cs="Segoe UI"/>
                <w:smallCaps w:val="0"/>
                <w:noProof/>
                <w:sz w:val="22"/>
                <w:szCs w:val="22"/>
                <w:lang w:eastAsia="sk-SK"/>
              </w:rPr>
              <w:tab/>
            </w:r>
            <w:r w:rsidRPr="0052700B">
              <w:rPr>
                <w:rStyle w:val="Hypertextovprepojenie"/>
                <w:rFonts w:cs="Segoe UI"/>
                <w:noProof/>
              </w:rPr>
              <w:t>Daňové a odvodové príjmy VS</w:t>
            </w:r>
            <w:r w:rsidRPr="0052700B">
              <w:rPr>
                <w:rFonts w:ascii="Segoe UI" w:hAnsi="Segoe UI" w:cs="Segoe UI"/>
                <w:noProof/>
                <w:webHidden/>
              </w:rPr>
              <w:tab/>
            </w:r>
            <w:r w:rsidRPr="0052700B">
              <w:rPr>
                <w:rFonts w:ascii="Segoe UI" w:hAnsi="Segoe UI" w:cs="Segoe UI"/>
                <w:noProof/>
                <w:webHidden/>
              </w:rPr>
              <w:fldChar w:fldCharType="begin"/>
            </w:r>
            <w:r w:rsidRPr="0052700B">
              <w:rPr>
                <w:rFonts w:ascii="Segoe UI" w:hAnsi="Segoe UI" w:cs="Segoe UI"/>
                <w:noProof/>
                <w:webHidden/>
              </w:rPr>
              <w:instrText xml:space="preserve"> PAGEREF _Toc182559174 \h </w:instrText>
            </w:r>
            <w:r w:rsidRPr="0052700B">
              <w:rPr>
                <w:rFonts w:ascii="Segoe UI" w:hAnsi="Segoe UI" w:cs="Segoe UI"/>
                <w:noProof/>
                <w:webHidden/>
              </w:rPr>
            </w:r>
            <w:r w:rsidRPr="0052700B">
              <w:rPr>
                <w:rFonts w:ascii="Segoe UI" w:hAnsi="Segoe UI" w:cs="Segoe UI"/>
                <w:noProof/>
                <w:webHidden/>
              </w:rPr>
              <w:fldChar w:fldCharType="separate"/>
            </w:r>
            <w:r w:rsidR="003F23CE">
              <w:rPr>
                <w:rFonts w:ascii="Segoe UI" w:hAnsi="Segoe UI" w:cs="Segoe UI"/>
                <w:noProof/>
                <w:webHidden/>
              </w:rPr>
              <w:t>10</w:t>
            </w:r>
            <w:r w:rsidRPr="0052700B">
              <w:rPr>
                <w:rFonts w:ascii="Segoe UI" w:hAnsi="Segoe UI" w:cs="Segoe UI"/>
                <w:noProof/>
                <w:webHidden/>
              </w:rPr>
              <w:fldChar w:fldCharType="end"/>
            </w:r>
          </w:hyperlink>
        </w:p>
        <w:p w14:paraId="7C5746FF" w14:textId="1588167F" w:rsidR="0052700B" w:rsidRPr="0052700B" w:rsidRDefault="0052700B">
          <w:pPr>
            <w:pStyle w:val="Obsah3"/>
            <w:tabs>
              <w:tab w:val="left" w:pos="1200"/>
              <w:tab w:val="right" w:leader="dot" w:pos="9060"/>
            </w:tabs>
            <w:rPr>
              <w:rFonts w:ascii="Segoe UI" w:eastAsiaTheme="minorEastAsia" w:hAnsi="Segoe UI" w:cs="Segoe UI"/>
              <w:i w:val="0"/>
              <w:iCs w:val="0"/>
              <w:noProof/>
              <w:sz w:val="22"/>
              <w:szCs w:val="22"/>
              <w:lang w:eastAsia="sk-SK"/>
            </w:rPr>
          </w:pPr>
          <w:hyperlink w:anchor="_Toc182559175" w:history="1">
            <w:r w:rsidRPr="0052700B">
              <w:rPr>
                <w:rStyle w:val="Hypertextovprepojenie"/>
                <w:rFonts w:cs="Segoe UI"/>
                <w:noProof/>
              </w:rPr>
              <w:t>2.1.1</w:t>
            </w:r>
            <w:r w:rsidRPr="0052700B">
              <w:rPr>
                <w:rFonts w:ascii="Segoe UI" w:eastAsiaTheme="minorEastAsia" w:hAnsi="Segoe UI" w:cs="Segoe UI"/>
                <w:i w:val="0"/>
                <w:iCs w:val="0"/>
                <w:noProof/>
                <w:sz w:val="22"/>
                <w:szCs w:val="22"/>
                <w:lang w:eastAsia="sk-SK"/>
              </w:rPr>
              <w:tab/>
            </w:r>
            <w:r w:rsidRPr="0052700B">
              <w:rPr>
                <w:rStyle w:val="Hypertextovprepojenie"/>
                <w:rFonts w:cs="Segoe UI"/>
                <w:noProof/>
              </w:rPr>
              <w:t>Konsolidačné opatrenia</w:t>
            </w:r>
            <w:r w:rsidRPr="0052700B">
              <w:rPr>
                <w:rFonts w:ascii="Segoe UI" w:hAnsi="Segoe UI" w:cs="Segoe UI"/>
                <w:noProof/>
                <w:webHidden/>
              </w:rPr>
              <w:tab/>
            </w:r>
            <w:r w:rsidRPr="0052700B">
              <w:rPr>
                <w:rFonts w:ascii="Segoe UI" w:hAnsi="Segoe UI" w:cs="Segoe UI"/>
                <w:noProof/>
                <w:webHidden/>
              </w:rPr>
              <w:fldChar w:fldCharType="begin"/>
            </w:r>
            <w:r w:rsidRPr="0052700B">
              <w:rPr>
                <w:rFonts w:ascii="Segoe UI" w:hAnsi="Segoe UI" w:cs="Segoe UI"/>
                <w:noProof/>
                <w:webHidden/>
              </w:rPr>
              <w:instrText xml:space="preserve"> PAGEREF _Toc182559175 \h </w:instrText>
            </w:r>
            <w:r w:rsidRPr="0052700B">
              <w:rPr>
                <w:rFonts w:ascii="Segoe UI" w:hAnsi="Segoe UI" w:cs="Segoe UI"/>
                <w:noProof/>
                <w:webHidden/>
              </w:rPr>
            </w:r>
            <w:r w:rsidRPr="0052700B">
              <w:rPr>
                <w:rFonts w:ascii="Segoe UI" w:hAnsi="Segoe UI" w:cs="Segoe UI"/>
                <w:noProof/>
                <w:webHidden/>
              </w:rPr>
              <w:fldChar w:fldCharType="separate"/>
            </w:r>
            <w:r w:rsidR="003F23CE">
              <w:rPr>
                <w:rFonts w:ascii="Segoe UI" w:hAnsi="Segoe UI" w:cs="Segoe UI"/>
                <w:noProof/>
                <w:webHidden/>
              </w:rPr>
              <w:t>10</w:t>
            </w:r>
            <w:r w:rsidRPr="0052700B">
              <w:rPr>
                <w:rFonts w:ascii="Segoe UI" w:hAnsi="Segoe UI" w:cs="Segoe UI"/>
                <w:noProof/>
                <w:webHidden/>
              </w:rPr>
              <w:fldChar w:fldCharType="end"/>
            </w:r>
          </w:hyperlink>
        </w:p>
        <w:p w14:paraId="3B4B9388" w14:textId="7645250A" w:rsidR="0052700B" w:rsidRPr="0052700B" w:rsidRDefault="0052700B">
          <w:pPr>
            <w:pStyle w:val="Obsah3"/>
            <w:tabs>
              <w:tab w:val="left" w:pos="1200"/>
              <w:tab w:val="right" w:leader="dot" w:pos="9060"/>
            </w:tabs>
            <w:rPr>
              <w:rFonts w:ascii="Segoe UI" w:eastAsiaTheme="minorEastAsia" w:hAnsi="Segoe UI" w:cs="Segoe UI"/>
              <w:i w:val="0"/>
              <w:iCs w:val="0"/>
              <w:noProof/>
              <w:sz w:val="22"/>
              <w:szCs w:val="22"/>
              <w:lang w:eastAsia="sk-SK"/>
            </w:rPr>
          </w:pPr>
          <w:hyperlink w:anchor="_Toc182559176" w:history="1">
            <w:r w:rsidRPr="0052700B">
              <w:rPr>
                <w:rStyle w:val="Hypertextovprepojenie"/>
                <w:rFonts w:cs="Segoe UI"/>
                <w:noProof/>
              </w:rPr>
              <w:t>2.1.2</w:t>
            </w:r>
            <w:r w:rsidRPr="0052700B">
              <w:rPr>
                <w:rFonts w:ascii="Segoe UI" w:eastAsiaTheme="minorEastAsia" w:hAnsi="Segoe UI" w:cs="Segoe UI"/>
                <w:i w:val="0"/>
                <w:iCs w:val="0"/>
                <w:noProof/>
                <w:sz w:val="22"/>
                <w:szCs w:val="22"/>
                <w:lang w:eastAsia="sk-SK"/>
              </w:rPr>
              <w:tab/>
            </w:r>
            <w:r w:rsidRPr="0052700B">
              <w:rPr>
                <w:rStyle w:val="Hypertextovprepojenie"/>
                <w:rFonts w:cs="Segoe UI"/>
                <w:noProof/>
              </w:rPr>
              <w:t>Zdravotné odvody</w:t>
            </w:r>
            <w:r w:rsidRPr="0052700B">
              <w:rPr>
                <w:rFonts w:ascii="Segoe UI" w:hAnsi="Segoe UI" w:cs="Segoe UI"/>
                <w:noProof/>
                <w:webHidden/>
              </w:rPr>
              <w:tab/>
            </w:r>
            <w:r w:rsidRPr="0052700B">
              <w:rPr>
                <w:rFonts w:ascii="Segoe UI" w:hAnsi="Segoe UI" w:cs="Segoe UI"/>
                <w:noProof/>
                <w:webHidden/>
              </w:rPr>
              <w:fldChar w:fldCharType="begin"/>
            </w:r>
            <w:r w:rsidRPr="0052700B">
              <w:rPr>
                <w:rFonts w:ascii="Segoe UI" w:hAnsi="Segoe UI" w:cs="Segoe UI"/>
                <w:noProof/>
                <w:webHidden/>
              </w:rPr>
              <w:instrText xml:space="preserve"> PAGEREF _Toc182559176 \h </w:instrText>
            </w:r>
            <w:r w:rsidRPr="0052700B">
              <w:rPr>
                <w:rFonts w:ascii="Segoe UI" w:hAnsi="Segoe UI" w:cs="Segoe UI"/>
                <w:noProof/>
                <w:webHidden/>
              </w:rPr>
            </w:r>
            <w:r w:rsidRPr="0052700B">
              <w:rPr>
                <w:rFonts w:ascii="Segoe UI" w:hAnsi="Segoe UI" w:cs="Segoe UI"/>
                <w:noProof/>
                <w:webHidden/>
              </w:rPr>
              <w:fldChar w:fldCharType="separate"/>
            </w:r>
            <w:r w:rsidR="003F23CE">
              <w:rPr>
                <w:rFonts w:ascii="Segoe UI" w:hAnsi="Segoe UI" w:cs="Segoe UI"/>
                <w:noProof/>
                <w:webHidden/>
              </w:rPr>
              <w:t>13</w:t>
            </w:r>
            <w:r w:rsidRPr="0052700B">
              <w:rPr>
                <w:rFonts w:ascii="Segoe UI" w:hAnsi="Segoe UI" w:cs="Segoe UI"/>
                <w:noProof/>
                <w:webHidden/>
              </w:rPr>
              <w:fldChar w:fldCharType="end"/>
            </w:r>
          </w:hyperlink>
        </w:p>
        <w:p w14:paraId="5D679BA6" w14:textId="18B28141" w:rsidR="0052700B" w:rsidRPr="0052700B" w:rsidRDefault="0052700B">
          <w:pPr>
            <w:pStyle w:val="Obsah2"/>
            <w:tabs>
              <w:tab w:val="left" w:pos="800"/>
              <w:tab w:val="right" w:leader="dot" w:pos="9060"/>
            </w:tabs>
            <w:rPr>
              <w:rFonts w:ascii="Segoe UI" w:eastAsiaTheme="minorEastAsia" w:hAnsi="Segoe UI" w:cs="Segoe UI"/>
              <w:smallCaps w:val="0"/>
              <w:noProof/>
              <w:sz w:val="22"/>
              <w:szCs w:val="22"/>
              <w:lang w:eastAsia="sk-SK"/>
            </w:rPr>
          </w:pPr>
          <w:hyperlink w:anchor="_Toc182559177" w:history="1">
            <w:r w:rsidRPr="0052700B">
              <w:rPr>
                <w:rStyle w:val="Hypertextovprepojenie"/>
                <w:rFonts w:cs="Segoe UI"/>
                <w:noProof/>
              </w:rPr>
              <w:t>2.2</w:t>
            </w:r>
            <w:r w:rsidRPr="0052700B">
              <w:rPr>
                <w:rFonts w:ascii="Segoe UI" w:eastAsiaTheme="minorEastAsia" w:hAnsi="Segoe UI" w:cs="Segoe UI"/>
                <w:smallCaps w:val="0"/>
                <w:noProof/>
                <w:sz w:val="22"/>
                <w:szCs w:val="22"/>
                <w:lang w:eastAsia="sk-SK"/>
              </w:rPr>
              <w:tab/>
            </w:r>
            <w:r w:rsidRPr="0052700B">
              <w:rPr>
                <w:rStyle w:val="Hypertextovprepojenie"/>
                <w:rFonts w:cs="Segoe UI"/>
                <w:noProof/>
              </w:rPr>
              <w:t>Vybrané výdavky VS</w:t>
            </w:r>
            <w:r w:rsidRPr="0052700B">
              <w:rPr>
                <w:rFonts w:ascii="Segoe UI" w:hAnsi="Segoe UI" w:cs="Segoe UI"/>
                <w:noProof/>
                <w:webHidden/>
              </w:rPr>
              <w:tab/>
            </w:r>
            <w:r w:rsidRPr="0052700B">
              <w:rPr>
                <w:rFonts w:ascii="Segoe UI" w:hAnsi="Segoe UI" w:cs="Segoe UI"/>
                <w:noProof/>
                <w:webHidden/>
              </w:rPr>
              <w:fldChar w:fldCharType="begin"/>
            </w:r>
            <w:r w:rsidRPr="0052700B">
              <w:rPr>
                <w:rFonts w:ascii="Segoe UI" w:hAnsi="Segoe UI" w:cs="Segoe UI"/>
                <w:noProof/>
                <w:webHidden/>
              </w:rPr>
              <w:instrText xml:space="preserve"> PAGEREF _Toc182559177 \h </w:instrText>
            </w:r>
            <w:r w:rsidRPr="0052700B">
              <w:rPr>
                <w:rFonts w:ascii="Segoe UI" w:hAnsi="Segoe UI" w:cs="Segoe UI"/>
                <w:noProof/>
                <w:webHidden/>
              </w:rPr>
            </w:r>
            <w:r w:rsidRPr="0052700B">
              <w:rPr>
                <w:rFonts w:ascii="Segoe UI" w:hAnsi="Segoe UI" w:cs="Segoe UI"/>
                <w:noProof/>
                <w:webHidden/>
              </w:rPr>
              <w:fldChar w:fldCharType="separate"/>
            </w:r>
            <w:r w:rsidR="003F23CE">
              <w:rPr>
                <w:rFonts w:ascii="Segoe UI" w:hAnsi="Segoe UI" w:cs="Segoe UI"/>
                <w:noProof/>
                <w:webHidden/>
              </w:rPr>
              <w:t>14</w:t>
            </w:r>
            <w:r w:rsidRPr="0052700B">
              <w:rPr>
                <w:rFonts w:ascii="Segoe UI" w:hAnsi="Segoe UI" w:cs="Segoe UI"/>
                <w:noProof/>
                <w:webHidden/>
              </w:rPr>
              <w:fldChar w:fldCharType="end"/>
            </w:r>
          </w:hyperlink>
        </w:p>
        <w:p w14:paraId="6ACB27F0" w14:textId="36279A16" w:rsidR="0052700B" w:rsidRPr="0052700B" w:rsidRDefault="0052700B">
          <w:pPr>
            <w:pStyle w:val="Obsah3"/>
            <w:tabs>
              <w:tab w:val="left" w:pos="1200"/>
              <w:tab w:val="right" w:leader="dot" w:pos="9060"/>
            </w:tabs>
            <w:rPr>
              <w:rFonts w:ascii="Segoe UI" w:eastAsiaTheme="minorEastAsia" w:hAnsi="Segoe UI" w:cs="Segoe UI"/>
              <w:i w:val="0"/>
              <w:iCs w:val="0"/>
              <w:noProof/>
              <w:sz w:val="22"/>
              <w:szCs w:val="22"/>
              <w:lang w:eastAsia="sk-SK"/>
            </w:rPr>
          </w:pPr>
          <w:hyperlink w:anchor="_Toc182559178" w:history="1">
            <w:r w:rsidRPr="0052700B">
              <w:rPr>
                <w:rStyle w:val="Hypertextovprepojenie"/>
                <w:rFonts w:cs="Segoe UI"/>
                <w:noProof/>
              </w:rPr>
              <w:t>2.2.1</w:t>
            </w:r>
            <w:r w:rsidRPr="0052700B">
              <w:rPr>
                <w:rFonts w:ascii="Segoe UI" w:eastAsiaTheme="minorEastAsia" w:hAnsi="Segoe UI" w:cs="Segoe UI"/>
                <w:i w:val="0"/>
                <w:iCs w:val="0"/>
                <w:noProof/>
                <w:sz w:val="22"/>
                <w:szCs w:val="22"/>
                <w:lang w:eastAsia="sk-SK"/>
              </w:rPr>
              <w:tab/>
            </w:r>
            <w:r w:rsidRPr="0052700B">
              <w:rPr>
                <w:rStyle w:val="Hypertextovprepojenie"/>
                <w:rFonts w:cs="Segoe UI"/>
                <w:noProof/>
              </w:rPr>
              <w:t>Výdavky na dôchodky</w:t>
            </w:r>
            <w:r w:rsidRPr="0052700B">
              <w:rPr>
                <w:rFonts w:ascii="Segoe UI" w:hAnsi="Segoe UI" w:cs="Segoe UI"/>
                <w:noProof/>
                <w:webHidden/>
              </w:rPr>
              <w:tab/>
            </w:r>
            <w:r w:rsidRPr="0052700B">
              <w:rPr>
                <w:rFonts w:ascii="Segoe UI" w:hAnsi="Segoe UI" w:cs="Segoe UI"/>
                <w:noProof/>
                <w:webHidden/>
              </w:rPr>
              <w:fldChar w:fldCharType="begin"/>
            </w:r>
            <w:r w:rsidRPr="0052700B">
              <w:rPr>
                <w:rFonts w:ascii="Segoe UI" w:hAnsi="Segoe UI" w:cs="Segoe UI"/>
                <w:noProof/>
                <w:webHidden/>
              </w:rPr>
              <w:instrText xml:space="preserve"> PAGEREF _Toc182559178 \h </w:instrText>
            </w:r>
            <w:r w:rsidRPr="0052700B">
              <w:rPr>
                <w:rFonts w:ascii="Segoe UI" w:hAnsi="Segoe UI" w:cs="Segoe UI"/>
                <w:noProof/>
                <w:webHidden/>
              </w:rPr>
            </w:r>
            <w:r w:rsidRPr="0052700B">
              <w:rPr>
                <w:rFonts w:ascii="Segoe UI" w:hAnsi="Segoe UI" w:cs="Segoe UI"/>
                <w:noProof/>
                <w:webHidden/>
              </w:rPr>
              <w:fldChar w:fldCharType="separate"/>
            </w:r>
            <w:r w:rsidR="003F23CE">
              <w:rPr>
                <w:rFonts w:ascii="Segoe UI" w:hAnsi="Segoe UI" w:cs="Segoe UI"/>
                <w:noProof/>
                <w:webHidden/>
              </w:rPr>
              <w:t>14</w:t>
            </w:r>
            <w:r w:rsidRPr="0052700B">
              <w:rPr>
                <w:rFonts w:ascii="Segoe UI" w:hAnsi="Segoe UI" w:cs="Segoe UI"/>
                <w:noProof/>
                <w:webHidden/>
              </w:rPr>
              <w:fldChar w:fldCharType="end"/>
            </w:r>
          </w:hyperlink>
        </w:p>
        <w:p w14:paraId="0EC80CF7" w14:textId="7A301C21" w:rsidR="0052700B" w:rsidRPr="0052700B" w:rsidRDefault="0052700B">
          <w:pPr>
            <w:pStyle w:val="Obsah3"/>
            <w:tabs>
              <w:tab w:val="left" w:pos="1200"/>
              <w:tab w:val="right" w:leader="dot" w:pos="9060"/>
            </w:tabs>
            <w:rPr>
              <w:rFonts w:ascii="Segoe UI" w:eastAsiaTheme="minorEastAsia" w:hAnsi="Segoe UI" w:cs="Segoe UI"/>
              <w:i w:val="0"/>
              <w:iCs w:val="0"/>
              <w:noProof/>
              <w:sz w:val="22"/>
              <w:szCs w:val="22"/>
              <w:lang w:eastAsia="sk-SK"/>
            </w:rPr>
          </w:pPr>
          <w:hyperlink w:anchor="_Toc182559179" w:history="1">
            <w:r w:rsidRPr="0052700B">
              <w:rPr>
                <w:rStyle w:val="Hypertextovprepojenie"/>
                <w:rFonts w:cs="Segoe UI"/>
                <w:noProof/>
              </w:rPr>
              <w:t>2.2.2</w:t>
            </w:r>
            <w:r w:rsidRPr="0052700B">
              <w:rPr>
                <w:rFonts w:ascii="Segoe UI" w:eastAsiaTheme="minorEastAsia" w:hAnsi="Segoe UI" w:cs="Segoe UI"/>
                <w:i w:val="0"/>
                <w:iCs w:val="0"/>
                <w:noProof/>
                <w:sz w:val="22"/>
                <w:szCs w:val="22"/>
                <w:lang w:eastAsia="sk-SK"/>
              </w:rPr>
              <w:tab/>
            </w:r>
            <w:r w:rsidRPr="0052700B">
              <w:rPr>
                <w:rStyle w:val="Hypertextovprepojenie"/>
                <w:rFonts w:cs="Segoe UI"/>
                <w:noProof/>
              </w:rPr>
              <w:t>Výdavky na rodinnú politiku</w:t>
            </w:r>
            <w:r w:rsidRPr="0052700B">
              <w:rPr>
                <w:rFonts w:ascii="Segoe UI" w:hAnsi="Segoe UI" w:cs="Segoe UI"/>
                <w:noProof/>
                <w:webHidden/>
              </w:rPr>
              <w:tab/>
            </w:r>
            <w:r w:rsidRPr="0052700B">
              <w:rPr>
                <w:rFonts w:ascii="Segoe UI" w:hAnsi="Segoe UI" w:cs="Segoe UI"/>
                <w:noProof/>
                <w:webHidden/>
              </w:rPr>
              <w:fldChar w:fldCharType="begin"/>
            </w:r>
            <w:r w:rsidRPr="0052700B">
              <w:rPr>
                <w:rFonts w:ascii="Segoe UI" w:hAnsi="Segoe UI" w:cs="Segoe UI"/>
                <w:noProof/>
                <w:webHidden/>
              </w:rPr>
              <w:instrText xml:space="preserve"> PAGEREF _Toc182559179 \h </w:instrText>
            </w:r>
            <w:r w:rsidRPr="0052700B">
              <w:rPr>
                <w:rFonts w:ascii="Segoe UI" w:hAnsi="Segoe UI" w:cs="Segoe UI"/>
                <w:noProof/>
                <w:webHidden/>
              </w:rPr>
            </w:r>
            <w:r w:rsidRPr="0052700B">
              <w:rPr>
                <w:rFonts w:ascii="Segoe UI" w:hAnsi="Segoe UI" w:cs="Segoe UI"/>
                <w:noProof/>
                <w:webHidden/>
              </w:rPr>
              <w:fldChar w:fldCharType="separate"/>
            </w:r>
            <w:r w:rsidR="003F23CE">
              <w:rPr>
                <w:rFonts w:ascii="Segoe UI" w:hAnsi="Segoe UI" w:cs="Segoe UI"/>
                <w:noProof/>
                <w:webHidden/>
              </w:rPr>
              <w:t>16</w:t>
            </w:r>
            <w:r w:rsidRPr="0052700B">
              <w:rPr>
                <w:rFonts w:ascii="Segoe UI" w:hAnsi="Segoe UI" w:cs="Segoe UI"/>
                <w:noProof/>
                <w:webHidden/>
              </w:rPr>
              <w:fldChar w:fldCharType="end"/>
            </w:r>
          </w:hyperlink>
        </w:p>
        <w:p w14:paraId="2BA60D10" w14:textId="72BAB256" w:rsidR="0052700B" w:rsidRPr="0052700B" w:rsidRDefault="0052700B">
          <w:pPr>
            <w:pStyle w:val="Obsah3"/>
            <w:tabs>
              <w:tab w:val="left" w:pos="1200"/>
              <w:tab w:val="right" w:leader="dot" w:pos="9060"/>
            </w:tabs>
            <w:rPr>
              <w:rFonts w:ascii="Segoe UI" w:eastAsiaTheme="minorEastAsia" w:hAnsi="Segoe UI" w:cs="Segoe UI"/>
              <w:i w:val="0"/>
              <w:iCs w:val="0"/>
              <w:noProof/>
              <w:sz w:val="22"/>
              <w:szCs w:val="22"/>
              <w:lang w:eastAsia="sk-SK"/>
            </w:rPr>
          </w:pPr>
          <w:hyperlink w:anchor="_Toc182559180" w:history="1">
            <w:r w:rsidRPr="0052700B">
              <w:rPr>
                <w:rStyle w:val="Hypertextovprepojenie"/>
                <w:rFonts w:cs="Segoe UI"/>
                <w:noProof/>
              </w:rPr>
              <w:t>2.2.3</w:t>
            </w:r>
            <w:r w:rsidRPr="0052700B">
              <w:rPr>
                <w:rFonts w:ascii="Segoe UI" w:eastAsiaTheme="minorEastAsia" w:hAnsi="Segoe UI" w:cs="Segoe UI"/>
                <w:i w:val="0"/>
                <w:iCs w:val="0"/>
                <w:noProof/>
                <w:sz w:val="22"/>
                <w:szCs w:val="22"/>
                <w:lang w:eastAsia="sk-SK"/>
              </w:rPr>
              <w:tab/>
            </w:r>
            <w:r w:rsidRPr="0052700B">
              <w:rPr>
                <w:rStyle w:val="Hypertextovprepojenie"/>
                <w:rFonts w:cs="Segoe UI"/>
                <w:noProof/>
              </w:rPr>
              <w:t xml:space="preserve">Mzdové </w:t>
            </w:r>
            <w:r w:rsidRPr="0052700B">
              <w:rPr>
                <w:rStyle w:val="Hypertextovprepojenie"/>
                <w:rFonts w:cs="Segoe UI"/>
                <w:noProof/>
              </w:rPr>
              <w:t>v</w:t>
            </w:r>
            <w:r w:rsidRPr="0052700B">
              <w:rPr>
                <w:rStyle w:val="Hypertextovprepojenie"/>
                <w:rFonts w:cs="Segoe UI"/>
                <w:noProof/>
              </w:rPr>
              <w:t>ýdavky</w:t>
            </w:r>
            <w:r w:rsidRPr="0052700B">
              <w:rPr>
                <w:rFonts w:ascii="Segoe UI" w:hAnsi="Segoe UI" w:cs="Segoe UI"/>
                <w:noProof/>
                <w:webHidden/>
              </w:rPr>
              <w:tab/>
            </w:r>
            <w:r w:rsidRPr="0052700B">
              <w:rPr>
                <w:rFonts w:ascii="Segoe UI" w:hAnsi="Segoe UI" w:cs="Segoe UI"/>
                <w:noProof/>
                <w:webHidden/>
              </w:rPr>
              <w:fldChar w:fldCharType="begin"/>
            </w:r>
            <w:r w:rsidRPr="0052700B">
              <w:rPr>
                <w:rFonts w:ascii="Segoe UI" w:hAnsi="Segoe UI" w:cs="Segoe UI"/>
                <w:noProof/>
                <w:webHidden/>
              </w:rPr>
              <w:instrText xml:space="preserve"> PAGEREF _Toc182559180 \h </w:instrText>
            </w:r>
            <w:r w:rsidRPr="0052700B">
              <w:rPr>
                <w:rFonts w:ascii="Segoe UI" w:hAnsi="Segoe UI" w:cs="Segoe UI"/>
                <w:noProof/>
                <w:webHidden/>
              </w:rPr>
            </w:r>
            <w:r w:rsidRPr="0052700B">
              <w:rPr>
                <w:rFonts w:ascii="Segoe UI" w:hAnsi="Segoe UI" w:cs="Segoe UI"/>
                <w:noProof/>
                <w:webHidden/>
              </w:rPr>
              <w:fldChar w:fldCharType="separate"/>
            </w:r>
            <w:r w:rsidR="003F23CE">
              <w:rPr>
                <w:rFonts w:ascii="Segoe UI" w:hAnsi="Segoe UI" w:cs="Segoe UI"/>
                <w:noProof/>
                <w:webHidden/>
              </w:rPr>
              <w:t>17</w:t>
            </w:r>
            <w:r w:rsidRPr="0052700B">
              <w:rPr>
                <w:rFonts w:ascii="Segoe UI" w:hAnsi="Segoe UI" w:cs="Segoe UI"/>
                <w:noProof/>
                <w:webHidden/>
              </w:rPr>
              <w:fldChar w:fldCharType="end"/>
            </w:r>
          </w:hyperlink>
        </w:p>
        <w:p w14:paraId="1C4FF488" w14:textId="00F55A3C" w:rsidR="0052700B" w:rsidRPr="0052700B" w:rsidRDefault="0052700B">
          <w:pPr>
            <w:pStyle w:val="Obsah2"/>
            <w:tabs>
              <w:tab w:val="left" w:pos="800"/>
              <w:tab w:val="right" w:leader="dot" w:pos="9060"/>
            </w:tabs>
            <w:rPr>
              <w:rFonts w:ascii="Segoe UI" w:eastAsiaTheme="minorEastAsia" w:hAnsi="Segoe UI" w:cs="Segoe UI"/>
              <w:smallCaps w:val="0"/>
              <w:noProof/>
              <w:sz w:val="22"/>
              <w:szCs w:val="22"/>
              <w:lang w:eastAsia="sk-SK"/>
            </w:rPr>
          </w:pPr>
          <w:hyperlink w:anchor="_Toc182559181" w:history="1">
            <w:r w:rsidRPr="0052700B">
              <w:rPr>
                <w:rStyle w:val="Hypertextovprepojenie"/>
                <w:rFonts w:cs="Segoe UI"/>
                <w:noProof/>
              </w:rPr>
              <w:t>2.3</w:t>
            </w:r>
            <w:r w:rsidRPr="0052700B">
              <w:rPr>
                <w:rFonts w:ascii="Segoe UI" w:eastAsiaTheme="minorEastAsia" w:hAnsi="Segoe UI" w:cs="Segoe UI"/>
                <w:smallCaps w:val="0"/>
                <w:noProof/>
                <w:sz w:val="22"/>
                <w:szCs w:val="22"/>
                <w:lang w:eastAsia="sk-SK"/>
              </w:rPr>
              <w:tab/>
            </w:r>
            <w:r w:rsidRPr="0052700B">
              <w:rPr>
                <w:rStyle w:val="Hypertextovprepojenie"/>
                <w:rFonts w:cs="Segoe UI"/>
                <w:noProof/>
              </w:rPr>
              <w:t>Limit verejných výdavkov</w:t>
            </w:r>
            <w:r w:rsidRPr="0052700B">
              <w:rPr>
                <w:rFonts w:ascii="Segoe UI" w:hAnsi="Segoe UI" w:cs="Segoe UI"/>
                <w:noProof/>
                <w:webHidden/>
              </w:rPr>
              <w:tab/>
            </w:r>
            <w:r w:rsidRPr="0052700B">
              <w:rPr>
                <w:rFonts w:ascii="Segoe UI" w:hAnsi="Segoe UI" w:cs="Segoe UI"/>
                <w:noProof/>
                <w:webHidden/>
              </w:rPr>
              <w:fldChar w:fldCharType="begin"/>
            </w:r>
            <w:r w:rsidRPr="0052700B">
              <w:rPr>
                <w:rFonts w:ascii="Segoe UI" w:hAnsi="Segoe UI" w:cs="Segoe UI"/>
                <w:noProof/>
                <w:webHidden/>
              </w:rPr>
              <w:instrText xml:space="preserve"> PAGEREF _Toc182559181 \h </w:instrText>
            </w:r>
            <w:r w:rsidRPr="0052700B">
              <w:rPr>
                <w:rFonts w:ascii="Segoe UI" w:hAnsi="Segoe UI" w:cs="Segoe UI"/>
                <w:noProof/>
                <w:webHidden/>
              </w:rPr>
            </w:r>
            <w:r w:rsidRPr="0052700B">
              <w:rPr>
                <w:rFonts w:ascii="Segoe UI" w:hAnsi="Segoe UI" w:cs="Segoe UI"/>
                <w:noProof/>
                <w:webHidden/>
              </w:rPr>
              <w:fldChar w:fldCharType="separate"/>
            </w:r>
            <w:r w:rsidR="003F23CE">
              <w:rPr>
                <w:rFonts w:ascii="Segoe UI" w:hAnsi="Segoe UI" w:cs="Segoe UI"/>
                <w:noProof/>
                <w:webHidden/>
              </w:rPr>
              <w:t>18</w:t>
            </w:r>
            <w:r w:rsidRPr="0052700B">
              <w:rPr>
                <w:rFonts w:ascii="Segoe UI" w:hAnsi="Segoe UI" w:cs="Segoe UI"/>
                <w:noProof/>
                <w:webHidden/>
              </w:rPr>
              <w:fldChar w:fldCharType="end"/>
            </w:r>
          </w:hyperlink>
        </w:p>
        <w:p w14:paraId="4264D774" w14:textId="3403C9BA" w:rsidR="0052700B" w:rsidRPr="0052700B" w:rsidRDefault="0052700B">
          <w:pPr>
            <w:pStyle w:val="Obsah2"/>
            <w:tabs>
              <w:tab w:val="left" w:pos="800"/>
              <w:tab w:val="right" w:leader="dot" w:pos="9060"/>
            </w:tabs>
            <w:rPr>
              <w:rFonts w:ascii="Segoe UI" w:eastAsiaTheme="minorEastAsia" w:hAnsi="Segoe UI" w:cs="Segoe UI"/>
              <w:smallCaps w:val="0"/>
              <w:noProof/>
              <w:sz w:val="22"/>
              <w:szCs w:val="22"/>
              <w:lang w:eastAsia="sk-SK"/>
            </w:rPr>
          </w:pPr>
          <w:hyperlink w:anchor="_Toc182559182" w:history="1">
            <w:r w:rsidRPr="0052700B">
              <w:rPr>
                <w:rStyle w:val="Hypertextovprepojenie"/>
                <w:rFonts w:cs="Segoe UI"/>
                <w:noProof/>
              </w:rPr>
              <w:t>2.4</w:t>
            </w:r>
            <w:r w:rsidRPr="0052700B">
              <w:rPr>
                <w:rFonts w:ascii="Segoe UI" w:eastAsiaTheme="minorEastAsia" w:hAnsi="Segoe UI" w:cs="Segoe UI"/>
                <w:smallCaps w:val="0"/>
                <w:noProof/>
                <w:sz w:val="22"/>
                <w:szCs w:val="22"/>
                <w:lang w:eastAsia="sk-SK"/>
              </w:rPr>
              <w:tab/>
            </w:r>
            <w:r w:rsidRPr="0052700B">
              <w:rPr>
                <w:rStyle w:val="Hypertextovprepojenie"/>
                <w:rFonts w:cs="Segoe UI"/>
                <w:noProof/>
              </w:rPr>
              <w:t>Fiškálny rámec návrhu RVS</w:t>
            </w:r>
            <w:r w:rsidRPr="0052700B">
              <w:rPr>
                <w:rFonts w:ascii="Segoe UI" w:hAnsi="Segoe UI" w:cs="Segoe UI"/>
                <w:noProof/>
                <w:webHidden/>
              </w:rPr>
              <w:tab/>
            </w:r>
            <w:r w:rsidRPr="0052700B">
              <w:rPr>
                <w:rFonts w:ascii="Segoe UI" w:hAnsi="Segoe UI" w:cs="Segoe UI"/>
                <w:noProof/>
                <w:webHidden/>
              </w:rPr>
              <w:fldChar w:fldCharType="begin"/>
            </w:r>
            <w:r w:rsidRPr="0052700B">
              <w:rPr>
                <w:rFonts w:ascii="Segoe UI" w:hAnsi="Segoe UI" w:cs="Segoe UI"/>
                <w:noProof/>
                <w:webHidden/>
              </w:rPr>
              <w:instrText xml:space="preserve"> PAGEREF _Toc182559182 \h </w:instrText>
            </w:r>
            <w:r w:rsidRPr="0052700B">
              <w:rPr>
                <w:rFonts w:ascii="Segoe UI" w:hAnsi="Segoe UI" w:cs="Segoe UI"/>
                <w:noProof/>
                <w:webHidden/>
              </w:rPr>
            </w:r>
            <w:r w:rsidRPr="0052700B">
              <w:rPr>
                <w:rFonts w:ascii="Segoe UI" w:hAnsi="Segoe UI" w:cs="Segoe UI"/>
                <w:noProof/>
                <w:webHidden/>
              </w:rPr>
              <w:fldChar w:fldCharType="separate"/>
            </w:r>
            <w:r w:rsidR="003F23CE">
              <w:rPr>
                <w:rFonts w:ascii="Segoe UI" w:hAnsi="Segoe UI" w:cs="Segoe UI"/>
                <w:noProof/>
                <w:webHidden/>
              </w:rPr>
              <w:t>20</w:t>
            </w:r>
            <w:r w:rsidRPr="0052700B">
              <w:rPr>
                <w:rFonts w:ascii="Segoe UI" w:hAnsi="Segoe UI" w:cs="Segoe UI"/>
                <w:noProof/>
                <w:webHidden/>
              </w:rPr>
              <w:fldChar w:fldCharType="end"/>
            </w:r>
          </w:hyperlink>
        </w:p>
        <w:p w14:paraId="31AA5302" w14:textId="19ADE281" w:rsidR="0052700B" w:rsidRPr="0052700B" w:rsidRDefault="0052700B">
          <w:pPr>
            <w:pStyle w:val="Obsah2"/>
            <w:tabs>
              <w:tab w:val="left" w:pos="800"/>
              <w:tab w:val="right" w:leader="dot" w:pos="9060"/>
            </w:tabs>
            <w:rPr>
              <w:rFonts w:ascii="Segoe UI" w:eastAsiaTheme="minorEastAsia" w:hAnsi="Segoe UI" w:cs="Segoe UI"/>
              <w:smallCaps w:val="0"/>
              <w:noProof/>
              <w:sz w:val="22"/>
              <w:szCs w:val="22"/>
              <w:lang w:eastAsia="sk-SK"/>
            </w:rPr>
          </w:pPr>
          <w:hyperlink w:anchor="_Toc182559183" w:history="1">
            <w:r w:rsidRPr="0052700B">
              <w:rPr>
                <w:rStyle w:val="Hypertextovprepojenie"/>
                <w:rFonts w:cs="Segoe UI"/>
                <w:noProof/>
              </w:rPr>
              <w:t>2.5</w:t>
            </w:r>
            <w:r w:rsidRPr="0052700B">
              <w:rPr>
                <w:rFonts w:ascii="Segoe UI" w:eastAsiaTheme="minorEastAsia" w:hAnsi="Segoe UI" w:cs="Segoe UI"/>
                <w:smallCaps w:val="0"/>
                <w:noProof/>
                <w:sz w:val="22"/>
                <w:szCs w:val="22"/>
                <w:lang w:eastAsia="sk-SK"/>
              </w:rPr>
              <w:tab/>
            </w:r>
            <w:r w:rsidRPr="0052700B">
              <w:rPr>
                <w:rStyle w:val="Hypertextovprepojenie"/>
                <w:rFonts w:cs="Segoe UI"/>
                <w:noProof/>
              </w:rPr>
              <w:t>Prognóza hrubého dlhu VS</w:t>
            </w:r>
            <w:r w:rsidRPr="0052700B">
              <w:rPr>
                <w:rFonts w:ascii="Segoe UI" w:hAnsi="Segoe UI" w:cs="Segoe UI"/>
                <w:noProof/>
                <w:webHidden/>
              </w:rPr>
              <w:tab/>
            </w:r>
            <w:r w:rsidRPr="0052700B">
              <w:rPr>
                <w:rFonts w:ascii="Segoe UI" w:hAnsi="Segoe UI" w:cs="Segoe UI"/>
                <w:noProof/>
                <w:webHidden/>
              </w:rPr>
              <w:fldChar w:fldCharType="begin"/>
            </w:r>
            <w:r w:rsidRPr="0052700B">
              <w:rPr>
                <w:rFonts w:ascii="Segoe UI" w:hAnsi="Segoe UI" w:cs="Segoe UI"/>
                <w:noProof/>
                <w:webHidden/>
              </w:rPr>
              <w:instrText xml:space="preserve"> PAGEREF _Toc182559183 \h </w:instrText>
            </w:r>
            <w:r w:rsidRPr="0052700B">
              <w:rPr>
                <w:rFonts w:ascii="Segoe UI" w:hAnsi="Segoe UI" w:cs="Segoe UI"/>
                <w:noProof/>
                <w:webHidden/>
              </w:rPr>
            </w:r>
            <w:r w:rsidRPr="0052700B">
              <w:rPr>
                <w:rFonts w:ascii="Segoe UI" w:hAnsi="Segoe UI" w:cs="Segoe UI"/>
                <w:noProof/>
                <w:webHidden/>
              </w:rPr>
              <w:fldChar w:fldCharType="separate"/>
            </w:r>
            <w:r w:rsidR="003F23CE">
              <w:rPr>
                <w:rFonts w:ascii="Segoe UI" w:hAnsi="Segoe UI" w:cs="Segoe UI"/>
                <w:noProof/>
                <w:webHidden/>
              </w:rPr>
              <w:t>21</w:t>
            </w:r>
            <w:r w:rsidRPr="0052700B">
              <w:rPr>
                <w:rFonts w:ascii="Segoe UI" w:hAnsi="Segoe UI" w:cs="Segoe UI"/>
                <w:noProof/>
                <w:webHidden/>
              </w:rPr>
              <w:fldChar w:fldCharType="end"/>
            </w:r>
          </w:hyperlink>
        </w:p>
        <w:p w14:paraId="6E3F53B5" w14:textId="62B6E273" w:rsidR="0052700B" w:rsidRPr="0052700B" w:rsidRDefault="0052700B">
          <w:pPr>
            <w:pStyle w:val="Obsah1"/>
            <w:rPr>
              <w:rFonts w:ascii="Segoe UI" w:eastAsiaTheme="minorEastAsia" w:hAnsi="Segoe UI" w:cs="Segoe UI"/>
              <w:b w:val="0"/>
              <w:bCs w:val="0"/>
              <w:caps w:val="0"/>
              <w:color w:val="auto"/>
              <w:sz w:val="22"/>
              <w:szCs w:val="22"/>
              <w:lang w:eastAsia="sk-SK"/>
            </w:rPr>
          </w:pPr>
          <w:hyperlink w:anchor="_Toc182559184" w:history="1">
            <w:r w:rsidRPr="0052700B">
              <w:rPr>
                <w:rStyle w:val="Hypertextovprepojenie"/>
                <w:rFonts w:cs="Segoe UI"/>
              </w:rPr>
              <w:t>3</w:t>
            </w:r>
            <w:r w:rsidRPr="0052700B">
              <w:rPr>
                <w:rFonts w:ascii="Segoe UI" w:eastAsiaTheme="minorEastAsia" w:hAnsi="Segoe UI" w:cs="Segoe UI"/>
                <w:b w:val="0"/>
                <w:bCs w:val="0"/>
                <w:caps w:val="0"/>
                <w:color w:val="auto"/>
                <w:sz w:val="22"/>
                <w:szCs w:val="22"/>
                <w:lang w:eastAsia="sk-SK"/>
              </w:rPr>
              <w:tab/>
            </w:r>
            <w:r w:rsidRPr="0052700B">
              <w:rPr>
                <w:rStyle w:val="Hypertextovprepojenie"/>
                <w:rFonts w:cs="Segoe UI"/>
              </w:rPr>
              <w:t>Rozpočtové vzťahy SR a EÚ</w:t>
            </w:r>
            <w:r w:rsidRPr="0052700B">
              <w:rPr>
                <w:rFonts w:ascii="Segoe UI" w:hAnsi="Segoe UI" w:cs="Segoe UI"/>
                <w:webHidden/>
              </w:rPr>
              <w:tab/>
            </w:r>
            <w:r w:rsidRPr="0052700B">
              <w:rPr>
                <w:rFonts w:ascii="Segoe UI" w:hAnsi="Segoe UI" w:cs="Segoe UI"/>
                <w:webHidden/>
              </w:rPr>
              <w:fldChar w:fldCharType="begin"/>
            </w:r>
            <w:r w:rsidRPr="0052700B">
              <w:rPr>
                <w:rFonts w:ascii="Segoe UI" w:hAnsi="Segoe UI" w:cs="Segoe UI"/>
                <w:webHidden/>
              </w:rPr>
              <w:instrText xml:space="preserve"> PAGEREF _Toc182559184 \h </w:instrText>
            </w:r>
            <w:r w:rsidRPr="0052700B">
              <w:rPr>
                <w:rFonts w:ascii="Segoe UI" w:hAnsi="Segoe UI" w:cs="Segoe UI"/>
                <w:webHidden/>
              </w:rPr>
            </w:r>
            <w:r w:rsidRPr="0052700B">
              <w:rPr>
                <w:rFonts w:ascii="Segoe UI" w:hAnsi="Segoe UI" w:cs="Segoe UI"/>
                <w:webHidden/>
              </w:rPr>
              <w:fldChar w:fldCharType="separate"/>
            </w:r>
            <w:r w:rsidR="003F23CE">
              <w:rPr>
                <w:rFonts w:ascii="Segoe UI" w:hAnsi="Segoe UI" w:cs="Segoe UI"/>
                <w:webHidden/>
              </w:rPr>
              <w:t>23</w:t>
            </w:r>
            <w:r w:rsidRPr="0052700B">
              <w:rPr>
                <w:rFonts w:ascii="Segoe UI" w:hAnsi="Segoe UI" w:cs="Segoe UI"/>
                <w:webHidden/>
              </w:rPr>
              <w:fldChar w:fldCharType="end"/>
            </w:r>
          </w:hyperlink>
        </w:p>
        <w:p w14:paraId="0E7B3ABF" w14:textId="1510FEFD" w:rsidR="0052700B" w:rsidRPr="0052700B" w:rsidRDefault="0052700B">
          <w:pPr>
            <w:pStyle w:val="Obsah2"/>
            <w:tabs>
              <w:tab w:val="left" w:pos="800"/>
              <w:tab w:val="right" w:leader="dot" w:pos="9060"/>
            </w:tabs>
            <w:rPr>
              <w:rFonts w:ascii="Segoe UI" w:eastAsiaTheme="minorEastAsia" w:hAnsi="Segoe UI" w:cs="Segoe UI"/>
              <w:smallCaps w:val="0"/>
              <w:noProof/>
              <w:sz w:val="22"/>
              <w:szCs w:val="22"/>
              <w:lang w:eastAsia="sk-SK"/>
            </w:rPr>
          </w:pPr>
          <w:hyperlink w:anchor="_Toc182559185" w:history="1">
            <w:r w:rsidRPr="0052700B">
              <w:rPr>
                <w:rStyle w:val="Hypertextovprepojenie"/>
                <w:rFonts w:cs="Segoe UI"/>
                <w:noProof/>
              </w:rPr>
              <w:t>3.1</w:t>
            </w:r>
            <w:r w:rsidRPr="0052700B">
              <w:rPr>
                <w:rFonts w:ascii="Segoe UI" w:eastAsiaTheme="minorEastAsia" w:hAnsi="Segoe UI" w:cs="Segoe UI"/>
                <w:smallCaps w:val="0"/>
                <w:noProof/>
                <w:sz w:val="22"/>
                <w:szCs w:val="22"/>
                <w:lang w:eastAsia="sk-SK"/>
              </w:rPr>
              <w:tab/>
            </w:r>
            <w:r w:rsidRPr="0052700B">
              <w:rPr>
                <w:rStyle w:val="Hypertextovprepojenie"/>
                <w:rFonts w:cs="Segoe UI"/>
                <w:noProof/>
              </w:rPr>
              <w:t>EŠIF programového obdobia 2014 – 2020</w:t>
            </w:r>
            <w:r w:rsidRPr="0052700B">
              <w:rPr>
                <w:rFonts w:ascii="Segoe UI" w:hAnsi="Segoe UI" w:cs="Segoe UI"/>
                <w:noProof/>
                <w:webHidden/>
              </w:rPr>
              <w:tab/>
            </w:r>
            <w:r w:rsidRPr="0052700B">
              <w:rPr>
                <w:rFonts w:ascii="Segoe UI" w:hAnsi="Segoe UI" w:cs="Segoe UI"/>
                <w:noProof/>
                <w:webHidden/>
              </w:rPr>
              <w:fldChar w:fldCharType="begin"/>
            </w:r>
            <w:r w:rsidRPr="0052700B">
              <w:rPr>
                <w:rFonts w:ascii="Segoe UI" w:hAnsi="Segoe UI" w:cs="Segoe UI"/>
                <w:noProof/>
                <w:webHidden/>
              </w:rPr>
              <w:instrText xml:space="preserve"> PAGEREF _Toc182559185 \h </w:instrText>
            </w:r>
            <w:r w:rsidRPr="0052700B">
              <w:rPr>
                <w:rFonts w:ascii="Segoe UI" w:hAnsi="Segoe UI" w:cs="Segoe UI"/>
                <w:noProof/>
                <w:webHidden/>
              </w:rPr>
            </w:r>
            <w:r w:rsidRPr="0052700B">
              <w:rPr>
                <w:rFonts w:ascii="Segoe UI" w:hAnsi="Segoe UI" w:cs="Segoe UI"/>
                <w:noProof/>
                <w:webHidden/>
              </w:rPr>
              <w:fldChar w:fldCharType="separate"/>
            </w:r>
            <w:r w:rsidR="003F23CE">
              <w:rPr>
                <w:rFonts w:ascii="Segoe UI" w:hAnsi="Segoe UI" w:cs="Segoe UI"/>
                <w:noProof/>
                <w:webHidden/>
              </w:rPr>
              <w:t>23</w:t>
            </w:r>
            <w:r w:rsidRPr="0052700B">
              <w:rPr>
                <w:rFonts w:ascii="Segoe UI" w:hAnsi="Segoe UI" w:cs="Segoe UI"/>
                <w:noProof/>
                <w:webHidden/>
              </w:rPr>
              <w:fldChar w:fldCharType="end"/>
            </w:r>
          </w:hyperlink>
        </w:p>
        <w:p w14:paraId="28896BC2" w14:textId="1ADD59C8" w:rsidR="0052700B" w:rsidRPr="0052700B" w:rsidRDefault="0052700B">
          <w:pPr>
            <w:pStyle w:val="Obsah2"/>
            <w:tabs>
              <w:tab w:val="left" w:pos="800"/>
              <w:tab w:val="right" w:leader="dot" w:pos="9060"/>
            </w:tabs>
            <w:rPr>
              <w:rFonts w:ascii="Segoe UI" w:eastAsiaTheme="minorEastAsia" w:hAnsi="Segoe UI" w:cs="Segoe UI"/>
              <w:smallCaps w:val="0"/>
              <w:noProof/>
              <w:sz w:val="22"/>
              <w:szCs w:val="22"/>
              <w:lang w:eastAsia="sk-SK"/>
            </w:rPr>
          </w:pPr>
          <w:hyperlink w:anchor="_Toc182559186" w:history="1">
            <w:r w:rsidRPr="0052700B">
              <w:rPr>
                <w:rStyle w:val="Hypertextovprepojenie"/>
                <w:rFonts w:cs="Segoe UI"/>
                <w:noProof/>
              </w:rPr>
              <w:t>3.2</w:t>
            </w:r>
            <w:r w:rsidRPr="0052700B">
              <w:rPr>
                <w:rFonts w:ascii="Segoe UI" w:eastAsiaTheme="minorEastAsia" w:hAnsi="Segoe UI" w:cs="Segoe UI"/>
                <w:smallCaps w:val="0"/>
                <w:noProof/>
                <w:sz w:val="22"/>
                <w:szCs w:val="22"/>
                <w:lang w:eastAsia="sk-SK"/>
              </w:rPr>
              <w:tab/>
            </w:r>
            <w:r w:rsidRPr="0052700B">
              <w:rPr>
                <w:rStyle w:val="Hypertextovprepojenie"/>
                <w:rFonts w:cs="Segoe UI"/>
                <w:noProof/>
              </w:rPr>
              <w:t>Fondy EÚ programového obdobia 2021 – 2027</w:t>
            </w:r>
            <w:r w:rsidRPr="0052700B">
              <w:rPr>
                <w:rFonts w:ascii="Segoe UI" w:hAnsi="Segoe UI" w:cs="Segoe UI"/>
                <w:noProof/>
                <w:webHidden/>
              </w:rPr>
              <w:tab/>
            </w:r>
            <w:r w:rsidRPr="0052700B">
              <w:rPr>
                <w:rFonts w:ascii="Segoe UI" w:hAnsi="Segoe UI" w:cs="Segoe UI"/>
                <w:noProof/>
                <w:webHidden/>
              </w:rPr>
              <w:fldChar w:fldCharType="begin"/>
            </w:r>
            <w:r w:rsidRPr="0052700B">
              <w:rPr>
                <w:rFonts w:ascii="Segoe UI" w:hAnsi="Segoe UI" w:cs="Segoe UI"/>
                <w:noProof/>
                <w:webHidden/>
              </w:rPr>
              <w:instrText xml:space="preserve"> PAGEREF _Toc182559186 \h </w:instrText>
            </w:r>
            <w:r w:rsidRPr="0052700B">
              <w:rPr>
                <w:rFonts w:ascii="Segoe UI" w:hAnsi="Segoe UI" w:cs="Segoe UI"/>
                <w:noProof/>
                <w:webHidden/>
              </w:rPr>
            </w:r>
            <w:r w:rsidRPr="0052700B">
              <w:rPr>
                <w:rFonts w:ascii="Segoe UI" w:hAnsi="Segoe UI" w:cs="Segoe UI"/>
                <w:noProof/>
                <w:webHidden/>
              </w:rPr>
              <w:fldChar w:fldCharType="separate"/>
            </w:r>
            <w:r w:rsidR="003F23CE">
              <w:rPr>
                <w:rFonts w:ascii="Segoe UI" w:hAnsi="Segoe UI" w:cs="Segoe UI"/>
                <w:noProof/>
                <w:webHidden/>
              </w:rPr>
              <w:t>25</w:t>
            </w:r>
            <w:r w:rsidRPr="0052700B">
              <w:rPr>
                <w:rFonts w:ascii="Segoe UI" w:hAnsi="Segoe UI" w:cs="Segoe UI"/>
                <w:noProof/>
                <w:webHidden/>
              </w:rPr>
              <w:fldChar w:fldCharType="end"/>
            </w:r>
          </w:hyperlink>
        </w:p>
        <w:p w14:paraId="3AF7B80F" w14:textId="3ABF4E53" w:rsidR="0052700B" w:rsidRPr="0052700B" w:rsidRDefault="0052700B">
          <w:pPr>
            <w:pStyle w:val="Obsah2"/>
            <w:tabs>
              <w:tab w:val="left" w:pos="800"/>
              <w:tab w:val="right" w:leader="dot" w:pos="9060"/>
            </w:tabs>
            <w:rPr>
              <w:rFonts w:ascii="Segoe UI" w:eastAsiaTheme="minorEastAsia" w:hAnsi="Segoe UI" w:cs="Segoe UI"/>
              <w:smallCaps w:val="0"/>
              <w:noProof/>
              <w:sz w:val="22"/>
              <w:szCs w:val="22"/>
              <w:lang w:eastAsia="sk-SK"/>
            </w:rPr>
          </w:pPr>
          <w:hyperlink w:anchor="_Toc182559187" w:history="1">
            <w:r w:rsidRPr="0052700B">
              <w:rPr>
                <w:rStyle w:val="Hypertextovprepojenie"/>
                <w:rFonts w:cs="Segoe UI"/>
                <w:noProof/>
              </w:rPr>
              <w:t>3.3</w:t>
            </w:r>
            <w:r w:rsidRPr="0052700B">
              <w:rPr>
                <w:rFonts w:ascii="Segoe UI" w:eastAsiaTheme="minorEastAsia" w:hAnsi="Segoe UI" w:cs="Segoe UI"/>
                <w:smallCaps w:val="0"/>
                <w:noProof/>
                <w:sz w:val="22"/>
                <w:szCs w:val="22"/>
                <w:lang w:eastAsia="sk-SK"/>
              </w:rPr>
              <w:tab/>
            </w:r>
            <w:r w:rsidRPr="0052700B">
              <w:rPr>
                <w:rStyle w:val="Hypertextovprepojenie"/>
                <w:rFonts w:cs="Segoe UI"/>
                <w:noProof/>
              </w:rPr>
              <w:t>Plán obnovy a odolnosti</w:t>
            </w:r>
            <w:r w:rsidRPr="0052700B">
              <w:rPr>
                <w:rFonts w:ascii="Segoe UI" w:hAnsi="Segoe UI" w:cs="Segoe UI"/>
                <w:noProof/>
                <w:webHidden/>
              </w:rPr>
              <w:tab/>
            </w:r>
            <w:r w:rsidRPr="0052700B">
              <w:rPr>
                <w:rFonts w:ascii="Segoe UI" w:hAnsi="Segoe UI" w:cs="Segoe UI"/>
                <w:noProof/>
                <w:webHidden/>
              </w:rPr>
              <w:fldChar w:fldCharType="begin"/>
            </w:r>
            <w:r w:rsidRPr="0052700B">
              <w:rPr>
                <w:rFonts w:ascii="Segoe UI" w:hAnsi="Segoe UI" w:cs="Segoe UI"/>
                <w:noProof/>
                <w:webHidden/>
              </w:rPr>
              <w:instrText xml:space="preserve"> PAGEREF _Toc182559187 \h </w:instrText>
            </w:r>
            <w:r w:rsidRPr="0052700B">
              <w:rPr>
                <w:rFonts w:ascii="Segoe UI" w:hAnsi="Segoe UI" w:cs="Segoe UI"/>
                <w:noProof/>
                <w:webHidden/>
              </w:rPr>
            </w:r>
            <w:r w:rsidRPr="0052700B">
              <w:rPr>
                <w:rFonts w:ascii="Segoe UI" w:hAnsi="Segoe UI" w:cs="Segoe UI"/>
                <w:noProof/>
                <w:webHidden/>
              </w:rPr>
              <w:fldChar w:fldCharType="separate"/>
            </w:r>
            <w:r w:rsidR="003F23CE">
              <w:rPr>
                <w:rFonts w:ascii="Segoe UI" w:hAnsi="Segoe UI" w:cs="Segoe UI"/>
                <w:noProof/>
                <w:webHidden/>
              </w:rPr>
              <w:t>28</w:t>
            </w:r>
            <w:r w:rsidRPr="0052700B">
              <w:rPr>
                <w:rFonts w:ascii="Segoe UI" w:hAnsi="Segoe UI" w:cs="Segoe UI"/>
                <w:noProof/>
                <w:webHidden/>
              </w:rPr>
              <w:fldChar w:fldCharType="end"/>
            </w:r>
          </w:hyperlink>
        </w:p>
        <w:p w14:paraId="4C5CF555" w14:textId="3FF7A7FE" w:rsidR="0052700B" w:rsidRPr="0052700B" w:rsidRDefault="0052700B">
          <w:pPr>
            <w:pStyle w:val="Obsah1"/>
            <w:rPr>
              <w:rFonts w:ascii="Segoe UI" w:eastAsiaTheme="minorEastAsia" w:hAnsi="Segoe UI" w:cs="Segoe UI"/>
              <w:b w:val="0"/>
              <w:bCs w:val="0"/>
              <w:caps w:val="0"/>
              <w:color w:val="auto"/>
              <w:sz w:val="22"/>
              <w:szCs w:val="22"/>
              <w:lang w:eastAsia="sk-SK"/>
            </w:rPr>
          </w:pPr>
          <w:hyperlink w:anchor="_Toc182559188" w:history="1">
            <w:r w:rsidRPr="0052700B">
              <w:rPr>
                <w:rStyle w:val="Hypertextovprepojenie"/>
                <w:rFonts w:cs="Segoe UI"/>
              </w:rPr>
              <w:t>4</w:t>
            </w:r>
            <w:r w:rsidRPr="0052700B">
              <w:rPr>
                <w:rFonts w:ascii="Segoe UI" w:eastAsiaTheme="minorEastAsia" w:hAnsi="Segoe UI" w:cs="Segoe UI"/>
                <w:b w:val="0"/>
                <w:bCs w:val="0"/>
                <w:caps w:val="0"/>
                <w:color w:val="auto"/>
                <w:sz w:val="22"/>
                <w:szCs w:val="22"/>
                <w:lang w:eastAsia="sk-SK"/>
              </w:rPr>
              <w:tab/>
            </w:r>
            <w:r w:rsidRPr="0052700B">
              <w:rPr>
                <w:rStyle w:val="Hypertextovprepojenie"/>
                <w:rFonts w:cs="Segoe UI"/>
              </w:rPr>
              <w:t>Súhrnné riziká návrhu ŠR na rok 2025</w:t>
            </w:r>
            <w:r w:rsidRPr="0052700B">
              <w:rPr>
                <w:rFonts w:ascii="Segoe UI" w:hAnsi="Segoe UI" w:cs="Segoe UI"/>
                <w:webHidden/>
              </w:rPr>
              <w:tab/>
            </w:r>
            <w:r w:rsidRPr="0052700B">
              <w:rPr>
                <w:rFonts w:ascii="Segoe UI" w:hAnsi="Segoe UI" w:cs="Segoe UI"/>
                <w:webHidden/>
              </w:rPr>
              <w:fldChar w:fldCharType="begin"/>
            </w:r>
            <w:r w:rsidRPr="0052700B">
              <w:rPr>
                <w:rFonts w:ascii="Segoe UI" w:hAnsi="Segoe UI" w:cs="Segoe UI"/>
                <w:webHidden/>
              </w:rPr>
              <w:instrText xml:space="preserve"> PAGEREF _Toc182559188 \h </w:instrText>
            </w:r>
            <w:r w:rsidRPr="0052700B">
              <w:rPr>
                <w:rFonts w:ascii="Segoe UI" w:hAnsi="Segoe UI" w:cs="Segoe UI"/>
                <w:webHidden/>
              </w:rPr>
            </w:r>
            <w:r w:rsidRPr="0052700B">
              <w:rPr>
                <w:rFonts w:ascii="Segoe UI" w:hAnsi="Segoe UI" w:cs="Segoe UI"/>
                <w:webHidden/>
              </w:rPr>
              <w:fldChar w:fldCharType="separate"/>
            </w:r>
            <w:r w:rsidR="003F23CE">
              <w:rPr>
                <w:rFonts w:ascii="Segoe UI" w:hAnsi="Segoe UI" w:cs="Segoe UI"/>
                <w:webHidden/>
              </w:rPr>
              <w:t>30</w:t>
            </w:r>
            <w:r w:rsidRPr="0052700B">
              <w:rPr>
                <w:rFonts w:ascii="Segoe UI" w:hAnsi="Segoe UI" w:cs="Segoe UI"/>
                <w:webHidden/>
              </w:rPr>
              <w:fldChar w:fldCharType="end"/>
            </w:r>
          </w:hyperlink>
        </w:p>
        <w:p w14:paraId="253CAE93" w14:textId="349BE49D" w:rsidR="0052700B" w:rsidRPr="0052700B" w:rsidRDefault="0052700B">
          <w:pPr>
            <w:pStyle w:val="Obsah2"/>
            <w:tabs>
              <w:tab w:val="left" w:pos="800"/>
              <w:tab w:val="right" w:leader="dot" w:pos="9060"/>
            </w:tabs>
            <w:rPr>
              <w:rFonts w:ascii="Segoe UI" w:eastAsiaTheme="minorEastAsia" w:hAnsi="Segoe UI" w:cs="Segoe UI"/>
              <w:smallCaps w:val="0"/>
              <w:noProof/>
              <w:sz w:val="22"/>
              <w:szCs w:val="22"/>
              <w:lang w:eastAsia="sk-SK"/>
            </w:rPr>
          </w:pPr>
          <w:hyperlink w:anchor="_Toc182559189" w:history="1">
            <w:r w:rsidRPr="0052700B">
              <w:rPr>
                <w:rStyle w:val="Hypertextovprepojenie"/>
                <w:rFonts w:eastAsia="Calibri" w:cs="Segoe UI"/>
                <w:noProof/>
              </w:rPr>
              <w:t>4.1</w:t>
            </w:r>
            <w:r w:rsidRPr="0052700B">
              <w:rPr>
                <w:rFonts w:ascii="Segoe UI" w:eastAsiaTheme="minorEastAsia" w:hAnsi="Segoe UI" w:cs="Segoe UI"/>
                <w:smallCaps w:val="0"/>
                <w:noProof/>
                <w:sz w:val="22"/>
                <w:szCs w:val="22"/>
                <w:lang w:eastAsia="sk-SK"/>
              </w:rPr>
              <w:tab/>
            </w:r>
            <w:r w:rsidRPr="0052700B">
              <w:rPr>
                <w:rStyle w:val="Hypertextovprepojenie"/>
                <w:rFonts w:eastAsia="Calibri" w:cs="Segoe UI"/>
                <w:noProof/>
              </w:rPr>
              <w:t>Rozpočtovanie kapitálových výdavkov</w:t>
            </w:r>
            <w:r w:rsidRPr="0052700B">
              <w:rPr>
                <w:rFonts w:ascii="Segoe UI" w:hAnsi="Segoe UI" w:cs="Segoe UI"/>
                <w:noProof/>
                <w:webHidden/>
              </w:rPr>
              <w:tab/>
            </w:r>
            <w:r w:rsidRPr="0052700B">
              <w:rPr>
                <w:rFonts w:ascii="Segoe UI" w:hAnsi="Segoe UI" w:cs="Segoe UI"/>
                <w:noProof/>
                <w:webHidden/>
              </w:rPr>
              <w:fldChar w:fldCharType="begin"/>
            </w:r>
            <w:r w:rsidRPr="0052700B">
              <w:rPr>
                <w:rFonts w:ascii="Segoe UI" w:hAnsi="Segoe UI" w:cs="Segoe UI"/>
                <w:noProof/>
                <w:webHidden/>
              </w:rPr>
              <w:instrText xml:space="preserve"> PAGEREF _Toc182559189 \h </w:instrText>
            </w:r>
            <w:r w:rsidRPr="0052700B">
              <w:rPr>
                <w:rFonts w:ascii="Segoe UI" w:hAnsi="Segoe UI" w:cs="Segoe UI"/>
                <w:noProof/>
                <w:webHidden/>
              </w:rPr>
            </w:r>
            <w:r w:rsidRPr="0052700B">
              <w:rPr>
                <w:rFonts w:ascii="Segoe UI" w:hAnsi="Segoe UI" w:cs="Segoe UI"/>
                <w:noProof/>
                <w:webHidden/>
              </w:rPr>
              <w:fldChar w:fldCharType="separate"/>
            </w:r>
            <w:r w:rsidR="003F23CE">
              <w:rPr>
                <w:rFonts w:ascii="Segoe UI" w:hAnsi="Segoe UI" w:cs="Segoe UI"/>
                <w:noProof/>
                <w:webHidden/>
              </w:rPr>
              <w:t>31</w:t>
            </w:r>
            <w:r w:rsidRPr="0052700B">
              <w:rPr>
                <w:rFonts w:ascii="Segoe UI" w:hAnsi="Segoe UI" w:cs="Segoe UI"/>
                <w:noProof/>
                <w:webHidden/>
              </w:rPr>
              <w:fldChar w:fldCharType="end"/>
            </w:r>
          </w:hyperlink>
        </w:p>
        <w:p w14:paraId="2401F813" w14:textId="5C8DC782" w:rsidR="0052700B" w:rsidRPr="0052700B" w:rsidRDefault="0052700B">
          <w:pPr>
            <w:pStyle w:val="Obsah2"/>
            <w:tabs>
              <w:tab w:val="left" w:pos="800"/>
              <w:tab w:val="right" w:leader="dot" w:pos="9060"/>
            </w:tabs>
            <w:rPr>
              <w:rFonts w:ascii="Segoe UI" w:eastAsiaTheme="minorEastAsia" w:hAnsi="Segoe UI" w:cs="Segoe UI"/>
              <w:smallCaps w:val="0"/>
              <w:noProof/>
              <w:sz w:val="22"/>
              <w:szCs w:val="22"/>
              <w:lang w:eastAsia="sk-SK"/>
            </w:rPr>
          </w:pPr>
          <w:hyperlink w:anchor="_Toc182559190" w:history="1">
            <w:r w:rsidRPr="0052700B">
              <w:rPr>
                <w:rStyle w:val="Hypertextovprepojenie"/>
                <w:rFonts w:cs="Segoe UI"/>
                <w:noProof/>
              </w:rPr>
              <w:t>4.2</w:t>
            </w:r>
            <w:r w:rsidRPr="0052700B">
              <w:rPr>
                <w:rFonts w:ascii="Segoe UI" w:eastAsiaTheme="minorEastAsia" w:hAnsi="Segoe UI" w:cs="Segoe UI"/>
                <w:smallCaps w:val="0"/>
                <w:noProof/>
                <w:sz w:val="22"/>
                <w:szCs w:val="22"/>
                <w:lang w:eastAsia="sk-SK"/>
              </w:rPr>
              <w:tab/>
            </w:r>
            <w:r w:rsidRPr="0052700B">
              <w:rPr>
                <w:rStyle w:val="Hypertextovprepojenie"/>
                <w:rFonts w:cs="Segoe UI"/>
                <w:noProof/>
              </w:rPr>
              <w:t>Rozpočtovanie rezerv</w:t>
            </w:r>
            <w:r w:rsidRPr="0052700B">
              <w:rPr>
                <w:rFonts w:ascii="Segoe UI" w:hAnsi="Segoe UI" w:cs="Segoe UI"/>
                <w:noProof/>
                <w:webHidden/>
              </w:rPr>
              <w:tab/>
            </w:r>
            <w:r w:rsidRPr="0052700B">
              <w:rPr>
                <w:rFonts w:ascii="Segoe UI" w:hAnsi="Segoe UI" w:cs="Segoe UI"/>
                <w:noProof/>
                <w:webHidden/>
              </w:rPr>
              <w:fldChar w:fldCharType="begin"/>
            </w:r>
            <w:r w:rsidRPr="0052700B">
              <w:rPr>
                <w:rFonts w:ascii="Segoe UI" w:hAnsi="Segoe UI" w:cs="Segoe UI"/>
                <w:noProof/>
                <w:webHidden/>
              </w:rPr>
              <w:instrText xml:space="preserve"> PAGEREF _Toc182559190 \h </w:instrText>
            </w:r>
            <w:r w:rsidRPr="0052700B">
              <w:rPr>
                <w:rFonts w:ascii="Segoe UI" w:hAnsi="Segoe UI" w:cs="Segoe UI"/>
                <w:noProof/>
                <w:webHidden/>
              </w:rPr>
            </w:r>
            <w:r w:rsidRPr="0052700B">
              <w:rPr>
                <w:rFonts w:ascii="Segoe UI" w:hAnsi="Segoe UI" w:cs="Segoe UI"/>
                <w:noProof/>
                <w:webHidden/>
              </w:rPr>
              <w:fldChar w:fldCharType="separate"/>
            </w:r>
            <w:r w:rsidR="003F23CE">
              <w:rPr>
                <w:rFonts w:ascii="Segoe UI" w:hAnsi="Segoe UI" w:cs="Segoe UI"/>
                <w:noProof/>
                <w:webHidden/>
              </w:rPr>
              <w:t>33</w:t>
            </w:r>
            <w:r w:rsidRPr="0052700B">
              <w:rPr>
                <w:rFonts w:ascii="Segoe UI" w:hAnsi="Segoe UI" w:cs="Segoe UI"/>
                <w:noProof/>
                <w:webHidden/>
              </w:rPr>
              <w:fldChar w:fldCharType="end"/>
            </w:r>
          </w:hyperlink>
        </w:p>
        <w:p w14:paraId="7A96ACFE" w14:textId="1260A115" w:rsidR="0052700B" w:rsidRPr="0052700B" w:rsidRDefault="0052700B">
          <w:pPr>
            <w:pStyle w:val="Obsah1"/>
            <w:rPr>
              <w:rFonts w:ascii="Segoe UI" w:eastAsiaTheme="minorEastAsia" w:hAnsi="Segoe UI" w:cs="Segoe UI"/>
              <w:b w:val="0"/>
              <w:bCs w:val="0"/>
              <w:caps w:val="0"/>
              <w:color w:val="auto"/>
              <w:sz w:val="22"/>
              <w:szCs w:val="22"/>
              <w:lang w:eastAsia="sk-SK"/>
            </w:rPr>
          </w:pPr>
          <w:hyperlink w:anchor="_Toc182559191" w:history="1">
            <w:r w:rsidRPr="0052700B">
              <w:rPr>
                <w:rStyle w:val="Hypertextovprepojenie"/>
                <w:rFonts w:cs="Segoe UI"/>
              </w:rPr>
              <w:t>5</w:t>
            </w:r>
            <w:r w:rsidRPr="0052700B">
              <w:rPr>
                <w:rFonts w:ascii="Segoe UI" w:eastAsiaTheme="minorEastAsia" w:hAnsi="Segoe UI" w:cs="Segoe UI"/>
                <w:b w:val="0"/>
                <w:bCs w:val="0"/>
                <w:caps w:val="0"/>
                <w:color w:val="auto"/>
                <w:sz w:val="22"/>
                <w:szCs w:val="22"/>
                <w:lang w:eastAsia="sk-SK"/>
              </w:rPr>
              <w:tab/>
            </w:r>
            <w:r w:rsidRPr="0052700B">
              <w:rPr>
                <w:rStyle w:val="Hypertextovprepojenie"/>
                <w:rFonts w:cs="Segoe UI"/>
              </w:rPr>
              <w:t>Riziká rozpočtovania pri dosahovaní najvýznamnejších cieľov</w:t>
            </w:r>
            <w:r w:rsidRPr="0052700B">
              <w:rPr>
                <w:rFonts w:ascii="Segoe UI" w:hAnsi="Segoe UI" w:cs="Segoe UI"/>
                <w:webHidden/>
              </w:rPr>
              <w:tab/>
            </w:r>
            <w:r w:rsidRPr="0052700B">
              <w:rPr>
                <w:rFonts w:ascii="Segoe UI" w:hAnsi="Segoe UI" w:cs="Segoe UI"/>
                <w:webHidden/>
              </w:rPr>
              <w:fldChar w:fldCharType="begin"/>
            </w:r>
            <w:r w:rsidRPr="0052700B">
              <w:rPr>
                <w:rFonts w:ascii="Segoe UI" w:hAnsi="Segoe UI" w:cs="Segoe UI"/>
                <w:webHidden/>
              </w:rPr>
              <w:instrText xml:space="preserve"> PAGEREF _Toc182559191 \h </w:instrText>
            </w:r>
            <w:r w:rsidRPr="0052700B">
              <w:rPr>
                <w:rFonts w:ascii="Segoe UI" w:hAnsi="Segoe UI" w:cs="Segoe UI"/>
                <w:webHidden/>
              </w:rPr>
            </w:r>
            <w:r w:rsidRPr="0052700B">
              <w:rPr>
                <w:rFonts w:ascii="Segoe UI" w:hAnsi="Segoe UI" w:cs="Segoe UI"/>
                <w:webHidden/>
              </w:rPr>
              <w:fldChar w:fldCharType="separate"/>
            </w:r>
            <w:r w:rsidR="003F23CE">
              <w:rPr>
                <w:rFonts w:ascii="Segoe UI" w:hAnsi="Segoe UI" w:cs="Segoe UI"/>
                <w:webHidden/>
              </w:rPr>
              <w:t>36</w:t>
            </w:r>
            <w:r w:rsidRPr="0052700B">
              <w:rPr>
                <w:rFonts w:ascii="Segoe UI" w:hAnsi="Segoe UI" w:cs="Segoe UI"/>
                <w:webHidden/>
              </w:rPr>
              <w:fldChar w:fldCharType="end"/>
            </w:r>
          </w:hyperlink>
        </w:p>
        <w:p w14:paraId="0177800B" w14:textId="31A3CEDD" w:rsidR="0052700B" w:rsidRPr="0052700B" w:rsidRDefault="0052700B">
          <w:pPr>
            <w:pStyle w:val="Obsah2"/>
            <w:tabs>
              <w:tab w:val="left" w:pos="800"/>
              <w:tab w:val="right" w:leader="dot" w:pos="9060"/>
            </w:tabs>
            <w:rPr>
              <w:rFonts w:ascii="Segoe UI" w:eastAsiaTheme="minorEastAsia" w:hAnsi="Segoe UI" w:cs="Segoe UI"/>
              <w:smallCaps w:val="0"/>
              <w:noProof/>
              <w:sz w:val="22"/>
              <w:szCs w:val="22"/>
              <w:lang w:eastAsia="sk-SK"/>
            </w:rPr>
          </w:pPr>
          <w:hyperlink w:anchor="_Toc182559192" w:history="1">
            <w:r w:rsidRPr="0052700B">
              <w:rPr>
                <w:rStyle w:val="Hypertextovprepojenie"/>
                <w:rFonts w:cs="Segoe UI"/>
                <w:noProof/>
              </w:rPr>
              <w:t>5.1</w:t>
            </w:r>
            <w:r w:rsidRPr="0052700B">
              <w:rPr>
                <w:rFonts w:ascii="Segoe UI" w:eastAsiaTheme="minorEastAsia" w:hAnsi="Segoe UI" w:cs="Segoe UI"/>
                <w:smallCaps w:val="0"/>
                <w:noProof/>
                <w:sz w:val="22"/>
                <w:szCs w:val="22"/>
                <w:lang w:eastAsia="sk-SK"/>
              </w:rPr>
              <w:tab/>
            </w:r>
            <w:r w:rsidRPr="0052700B">
              <w:rPr>
                <w:rStyle w:val="Hypertextovprepojenie"/>
                <w:rFonts w:cs="Segoe UI"/>
                <w:noProof/>
              </w:rPr>
              <w:t>Zdravotníctvo</w:t>
            </w:r>
            <w:r w:rsidRPr="0052700B">
              <w:rPr>
                <w:rFonts w:ascii="Segoe UI" w:hAnsi="Segoe UI" w:cs="Segoe UI"/>
                <w:noProof/>
                <w:webHidden/>
              </w:rPr>
              <w:tab/>
            </w:r>
            <w:r w:rsidRPr="0052700B">
              <w:rPr>
                <w:rFonts w:ascii="Segoe UI" w:hAnsi="Segoe UI" w:cs="Segoe UI"/>
                <w:noProof/>
                <w:webHidden/>
              </w:rPr>
              <w:fldChar w:fldCharType="begin"/>
            </w:r>
            <w:r w:rsidRPr="0052700B">
              <w:rPr>
                <w:rFonts w:ascii="Segoe UI" w:hAnsi="Segoe UI" w:cs="Segoe UI"/>
                <w:noProof/>
                <w:webHidden/>
              </w:rPr>
              <w:instrText xml:space="preserve"> PAGEREF _Toc182559192 \h </w:instrText>
            </w:r>
            <w:r w:rsidRPr="0052700B">
              <w:rPr>
                <w:rFonts w:ascii="Segoe UI" w:hAnsi="Segoe UI" w:cs="Segoe UI"/>
                <w:noProof/>
                <w:webHidden/>
              </w:rPr>
            </w:r>
            <w:r w:rsidRPr="0052700B">
              <w:rPr>
                <w:rFonts w:ascii="Segoe UI" w:hAnsi="Segoe UI" w:cs="Segoe UI"/>
                <w:noProof/>
                <w:webHidden/>
              </w:rPr>
              <w:fldChar w:fldCharType="separate"/>
            </w:r>
            <w:r w:rsidR="003F23CE">
              <w:rPr>
                <w:rFonts w:ascii="Segoe UI" w:hAnsi="Segoe UI" w:cs="Segoe UI"/>
                <w:noProof/>
                <w:webHidden/>
              </w:rPr>
              <w:t>36</w:t>
            </w:r>
            <w:r w:rsidRPr="0052700B">
              <w:rPr>
                <w:rFonts w:ascii="Segoe UI" w:hAnsi="Segoe UI" w:cs="Segoe UI"/>
                <w:noProof/>
                <w:webHidden/>
              </w:rPr>
              <w:fldChar w:fldCharType="end"/>
            </w:r>
          </w:hyperlink>
        </w:p>
        <w:p w14:paraId="6077CB89" w14:textId="67DD1814" w:rsidR="0052700B" w:rsidRPr="0052700B" w:rsidRDefault="0052700B">
          <w:pPr>
            <w:pStyle w:val="Obsah3"/>
            <w:tabs>
              <w:tab w:val="left" w:pos="1200"/>
              <w:tab w:val="right" w:leader="dot" w:pos="9060"/>
            </w:tabs>
            <w:rPr>
              <w:rFonts w:ascii="Segoe UI" w:eastAsiaTheme="minorEastAsia" w:hAnsi="Segoe UI" w:cs="Segoe UI"/>
              <w:i w:val="0"/>
              <w:iCs w:val="0"/>
              <w:noProof/>
              <w:sz w:val="22"/>
              <w:szCs w:val="22"/>
              <w:lang w:eastAsia="sk-SK"/>
            </w:rPr>
          </w:pPr>
          <w:hyperlink w:anchor="_Toc182559193" w:history="1">
            <w:r w:rsidRPr="0052700B">
              <w:rPr>
                <w:rStyle w:val="Hypertextovprepojenie"/>
                <w:rFonts w:cs="Segoe UI"/>
                <w:noProof/>
              </w:rPr>
              <w:t>5.1.1</w:t>
            </w:r>
            <w:r w:rsidRPr="0052700B">
              <w:rPr>
                <w:rFonts w:ascii="Segoe UI" w:eastAsiaTheme="minorEastAsia" w:hAnsi="Segoe UI" w:cs="Segoe UI"/>
                <w:i w:val="0"/>
                <w:iCs w:val="0"/>
                <w:noProof/>
                <w:sz w:val="22"/>
                <w:szCs w:val="22"/>
                <w:lang w:eastAsia="sk-SK"/>
              </w:rPr>
              <w:tab/>
            </w:r>
            <w:r w:rsidRPr="0052700B">
              <w:rPr>
                <w:rStyle w:val="Hypertextovprepojenie"/>
                <w:rFonts w:cs="Segoe UI"/>
                <w:noProof/>
              </w:rPr>
              <w:t>Vznik rady pre tvorbu rozpočtu v zdravotníctve</w:t>
            </w:r>
            <w:r w:rsidRPr="0052700B">
              <w:rPr>
                <w:rFonts w:ascii="Segoe UI" w:hAnsi="Segoe UI" w:cs="Segoe UI"/>
                <w:noProof/>
                <w:webHidden/>
              </w:rPr>
              <w:tab/>
            </w:r>
            <w:r w:rsidRPr="0052700B">
              <w:rPr>
                <w:rFonts w:ascii="Segoe UI" w:hAnsi="Segoe UI" w:cs="Segoe UI"/>
                <w:noProof/>
                <w:webHidden/>
              </w:rPr>
              <w:fldChar w:fldCharType="begin"/>
            </w:r>
            <w:r w:rsidRPr="0052700B">
              <w:rPr>
                <w:rFonts w:ascii="Segoe UI" w:hAnsi="Segoe UI" w:cs="Segoe UI"/>
                <w:noProof/>
                <w:webHidden/>
              </w:rPr>
              <w:instrText xml:space="preserve"> PAGEREF _Toc182559193 \h </w:instrText>
            </w:r>
            <w:r w:rsidRPr="0052700B">
              <w:rPr>
                <w:rFonts w:ascii="Segoe UI" w:hAnsi="Segoe UI" w:cs="Segoe UI"/>
                <w:noProof/>
                <w:webHidden/>
              </w:rPr>
            </w:r>
            <w:r w:rsidRPr="0052700B">
              <w:rPr>
                <w:rFonts w:ascii="Segoe UI" w:hAnsi="Segoe UI" w:cs="Segoe UI"/>
                <w:noProof/>
                <w:webHidden/>
              </w:rPr>
              <w:fldChar w:fldCharType="separate"/>
            </w:r>
            <w:r w:rsidR="003F23CE">
              <w:rPr>
                <w:rFonts w:ascii="Segoe UI" w:hAnsi="Segoe UI" w:cs="Segoe UI"/>
                <w:noProof/>
                <w:webHidden/>
              </w:rPr>
              <w:t>36</w:t>
            </w:r>
            <w:r w:rsidRPr="0052700B">
              <w:rPr>
                <w:rFonts w:ascii="Segoe UI" w:hAnsi="Segoe UI" w:cs="Segoe UI"/>
                <w:noProof/>
                <w:webHidden/>
              </w:rPr>
              <w:fldChar w:fldCharType="end"/>
            </w:r>
          </w:hyperlink>
        </w:p>
        <w:p w14:paraId="6EC820AF" w14:textId="7EE48A97" w:rsidR="0052700B" w:rsidRPr="0052700B" w:rsidRDefault="0052700B">
          <w:pPr>
            <w:pStyle w:val="Obsah3"/>
            <w:tabs>
              <w:tab w:val="left" w:pos="1200"/>
              <w:tab w:val="right" w:leader="dot" w:pos="9060"/>
            </w:tabs>
            <w:rPr>
              <w:rFonts w:ascii="Segoe UI" w:eastAsiaTheme="minorEastAsia" w:hAnsi="Segoe UI" w:cs="Segoe UI"/>
              <w:i w:val="0"/>
              <w:iCs w:val="0"/>
              <w:noProof/>
              <w:sz w:val="22"/>
              <w:szCs w:val="22"/>
              <w:lang w:eastAsia="sk-SK"/>
            </w:rPr>
          </w:pPr>
          <w:hyperlink w:anchor="_Toc182559194" w:history="1">
            <w:r w:rsidRPr="0052700B">
              <w:rPr>
                <w:rStyle w:val="Hypertextovprepojenie"/>
                <w:rFonts w:cs="Segoe UI"/>
                <w:noProof/>
              </w:rPr>
              <w:t>5.1.2</w:t>
            </w:r>
            <w:r w:rsidRPr="0052700B">
              <w:rPr>
                <w:rFonts w:ascii="Segoe UI" w:eastAsiaTheme="minorEastAsia" w:hAnsi="Segoe UI" w:cs="Segoe UI"/>
                <w:i w:val="0"/>
                <w:iCs w:val="0"/>
                <w:noProof/>
                <w:sz w:val="22"/>
                <w:szCs w:val="22"/>
                <w:lang w:eastAsia="sk-SK"/>
              </w:rPr>
              <w:tab/>
            </w:r>
            <w:r w:rsidRPr="0052700B">
              <w:rPr>
                <w:rStyle w:val="Hypertextovprepojenie"/>
                <w:rFonts w:cs="Segoe UI"/>
                <w:noProof/>
              </w:rPr>
              <w:t>Riziká neplnenia cieľov vlády</w:t>
            </w:r>
            <w:r w:rsidRPr="0052700B">
              <w:rPr>
                <w:rFonts w:ascii="Segoe UI" w:hAnsi="Segoe UI" w:cs="Segoe UI"/>
                <w:noProof/>
                <w:webHidden/>
              </w:rPr>
              <w:tab/>
            </w:r>
            <w:r w:rsidRPr="0052700B">
              <w:rPr>
                <w:rFonts w:ascii="Segoe UI" w:hAnsi="Segoe UI" w:cs="Segoe UI"/>
                <w:noProof/>
                <w:webHidden/>
              </w:rPr>
              <w:fldChar w:fldCharType="begin"/>
            </w:r>
            <w:r w:rsidRPr="0052700B">
              <w:rPr>
                <w:rFonts w:ascii="Segoe UI" w:hAnsi="Segoe UI" w:cs="Segoe UI"/>
                <w:noProof/>
                <w:webHidden/>
              </w:rPr>
              <w:instrText xml:space="preserve"> PAGEREF _Toc182559194 \h </w:instrText>
            </w:r>
            <w:r w:rsidRPr="0052700B">
              <w:rPr>
                <w:rFonts w:ascii="Segoe UI" w:hAnsi="Segoe UI" w:cs="Segoe UI"/>
                <w:noProof/>
                <w:webHidden/>
              </w:rPr>
            </w:r>
            <w:r w:rsidRPr="0052700B">
              <w:rPr>
                <w:rFonts w:ascii="Segoe UI" w:hAnsi="Segoe UI" w:cs="Segoe UI"/>
                <w:noProof/>
                <w:webHidden/>
              </w:rPr>
              <w:fldChar w:fldCharType="separate"/>
            </w:r>
            <w:r w:rsidR="003F23CE">
              <w:rPr>
                <w:rFonts w:ascii="Segoe UI" w:hAnsi="Segoe UI" w:cs="Segoe UI"/>
                <w:noProof/>
                <w:webHidden/>
              </w:rPr>
              <w:t>37</w:t>
            </w:r>
            <w:r w:rsidRPr="0052700B">
              <w:rPr>
                <w:rFonts w:ascii="Segoe UI" w:hAnsi="Segoe UI" w:cs="Segoe UI"/>
                <w:noProof/>
                <w:webHidden/>
              </w:rPr>
              <w:fldChar w:fldCharType="end"/>
            </w:r>
          </w:hyperlink>
        </w:p>
        <w:p w14:paraId="0E9ABDAF" w14:textId="11C5ED5F" w:rsidR="0052700B" w:rsidRPr="0052700B" w:rsidRDefault="0052700B">
          <w:pPr>
            <w:pStyle w:val="Obsah3"/>
            <w:tabs>
              <w:tab w:val="left" w:pos="1200"/>
              <w:tab w:val="right" w:leader="dot" w:pos="9060"/>
            </w:tabs>
            <w:rPr>
              <w:rFonts w:ascii="Segoe UI" w:eastAsiaTheme="minorEastAsia" w:hAnsi="Segoe UI" w:cs="Segoe UI"/>
              <w:i w:val="0"/>
              <w:iCs w:val="0"/>
              <w:noProof/>
              <w:sz w:val="22"/>
              <w:szCs w:val="22"/>
              <w:lang w:eastAsia="sk-SK"/>
            </w:rPr>
          </w:pPr>
          <w:hyperlink w:anchor="_Toc182559195" w:history="1">
            <w:r w:rsidRPr="0052700B">
              <w:rPr>
                <w:rStyle w:val="Hypertextovprepojenie"/>
                <w:rFonts w:cs="Segoe UI"/>
                <w:noProof/>
              </w:rPr>
              <w:t>5.1.3</w:t>
            </w:r>
            <w:r w:rsidRPr="0052700B">
              <w:rPr>
                <w:rFonts w:ascii="Segoe UI" w:eastAsiaTheme="minorEastAsia" w:hAnsi="Segoe UI" w:cs="Segoe UI"/>
                <w:i w:val="0"/>
                <w:iCs w:val="0"/>
                <w:noProof/>
                <w:sz w:val="22"/>
                <w:szCs w:val="22"/>
                <w:lang w:eastAsia="sk-SK"/>
              </w:rPr>
              <w:tab/>
            </w:r>
            <w:r w:rsidRPr="0052700B">
              <w:rPr>
                <w:rStyle w:val="Hypertextovprepojenie"/>
                <w:rFonts w:cs="Segoe UI"/>
                <w:noProof/>
              </w:rPr>
              <w:t>Rast záväzkov najväčších štátnych zdravotníckych zariadení</w:t>
            </w:r>
            <w:r w:rsidRPr="0052700B">
              <w:rPr>
                <w:rFonts w:ascii="Segoe UI" w:hAnsi="Segoe UI" w:cs="Segoe UI"/>
                <w:noProof/>
                <w:webHidden/>
              </w:rPr>
              <w:tab/>
            </w:r>
            <w:r w:rsidRPr="0052700B">
              <w:rPr>
                <w:rFonts w:ascii="Segoe UI" w:hAnsi="Segoe UI" w:cs="Segoe UI"/>
                <w:noProof/>
                <w:webHidden/>
              </w:rPr>
              <w:fldChar w:fldCharType="begin"/>
            </w:r>
            <w:r w:rsidRPr="0052700B">
              <w:rPr>
                <w:rFonts w:ascii="Segoe UI" w:hAnsi="Segoe UI" w:cs="Segoe UI"/>
                <w:noProof/>
                <w:webHidden/>
              </w:rPr>
              <w:instrText xml:space="preserve"> PAGEREF _Toc182559195 \h </w:instrText>
            </w:r>
            <w:r w:rsidRPr="0052700B">
              <w:rPr>
                <w:rFonts w:ascii="Segoe UI" w:hAnsi="Segoe UI" w:cs="Segoe UI"/>
                <w:noProof/>
                <w:webHidden/>
              </w:rPr>
            </w:r>
            <w:r w:rsidRPr="0052700B">
              <w:rPr>
                <w:rFonts w:ascii="Segoe UI" w:hAnsi="Segoe UI" w:cs="Segoe UI"/>
                <w:noProof/>
                <w:webHidden/>
              </w:rPr>
              <w:fldChar w:fldCharType="separate"/>
            </w:r>
            <w:r w:rsidR="003F23CE">
              <w:rPr>
                <w:rFonts w:ascii="Segoe UI" w:hAnsi="Segoe UI" w:cs="Segoe UI"/>
                <w:noProof/>
                <w:webHidden/>
              </w:rPr>
              <w:t>39</w:t>
            </w:r>
            <w:r w:rsidRPr="0052700B">
              <w:rPr>
                <w:rFonts w:ascii="Segoe UI" w:hAnsi="Segoe UI" w:cs="Segoe UI"/>
                <w:noProof/>
                <w:webHidden/>
              </w:rPr>
              <w:fldChar w:fldCharType="end"/>
            </w:r>
          </w:hyperlink>
        </w:p>
        <w:p w14:paraId="616B8976" w14:textId="5D84A4AC" w:rsidR="0052700B" w:rsidRPr="0052700B" w:rsidRDefault="0052700B">
          <w:pPr>
            <w:pStyle w:val="Obsah3"/>
            <w:tabs>
              <w:tab w:val="left" w:pos="1200"/>
              <w:tab w:val="right" w:leader="dot" w:pos="9060"/>
            </w:tabs>
            <w:rPr>
              <w:rFonts w:ascii="Segoe UI" w:eastAsiaTheme="minorEastAsia" w:hAnsi="Segoe UI" w:cs="Segoe UI"/>
              <w:i w:val="0"/>
              <w:iCs w:val="0"/>
              <w:noProof/>
              <w:sz w:val="22"/>
              <w:szCs w:val="22"/>
              <w:lang w:eastAsia="sk-SK"/>
            </w:rPr>
          </w:pPr>
          <w:hyperlink w:anchor="_Toc182559196" w:history="1">
            <w:r w:rsidRPr="0052700B">
              <w:rPr>
                <w:rStyle w:val="Hypertextovprepojenie"/>
                <w:rFonts w:cs="Segoe UI"/>
                <w:noProof/>
              </w:rPr>
              <w:t>5.1.4</w:t>
            </w:r>
            <w:r w:rsidRPr="0052700B">
              <w:rPr>
                <w:rFonts w:ascii="Segoe UI" w:eastAsiaTheme="minorEastAsia" w:hAnsi="Segoe UI" w:cs="Segoe UI"/>
                <w:i w:val="0"/>
                <w:iCs w:val="0"/>
                <w:noProof/>
                <w:sz w:val="22"/>
                <w:szCs w:val="22"/>
                <w:lang w:eastAsia="sk-SK"/>
              </w:rPr>
              <w:tab/>
            </w:r>
            <w:r w:rsidRPr="0052700B">
              <w:rPr>
                <w:rStyle w:val="Hypertextovprepojenie"/>
                <w:rFonts w:cs="Segoe UI"/>
                <w:noProof/>
              </w:rPr>
              <w:t>Investičný dlh budov najväčších štátnych zdravotníckych zariadení</w:t>
            </w:r>
            <w:r w:rsidRPr="0052700B">
              <w:rPr>
                <w:rFonts w:ascii="Segoe UI" w:hAnsi="Segoe UI" w:cs="Segoe UI"/>
                <w:noProof/>
                <w:webHidden/>
              </w:rPr>
              <w:tab/>
            </w:r>
            <w:r w:rsidRPr="0052700B">
              <w:rPr>
                <w:rFonts w:ascii="Segoe UI" w:hAnsi="Segoe UI" w:cs="Segoe UI"/>
                <w:noProof/>
                <w:webHidden/>
              </w:rPr>
              <w:fldChar w:fldCharType="begin"/>
            </w:r>
            <w:r w:rsidRPr="0052700B">
              <w:rPr>
                <w:rFonts w:ascii="Segoe UI" w:hAnsi="Segoe UI" w:cs="Segoe UI"/>
                <w:noProof/>
                <w:webHidden/>
              </w:rPr>
              <w:instrText xml:space="preserve"> PAGEREF _Toc182559196 \h </w:instrText>
            </w:r>
            <w:r w:rsidRPr="0052700B">
              <w:rPr>
                <w:rFonts w:ascii="Segoe UI" w:hAnsi="Segoe UI" w:cs="Segoe UI"/>
                <w:noProof/>
                <w:webHidden/>
              </w:rPr>
            </w:r>
            <w:r w:rsidRPr="0052700B">
              <w:rPr>
                <w:rFonts w:ascii="Segoe UI" w:hAnsi="Segoe UI" w:cs="Segoe UI"/>
                <w:noProof/>
                <w:webHidden/>
              </w:rPr>
              <w:fldChar w:fldCharType="separate"/>
            </w:r>
            <w:r w:rsidR="003F23CE">
              <w:rPr>
                <w:rFonts w:ascii="Segoe UI" w:hAnsi="Segoe UI" w:cs="Segoe UI"/>
                <w:noProof/>
                <w:webHidden/>
              </w:rPr>
              <w:t>40</w:t>
            </w:r>
            <w:r w:rsidRPr="0052700B">
              <w:rPr>
                <w:rFonts w:ascii="Segoe UI" w:hAnsi="Segoe UI" w:cs="Segoe UI"/>
                <w:noProof/>
                <w:webHidden/>
              </w:rPr>
              <w:fldChar w:fldCharType="end"/>
            </w:r>
          </w:hyperlink>
        </w:p>
        <w:p w14:paraId="7585581E" w14:textId="6BEBD0DF" w:rsidR="0052700B" w:rsidRPr="0052700B" w:rsidRDefault="0052700B">
          <w:pPr>
            <w:pStyle w:val="Obsah3"/>
            <w:tabs>
              <w:tab w:val="left" w:pos="1200"/>
              <w:tab w:val="right" w:leader="dot" w:pos="9060"/>
            </w:tabs>
            <w:rPr>
              <w:rFonts w:ascii="Segoe UI" w:eastAsiaTheme="minorEastAsia" w:hAnsi="Segoe UI" w:cs="Segoe UI"/>
              <w:i w:val="0"/>
              <w:iCs w:val="0"/>
              <w:noProof/>
              <w:sz w:val="22"/>
              <w:szCs w:val="22"/>
              <w:lang w:eastAsia="sk-SK"/>
            </w:rPr>
          </w:pPr>
          <w:hyperlink w:anchor="_Toc182559197" w:history="1">
            <w:r w:rsidRPr="0052700B">
              <w:rPr>
                <w:rStyle w:val="Hypertextovprepojenie"/>
                <w:rFonts w:cs="Segoe UI"/>
                <w:noProof/>
              </w:rPr>
              <w:t>5.1.5</w:t>
            </w:r>
            <w:r w:rsidRPr="0052700B">
              <w:rPr>
                <w:rFonts w:ascii="Segoe UI" w:eastAsiaTheme="minorEastAsia" w:hAnsi="Segoe UI" w:cs="Segoe UI"/>
                <w:i w:val="0"/>
                <w:iCs w:val="0"/>
                <w:noProof/>
                <w:sz w:val="22"/>
                <w:szCs w:val="22"/>
                <w:lang w:eastAsia="sk-SK"/>
              </w:rPr>
              <w:tab/>
            </w:r>
            <w:r w:rsidRPr="0052700B">
              <w:rPr>
                <w:rStyle w:val="Hypertextovprepojenie"/>
                <w:rFonts w:cs="Segoe UI"/>
                <w:noProof/>
              </w:rPr>
              <w:t>Neudržateľný rast výdavkov na lieky</w:t>
            </w:r>
            <w:r w:rsidRPr="0052700B">
              <w:rPr>
                <w:rFonts w:ascii="Segoe UI" w:hAnsi="Segoe UI" w:cs="Segoe UI"/>
                <w:noProof/>
                <w:webHidden/>
              </w:rPr>
              <w:tab/>
            </w:r>
            <w:r w:rsidRPr="0052700B">
              <w:rPr>
                <w:rFonts w:ascii="Segoe UI" w:hAnsi="Segoe UI" w:cs="Segoe UI"/>
                <w:noProof/>
                <w:webHidden/>
              </w:rPr>
              <w:fldChar w:fldCharType="begin"/>
            </w:r>
            <w:r w:rsidRPr="0052700B">
              <w:rPr>
                <w:rFonts w:ascii="Segoe UI" w:hAnsi="Segoe UI" w:cs="Segoe UI"/>
                <w:noProof/>
                <w:webHidden/>
              </w:rPr>
              <w:instrText xml:space="preserve"> PAGEREF _Toc182559197 \h </w:instrText>
            </w:r>
            <w:r w:rsidRPr="0052700B">
              <w:rPr>
                <w:rFonts w:ascii="Segoe UI" w:hAnsi="Segoe UI" w:cs="Segoe UI"/>
                <w:noProof/>
                <w:webHidden/>
              </w:rPr>
            </w:r>
            <w:r w:rsidRPr="0052700B">
              <w:rPr>
                <w:rFonts w:ascii="Segoe UI" w:hAnsi="Segoe UI" w:cs="Segoe UI"/>
                <w:noProof/>
                <w:webHidden/>
              </w:rPr>
              <w:fldChar w:fldCharType="separate"/>
            </w:r>
            <w:r w:rsidR="003F23CE">
              <w:rPr>
                <w:rFonts w:ascii="Segoe UI" w:hAnsi="Segoe UI" w:cs="Segoe UI"/>
                <w:noProof/>
                <w:webHidden/>
              </w:rPr>
              <w:t>42</w:t>
            </w:r>
            <w:r w:rsidRPr="0052700B">
              <w:rPr>
                <w:rFonts w:ascii="Segoe UI" w:hAnsi="Segoe UI" w:cs="Segoe UI"/>
                <w:noProof/>
                <w:webHidden/>
              </w:rPr>
              <w:fldChar w:fldCharType="end"/>
            </w:r>
          </w:hyperlink>
        </w:p>
        <w:p w14:paraId="17927874" w14:textId="6128DA25" w:rsidR="0052700B" w:rsidRPr="0052700B" w:rsidRDefault="0052700B">
          <w:pPr>
            <w:pStyle w:val="Obsah2"/>
            <w:tabs>
              <w:tab w:val="left" w:pos="800"/>
              <w:tab w:val="right" w:leader="dot" w:pos="9060"/>
            </w:tabs>
            <w:rPr>
              <w:rFonts w:ascii="Segoe UI" w:eastAsiaTheme="minorEastAsia" w:hAnsi="Segoe UI" w:cs="Segoe UI"/>
              <w:smallCaps w:val="0"/>
              <w:noProof/>
              <w:sz w:val="22"/>
              <w:szCs w:val="22"/>
              <w:lang w:eastAsia="sk-SK"/>
            </w:rPr>
          </w:pPr>
          <w:hyperlink w:anchor="_Toc182559198" w:history="1">
            <w:r w:rsidRPr="0052700B">
              <w:rPr>
                <w:rStyle w:val="Hypertextovprepojenie"/>
                <w:rFonts w:cs="Segoe UI"/>
                <w:noProof/>
              </w:rPr>
              <w:t>5.2</w:t>
            </w:r>
            <w:r w:rsidRPr="0052700B">
              <w:rPr>
                <w:rFonts w:ascii="Segoe UI" w:eastAsiaTheme="minorEastAsia" w:hAnsi="Segoe UI" w:cs="Segoe UI"/>
                <w:smallCaps w:val="0"/>
                <w:noProof/>
                <w:sz w:val="22"/>
                <w:szCs w:val="22"/>
                <w:lang w:eastAsia="sk-SK"/>
              </w:rPr>
              <w:tab/>
            </w:r>
            <w:r w:rsidRPr="0052700B">
              <w:rPr>
                <w:rStyle w:val="Hypertextovprepojenie"/>
                <w:rFonts w:cs="Segoe UI"/>
                <w:noProof/>
              </w:rPr>
              <w:t>Vzdelávanie, veda a technika</w:t>
            </w:r>
            <w:r w:rsidRPr="0052700B">
              <w:rPr>
                <w:rFonts w:ascii="Segoe UI" w:hAnsi="Segoe UI" w:cs="Segoe UI"/>
                <w:noProof/>
                <w:webHidden/>
              </w:rPr>
              <w:tab/>
            </w:r>
            <w:r w:rsidRPr="0052700B">
              <w:rPr>
                <w:rFonts w:ascii="Segoe UI" w:hAnsi="Segoe UI" w:cs="Segoe UI"/>
                <w:noProof/>
                <w:webHidden/>
              </w:rPr>
              <w:fldChar w:fldCharType="begin"/>
            </w:r>
            <w:r w:rsidRPr="0052700B">
              <w:rPr>
                <w:rFonts w:ascii="Segoe UI" w:hAnsi="Segoe UI" w:cs="Segoe UI"/>
                <w:noProof/>
                <w:webHidden/>
              </w:rPr>
              <w:instrText xml:space="preserve"> PAGEREF _Toc182559198 \h </w:instrText>
            </w:r>
            <w:r w:rsidRPr="0052700B">
              <w:rPr>
                <w:rFonts w:ascii="Segoe UI" w:hAnsi="Segoe UI" w:cs="Segoe UI"/>
                <w:noProof/>
                <w:webHidden/>
              </w:rPr>
            </w:r>
            <w:r w:rsidRPr="0052700B">
              <w:rPr>
                <w:rFonts w:ascii="Segoe UI" w:hAnsi="Segoe UI" w:cs="Segoe UI"/>
                <w:noProof/>
                <w:webHidden/>
              </w:rPr>
              <w:fldChar w:fldCharType="separate"/>
            </w:r>
            <w:r w:rsidR="003F23CE">
              <w:rPr>
                <w:rFonts w:ascii="Segoe UI" w:hAnsi="Segoe UI" w:cs="Segoe UI"/>
                <w:noProof/>
                <w:webHidden/>
              </w:rPr>
              <w:t>43</w:t>
            </w:r>
            <w:r w:rsidRPr="0052700B">
              <w:rPr>
                <w:rFonts w:ascii="Segoe UI" w:hAnsi="Segoe UI" w:cs="Segoe UI"/>
                <w:noProof/>
                <w:webHidden/>
              </w:rPr>
              <w:fldChar w:fldCharType="end"/>
            </w:r>
          </w:hyperlink>
        </w:p>
        <w:p w14:paraId="6923AFDD" w14:textId="43761A94" w:rsidR="0052700B" w:rsidRPr="0052700B" w:rsidRDefault="0052700B">
          <w:pPr>
            <w:pStyle w:val="Obsah3"/>
            <w:tabs>
              <w:tab w:val="left" w:pos="1200"/>
              <w:tab w:val="right" w:leader="dot" w:pos="9060"/>
            </w:tabs>
            <w:rPr>
              <w:rFonts w:ascii="Segoe UI" w:eastAsiaTheme="minorEastAsia" w:hAnsi="Segoe UI" w:cs="Segoe UI"/>
              <w:i w:val="0"/>
              <w:iCs w:val="0"/>
              <w:noProof/>
              <w:sz w:val="22"/>
              <w:szCs w:val="22"/>
              <w:lang w:eastAsia="sk-SK"/>
            </w:rPr>
          </w:pPr>
          <w:hyperlink w:anchor="_Toc182559199" w:history="1">
            <w:r w:rsidRPr="0052700B">
              <w:rPr>
                <w:rStyle w:val="Hypertextovprepojenie"/>
                <w:rFonts w:cs="Segoe UI"/>
                <w:noProof/>
              </w:rPr>
              <w:t>5.2.1</w:t>
            </w:r>
            <w:r w:rsidRPr="0052700B">
              <w:rPr>
                <w:rFonts w:ascii="Segoe UI" w:eastAsiaTheme="minorEastAsia" w:hAnsi="Segoe UI" w:cs="Segoe UI"/>
                <w:i w:val="0"/>
                <w:iCs w:val="0"/>
                <w:noProof/>
                <w:sz w:val="22"/>
                <w:szCs w:val="22"/>
                <w:lang w:eastAsia="sk-SK"/>
              </w:rPr>
              <w:tab/>
            </w:r>
            <w:r w:rsidRPr="0052700B">
              <w:rPr>
                <w:rStyle w:val="Hypertextovprepojenie"/>
                <w:rFonts w:cs="Segoe UI"/>
                <w:noProof/>
              </w:rPr>
              <w:t>Zmena financovania predprimárneho vzdelávania</w:t>
            </w:r>
            <w:r w:rsidRPr="0052700B">
              <w:rPr>
                <w:rFonts w:ascii="Segoe UI" w:hAnsi="Segoe UI" w:cs="Segoe UI"/>
                <w:noProof/>
                <w:webHidden/>
              </w:rPr>
              <w:tab/>
            </w:r>
            <w:r w:rsidRPr="0052700B">
              <w:rPr>
                <w:rFonts w:ascii="Segoe UI" w:hAnsi="Segoe UI" w:cs="Segoe UI"/>
                <w:noProof/>
                <w:webHidden/>
              </w:rPr>
              <w:fldChar w:fldCharType="begin"/>
            </w:r>
            <w:r w:rsidRPr="0052700B">
              <w:rPr>
                <w:rFonts w:ascii="Segoe UI" w:hAnsi="Segoe UI" w:cs="Segoe UI"/>
                <w:noProof/>
                <w:webHidden/>
              </w:rPr>
              <w:instrText xml:space="preserve"> PAGEREF _Toc182559199 \h </w:instrText>
            </w:r>
            <w:r w:rsidRPr="0052700B">
              <w:rPr>
                <w:rFonts w:ascii="Segoe UI" w:hAnsi="Segoe UI" w:cs="Segoe UI"/>
                <w:noProof/>
                <w:webHidden/>
              </w:rPr>
            </w:r>
            <w:r w:rsidRPr="0052700B">
              <w:rPr>
                <w:rFonts w:ascii="Segoe UI" w:hAnsi="Segoe UI" w:cs="Segoe UI"/>
                <w:noProof/>
                <w:webHidden/>
              </w:rPr>
              <w:fldChar w:fldCharType="separate"/>
            </w:r>
            <w:r w:rsidR="003F23CE">
              <w:rPr>
                <w:rFonts w:ascii="Segoe UI" w:hAnsi="Segoe UI" w:cs="Segoe UI"/>
                <w:noProof/>
                <w:webHidden/>
              </w:rPr>
              <w:t>44</w:t>
            </w:r>
            <w:r w:rsidRPr="0052700B">
              <w:rPr>
                <w:rFonts w:ascii="Segoe UI" w:hAnsi="Segoe UI" w:cs="Segoe UI"/>
                <w:noProof/>
                <w:webHidden/>
              </w:rPr>
              <w:fldChar w:fldCharType="end"/>
            </w:r>
          </w:hyperlink>
        </w:p>
        <w:p w14:paraId="191E9431" w14:textId="396F39FF" w:rsidR="0052700B" w:rsidRPr="0052700B" w:rsidRDefault="0052700B">
          <w:pPr>
            <w:pStyle w:val="Obsah3"/>
            <w:tabs>
              <w:tab w:val="left" w:pos="1200"/>
              <w:tab w:val="right" w:leader="dot" w:pos="9060"/>
            </w:tabs>
            <w:rPr>
              <w:rFonts w:ascii="Segoe UI" w:eastAsiaTheme="minorEastAsia" w:hAnsi="Segoe UI" w:cs="Segoe UI"/>
              <w:i w:val="0"/>
              <w:iCs w:val="0"/>
              <w:noProof/>
              <w:sz w:val="22"/>
              <w:szCs w:val="22"/>
              <w:lang w:eastAsia="sk-SK"/>
            </w:rPr>
          </w:pPr>
          <w:hyperlink w:anchor="_Toc182559200" w:history="1">
            <w:r w:rsidRPr="0052700B">
              <w:rPr>
                <w:rStyle w:val="Hypertextovprepojenie"/>
                <w:rFonts w:cs="Segoe UI"/>
                <w:noProof/>
              </w:rPr>
              <w:t>5.2.2</w:t>
            </w:r>
            <w:r w:rsidRPr="0052700B">
              <w:rPr>
                <w:rFonts w:ascii="Segoe UI" w:eastAsiaTheme="minorEastAsia" w:hAnsi="Segoe UI" w:cs="Segoe UI"/>
                <w:i w:val="0"/>
                <w:iCs w:val="0"/>
                <w:noProof/>
                <w:sz w:val="22"/>
                <w:szCs w:val="22"/>
                <w:lang w:eastAsia="sk-SK"/>
              </w:rPr>
              <w:tab/>
            </w:r>
            <w:r w:rsidRPr="0052700B">
              <w:rPr>
                <w:rStyle w:val="Hypertextovprepojenie"/>
                <w:rFonts w:cs="Segoe UI"/>
                <w:noProof/>
              </w:rPr>
              <w:t>Negatívne dôsledky poklesu reálnych miezd učiteľov</w:t>
            </w:r>
            <w:r w:rsidRPr="0052700B">
              <w:rPr>
                <w:rFonts w:ascii="Segoe UI" w:hAnsi="Segoe UI" w:cs="Segoe UI"/>
                <w:noProof/>
                <w:webHidden/>
              </w:rPr>
              <w:tab/>
            </w:r>
            <w:r w:rsidRPr="0052700B">
              <w:rPr>
                <w:rFonts w:ascii="Segoe UI" w:hAnsi="Segoe UI" w:cs="Segoe UI"/>
                <w:noProof/>
                <w:webHidden/>
              </w:rPr>
              <w:fldChar w:fldCharType="begin"/>
            </w:r>
            <w:r w:rsidRPr="0052700B">
              <w:rPr>
                <w:rFonts w:ascii="Segoe UI" w:hAnsi="Segoe UI" w:cs="Segoe UI"/>
                <w:noProof/>
                <w:webHidden/>
              </w:rPr>
              <w:instrText xml:space="preserve"> PAGEREF _Toc182559200 \h </w:instrText>
            </w:r>
            <w:r w:rsidRPr="0052700B">
              <w:rPr>
                <w:rFonts w:ascii="Segoe UI" w:hAnsi="Segoe UI" w:cs="Segoe UI"/>
                <w:noProof/>
                <w:webHidden/>
              </w:rPr>
            </w:r>
            <w:r w:rsidRPr="0052700B">
              <w:rPr>
                <w:rFonts w:ascii="Segoe UI" w:hAnsi="Segoe UI" w:cs="Segoe UI"/>
                <w:noProof/>
                <w:webHidden/>
              </w:rPr>
              <w:fldChar w:fldCharType="separate"/>
            </w:r>
            <w:r w:rsidR="003F23CE">
              <w:rPr>
                <w:rFonts w:ascii="Segoe UI" w:hAnsi="Segoe UI" w:cs="Segoe UI"/>
                <w:noProof/>
                <w:webHidden/>
              </w:rPr>
              <w:t>44</w:t>
            </w:r>
            <w:r w:rsidRPr="0052700B">
              <w:rPr>
                <w:rFonts w:ascii="Segoe UI" w:hAnsi="Segoe UI" w:cs="Segoe UI"/>
                <w:noProof/>
                <w:webHidden/>
              </w:rPr>
              <w:fldChar w:fldCharType="end"/>
            </w:r>
          </w:hyperlink>
        </w:p>
        <w:p w14:paraId="4527ECA6" w14:textId="4E889E94" w:rsidR="0052700B" w:rsidRPr="0052700B" w:rsidRDefault="0052700B">
          <w:pPr>
            <w:pStyle w:val="Obsah3"/>
            <w:tabs>
              <w:tab w:val="left" w:pos="1200"/>
              <w:tab w:val="right" w:leader="dot" w:pos="9060"/>
            </w:tabs>
            <w:rPr>
              <w:rFonts w:ascii="Segoe UI" w:eastAsiaTheme="minorEastAsia" w:hAnsi="Segoe UI" w:cs="Segoe UI"/>
              <w:i w:val="0"/>
              <w:iCs w:val="0"/>
              <w:noProof/>
              <w:sz w:val="22"/>
              <w:szCs w:val="22"/>
              <w:lang w:eastAsia="sk-SK"/>
            </w:rPr>
          </w:pPr>
          <w:hyperlink w:anchor="_Toc182559201" w:history="1">
            <w:r w:rsidRPr="0052700B">
              <w:rPr>
                <w:rStyle w:val="Hypertextovprepojenie"/>
                <w:rFonts w:cs="Segoe UI"/>
                <w:noProof/>
              </w:rPr>
              <w:t>5.2.3</w:t>
            </w:r>
            <w:r w:rsidRPr="0052700B">
              <w:rPr>
                <w:rFonts w:ascii="Segoe UI" w:eastAsiaTheme="minorEastAsia" w:hAnsi="Segoe UI" w:cs="Segoe UI"/>
                <w:i w:val="0"/>
                <w:iCs w:val="0"/>
                <w:noProof/>
                <w:sz w:val="22"/>
                <w:szCs w:val="22"/>
                <w:lang w:eastAsia="sk-SK"/>
              </w:rPr>
              <w:tab/>
            </w:r>
            <w:r w:rsidRPr="0052700B">
              <w:rPr>
                <w:rStyle w:val="Hypertextovprepojenie"/>
                <w:rFonts w:cs="Segoe UI"/>
                <w:noProof/>
              </w:rPr>
              <w:t>Pretrvávajúci nedostatok pedagogických asistentov v materských školách</w:t>
            </w:r>
            <w:r w:rsidRPr="0052700B">
              <w:rPr>
                <w:rFonts w:ascii="Segoe UI" w:hAnsi="Segoe UI" w:cs="Segoe UI"/>
                <w:noProof/>
                <w:webHidden/>
              </w:rPr>
              <w:tab/>
            </w:r>
            <w:r w:rsidRPr="0052700B">
              <w:rPr>
                <w:rFonts w:ascii="Segoe UI" w:hAnsi="Segoe UI" w:cs="Segoe UI"/>
                <w:noProof/>
                <w:webHidden/>
              </w:rPr>
              <w:fldChar w:fldCharType="begin"/>
            </w:r>
            <w:r w:rsidRPr="0052700B">
              <w:rPr>
                <w:rFonts w:ascii="Segoe UI" w:hAnsi="Segoe UI" w:cs="Segoe UI"/>
                <w:noProof/>
                <w:webHidden/>
              </w:rPr>
              <w:instrText xml:space="preserve"> PAGEREF _Toc182559201 \h </w:instrText>
            </w:r>
            <w:r w:rsidRPr="0052700B">
              <w:rPr>
                <w:rFonts w:ascii="Segoe UI" w:hAnsi="Segoe UI" w:cs="Segoe UI"/>
                <w:noProof/>
                <w:webHidden/>
              </w:rPr>
            </w:r>
            <w:r w:rsidRPr="0052700B">
              <w:rPr>
                <w:rFonts w:ascii="Segoe UI" w:hAnsi="Segoe UI" w:cs="Segoe UI"/>
                <w:noProof/>
                <w:webHidden/>
              </w:rPr>
              <w:fldChar w:fldCharType="separate"/>
            </w:r>
            <w:r w:rsidR="003F23CE">
              <w:rPr>
                <w:rFonts w:ascii="Segoe UI" w:hAnsi="Segoe UI" w:cs="Segoe UI"/>
                <w:noProof/>
                <w:webHidden/>
              </w:rPr>
              <w:t>46</w:t>
            </w:r>
            <w:r w:rsidRPr="0052700B">
              <w:rPr>
                <w:rFonts w:ascii="Segoe UI" w:hAnsi="Segoe UI" w:cs="Segoe UI"/>
                <w:noProof/>
                <w:webHidden/>
              </w:rPr>
              <w:fldChar w:fldCharType="end"/>
            </w:r>
          </w:hyperlink>
        </w:p>
        <w:p w14:paraId="27AE75C5" w14:textId="0FFA3A31" w:rsidR="0052700B" w:rsidRPr="0052700B" w:rsidRDefault="0052700B">
          <w:pPr>
            <w:pStyle w:val="Obsah3"/>
            <w:tabs>
              <w:tab w:val="left" w:pos="1200"/>
              <w:tab w:val="right" w:leader="dot" w:pos="9060"/>
            </w:tabs>
            <w:rPr>
              <w:rFonts w:ascii="Segoe UI" w:eastAsiaTheme="minorEastAsia" w:hAnsi="Segoe UI" w:cs="Segoe UI"/>
              <w:i w:val="0"/>
              <w:iCs w:val="0"/>
              <w:noProof/>
              <w:sz w:val="22"/>
              <w:szCs w:val="22"/>
              <w:lang w:eastAsia="sk-SK"/>
            </w:rPr>
          </w:pPr>
          <w:hyperlink w:anchor="_Toc182559202" w:history="1">
            <w:r w:rsidRPr="0052700B">
              <w:rPr>
                <w:rStyle w:val="Hypertextovprepojenie"/>
                <w:rFonts w:cs="Segoe UI"/>
                <w:noProof/>
              </w:rPr>
              <w:t>5.2.4</w:t>
            </w:r>
            <w:r w:rsidRPr="0052700B">
              <w:rPr>
                <w:rFonts w:ascii="Segoe UI" w:eastAsiaTheme="minorEastAsia" w:hAnsi="Segoe UI" w:cs="Segoe UI"/>
                <w:i w:val="0"/>
                <w:iCs w:val="0"/>
                <w:noProof/>
                <w:sz w:val="22"/>
                <w:szCs w:val="22"/>
                <w:lang w:eastAsia="sk-SK"/>
              </w:rPr>
              <w:tab/>
            </w:r>
            <w:r w:rsidRPr="0052700B">
              <w:rPr>
                <w:rStyle w:val="Hypertextovprepojenie"/>
                <w:rFonts w:cs="Segoe UI"/>
                <w:noProof/>
              </w:rPr>
              <w:t>Nízke kapitálové výdavky na vedu a techniku</w:t>
            </w:r>
            <w:r w:rsidRPr="0052700B">
              <w:rPr>
                <w:rFonts w:ascii="Segoe UI" w:hAnsi="Segoe UI" w:cs="Segoe UI"/>
                <w:noProof/>
                <w:webHidden/>
              </w:rPr>
              <w:tab/>
            </w:r>
            <w:r w:rsidRPr="0052700B">
              <w:rPr>
                <w:rFonts w:ascii="Segoe UI" w:hAnsi="Segoe UI" w:cs="Segoe UI"/>
                <w:noProof/>
                <w:webHidden/>
              </w:rPr>
              <w:fldChar w:fldCharType="begin"/>
            </w:r>
            <w:r w:rsidRPr="0052700B">
              <w:rPr>
                <w:rFonts w:ascii="Segoe UI" w:hAnsi="Segoe UI" w:cs="Segoe UI"/>
                <w:noProof/>
                <w:webHidden/>
              </w:rPr>
              <w:instrText xml:space="preserve"> PAGEREF _Toc182559202 \h </w:instrText>
            </w:r>
            <w:r w:rsidRPr="0052700B">
              <w:rPr>
                <w:rFonts w:ascii="Segoe UI" w:hAnsi="Segoe UI" w:cs="Segoe UI"/>
                <w:noProof/>
                <w:webHidden/>
              </w:rPr>
            </w:r>
            <w:r w:rsidRPr="0052700B">
              <w:rPr>
                <w:rFonts w:ascii="Segoe UI" w:hAnsi="Segoe UI" w:cs="Segoe UI"/>
                <w:noProof/>
                <w:webHidden/>
              </w:rPr>
              <w:fldChar w:fldCharType="separate"/>
            </w:r>
            <w:r w:rsidR="003F23CE">
              <w:rPr>
                <w:rFonts w:ascii="Segoe UI" w:hAnsi="Segoe UI" w:cs="Segoe UI"/>
                <w:noProof/>
                <w:webHidden/>
              </w:rPr>
              <w:t>48</w:t>
            </w:r>
            <w:r w:rsidRPr="0052700B">
              <w:rPr>
                <w:rFonts w:ascii="Segoe UI" w:hAnsi="Segoe UI" w:cs="Segoe UI"/>
                <w:noProof/>
                <w:webHidden/>
              </w:rPr>
              <w:fldChar w:fldCharType="end"/>
            </w:r>
          </w:hyperlink>
        </w:p>
        <w:p w14:paraId="6AE8DBC2" w14:textId="7CC6165F" w:rsidR="0052700B" w:rsidRPr="0052700B" w:rsidRDefault="0052700B">
          <w:pPr>
            <w:pStyle w:val="Obsah2"/>
            <w:tabs>
              <w:tab w:val="left" w:pos="800"/>
              <w:tab w:val="right" w:leader="dot" w:pos="9060"/>
            </w:tabs>
            <w:rPr>
              <w:rFonts w:ascii="Segoe UI" w:eastAsiaTheme="minorEastAsia" w:hAnsi="Segoe UI" w:cs="Segoe UI"/>
              <w:smallCaps w:val="0"/>
              <w:noProof/>
              <w:sz w:val="22"/>
              <w:szCs w:val="22"/>
              <w:lang w:eastAsia="sk-SK"/>
            </w:rPr>
          </w:pPr>
          <w:hyperlink w:anchor="_Toc182559203" w:history="1">
            <w:r w:rsidRPr="0052700B">
              <w:rPr>
                <w:rStyle w:val="Hypertextovprepojenie"/>
                <w:rFonts w:cs="Segoe UI"/>
                <w:noProof/>
              </w:rPr>
              <w:t>5.3</w:t>
            </w:r>
            <w:r w:rsidRPr="0052700B">
              <w:rPr>
                <w:rFonts w:ascii="Segoe UI" w:eastAsiaTheme="minorEastAsia" w:hAnsi="Segoe UI" w:cs="Segoe UI"/>
                <w:smallCaps w:val="0"/>
                <w:noProof/>
                <w:sz w:val="22"/>
                <w:szCs w:val="22"/>
                <w:lang w:eastAsia="sk-SK"/>
              </w:rPr>
              <w:tab/>
            </w:r>
            <w:r w:rsidRPr="0052700B">
              <w:rPr>
                <w:rStyle w:val="Hypertextovprepojenie"/>
                <w:rFonts w:cs="Segoe UI"/>
                <w:noProof/>
              </w:rPr>
              <w:t>Životné prostredie</w:t>
            </w:r>
            <w:r w:rsidRPr="0052700B">
              <w:rPr>
                <w:rFonts w:ascii="Segoe UI" w:hAnsi="Segoe UI" w:cs="Segoe UI"/>
                <w:noProof/>
                <w:webHidden/>
              </w:rPr>
              <w:tab/>
            </w:r>
            <w:r w:rsidRPr="0052700B">
              <w:rPr>
                <w:rFonts w:ascii="Segoe UI" w:hAnsi="Segoe UI" w:cs="Segoe UI"/>
                <w:noProof/>
                <w:webHidden/>
              </w:rPr>
              <w:fldChar w:fldCharType="begin"/>
            </w:r>
            <w:r w:rsidRPr="0052700B">
              <w:rPr>
                <w:rFonts w:ascii="Segoe UI" w:hAnsi="Segoe UI" w:cs="Segoe UI"/>
                <w:noProof/>
                <w:webHidden/>
              </w:rPr>
              <w:instrText xml:space="preserve"> PAGEREF _Toc182559203 \h </w:instrText>
            </w:r>
            <w:r w:rsidRPr="0052700B">
              <w:rPr>
                <w:rFonts w:ascii="Segoe UI" w:hAnsi="Segoe UI" w:cs="Segoe UI"/>
                <w:noProof/>
                <w:webHidden/>
              </w:rPr>
            </w:r>
            <w:r w:rsidRPr="0052700B">
              <w:rPr>
                <w:rFonts w:ascii="Segoe UI" w:hAnsi="Segoe UI" w:cs="Segoe UI"/>
                <w:noProof/>
                <w:webHidden/>
              </w:rPr>
              <w:fldChar w:fldCharType="separate"/>
            </w:r>
            <w:r w:rsidR="003F23CE">
              <w:rPr>
                <w:rFonts w:ascii="Segoe UI" w:hAnsi="Segoe UI" w:cs="Segoe UI"/>
                <w:noProof/>
                <w:webHidden/>
              </w:rPr>
              <w:t>48</w:t>
            </w:r>
            <w:r w:rsidRPr="0052700B">
              <w:rPr>
                <w:rFonts w:ascii="Segoe UI" w:hAnsi="Segoe UI" w:cs="Segoe UI"/>
                <w:noProof/>
                <w:webHidden/>
              </w:rPr>
              <w:fldChar w:fldCharType="end"/>
            </w:r>
          </w:hyperlink>
        </w:p>
        <w:p w14:paraId="02438F7A" w14:textId="1CEE64EC" w:rsidR="0052700B" w:rsidRPr="0052700B" w:rsidRDefault="0052700B">
          <w:pPr>
            <w:pStyle w:val="Obsah3"/>
            <w:tabs>
              <w:tab w:val="left" w:pos="1200"/>
              <w:tab w:val="right" w:leader="dot" w:pos="9060"/>
            </w:tabs>
            <w:rPr>
              <w:rFonts w:ascii="Segoe UI" w:eastAsiaTheme="minorEastAsia" w:hAnsi="Segoe UI" w:cs="Segoe UI"/>
              <w:i w:val="0"/>
              <w:iCs w:val="0"/>
              <w:noProof/>
              <w:sz w:val="22"/>
              <w:szCs w:val="22"/>
              <w:lang w:eastAsia="sk-SK"/>
            </w:rPr>
          </w:pPr>
          <w:hyperlink w:anchor="_Toc182559204" w:history="1">
            <w:r w:rsidRPr="0052700B">
              <w:rPr>
                <w:rStyle w:val="Hypertextovprepojenie"/>
                <w:rFonts w:cs="Segoe UI"/>
                <w:noProof/>
              </w:rPr>
              <w:t>5.3.1</w:t>
            </w:r>
            <w:r w:rsidRPr="0052700B">
              <w:rPr>
                <w:rFonts w:ascii="Segoe UI" w:eastAsiaTheme="minorEastAsia" w:hAnsi="Segoe UI" w:cs="Segoe UI"/>
                <w:i w:val="0"/>
                <w:iCs w:val="0"/>
                <w:noProof/>
                <w:sz w:val="22"/>
                <w:szCs w:val="22"/>
                <w:lang w:eastAsia="sk-SK"/>
              </w:rPr>
              <w:tab/>
            </w:r>
            <w:r w:rsidRPr="0052700B">
              <w:rPr>
                <w:rStyle w:val="Hypertextovprepojenie"/>
                <w:rFonts w:cs="Segoe UI"/>
                <w:noProof/>
              </w:rPr>
              <w:t>Nedostatočná výstavba verejnej kanalizácie a riziko nízkej efektivity ochrany prírody</w:t>
            </w:r>
            <w:r w:rsidRPr="0052700B">
              <w:rPr>
                <w:rFonts w:ascii="Segoe UI" w:hAnsi="Segoe UI" w:cs="Segoe UI"/>
                <w:noProof/>
                <w:webHidden/>
              </w:rPr>
              <w:tab/>
            </w:r>
            <w:r w:rsidRPr="0052700B">
              <w:rPr>
                <w:rFonts w:ascii="Segoe UI" w:hAnsi="Segoe UI" w:cs="Segoe UI"/>
                <w:noProof/>
                <w:webHidden/>
              </w:rPr>
              <w:fldChar w:fldCharType="begin"/>
            </w:r>
            <w:r w:rsidRPr="0052700B">
              <w:rPr>
                <w:rFonts w:ascii="Segoe UI" w:hAnsi="Segoe UI" w:cs="Segoe UI"/>
                <w:noProof/>
                <w:webHidden/>
              </w:rPr>
              <w:instrText xml:space="preserve"> PAGEREF _Toc182559204 \h </w:instrText>
            </w:r>
            <w:r w:rsidRPr="0052700B">
              <w:rPr>
                <w:rFonts w:ascii="Segoe UI" w:hAnsi="Segoe UI" w:cs="Segoe UI"/>
                <w:noProof/>
                <w:webHidden/>
              </w:rPr>
            </w:r>
            <w:r w:rsidRPr="0052700B">
              <w:rPr>
                <w:rFonts w:ascii="Segoe UI" w:hAnsi="Segoe UI" w:cs="Segoe UI"/>
                <w:noProof/>
                <w:webHidden/>
              </w:rPr>
              <w:fldChar w:fldCharType="separate"/>
            </w:r>
            <w:r w:rsidR="003F23CE">
              <w:rPr>
                <w:rFonts w:ascii="Segoe UI" w:hAnsi="Segoe UI" w:cs="Segoe UI"/>
                <w:noProof/>
                <w:webHidden/>
              </w:rPr>
              <w:t>49</w:t>
            </w:r>
            <w:r w:rsidRPr="0052700B">
              <w:rPr>
                <w:rFonts w:ascii="Segoe UI" w:hAnsi="Segoe UI" w:cs="Segoe UI"/>
                <w:noProof/>
                <w:webHidden/>
              </w:rPr>
              <w:fldChar w:fldCharType="end"/>
            </w:r>
          </w:hyperlink>
        </w:p>
        <w:p w14:paraId="74E3E14E" w14:textId="731FA29F" w:rsidR="0052700B" w:rsidRPr="0052700B" w:rsidRDefault="0052700B">
          <w:pPr>
            <w:pStyle w:val="Obsah3"/>
            <w:tabs>
              <w:tab w:val="left" w:pos="1200"/>
              <w:tab w:val="right" w:leader="dot" w:pos="9060"/>
            </w:tabs>
            <w:rPr>
              <w:rFonts w:ascii="Segoe UI" w:eastAsiaTheme="minorEastAsia" w:hAnsi="Segoe UI" w:cs="Segoe UI"/>
              <w:i w:val="0"/>
              <w:iCs w:val="0"/>
              <w:noProof/>
              <w:sz w:val="22"/>
              <w:szCs w:val="22"/>
              <w:lang w:eastAsia="sk-SK"/>
            </w:rPr>
          </w:pPr>
          <w:hyperlink w:anchor="_Toc182559205" w:history="1">
            <w:r w:rsidRPr="0052700B">
              <w:rPr>
                <w:rStyle w:val="Hypertextovprepojenie"/>
                <w:rFonts w:cs="Segoe UI"/>
                <w:noProof/>
              </w:rPr>
              <w:t>5.3.2</w:t>
            </w:r>
            <w:r w:rsidRPr="0052700B">
              <w:rPr>
                <w:rFonts w:ascii="Segoe UI" w:eastAsiaTheme="minorEastAsia" w:hAnsi="Segoe UI" w:cs="Segoe UI"/>
                <w:i w:val="0"/>
                <w:iCs w:val="0"/>
                <w:noProof/>
                <w:sz w:val="22"/>
                <w:szCs w:val="22"/>
                <w:lang w:eastAsia="sk-SK"/>
              </w:rPr>
              <w:tab/>
            </w:r>
            <w:r w:rsidRPr="0052700B">
              <w:rPr>
                <w:rStyle w:val="Hypertextovprepojenie"/>
                <w:rFonts w:cs="Segoe UI"/>
                <w:noProof/>
              </w:rPr>
              <w:t>Riziko súvisiace so zmenou klímy a nedostatočná ochrana ovzdušia</w:t>
            </w:r>
            <w:r w:rsidRPr="0052700B">
              <w:rPr>
                <w:rFonts w:ascii="Segoe UI" w:hAnsi="Segoe UI" w:cs="Segoe UI"/>
                <w:noProof/>
                <w:webHidden/>
              </w:rPr>
              <w:tab/>
            </w:r>
            <w:r w:rsidRPr="0052700B">
              <w:rPr>
                <w:rFonts w:ascii="Segoe UI" w:hAnsi="Segoe UI" w:cs="Segoe UI"/>
                <w:noProof/>
                <w:webHidden/>
              </w:rPr>
              <w:fldChar w:fldCharType="begin"/>
            </w:r>
            <w:r w:rsidRPr="0052700B">
              <w:rPr>
                <w:rFonts w:ascii="Segoe UI" w:hAnsi="Segoe UI" w:cs="Segoe UI"/>
                <w:noProof/>
                <w:webHidden/>
              </w:rPr>
              <w:instrText xml:space="preserve"> PAGEREF _Toc182559205 \h </w:instrText>
            </w:r>
            <w:r w:rsidRPr="0052700B">
              <w:rPr>
                <w:rFonts w:ascii="Segoe UI" w:hAnsi="Segoe UI" w:cs="Segoe UI"/>
                <w:noProof/>
                <w:webHidden/>
              </w:rPr>
            </w:r>
            <w:r w:rsidRPr="0052700B">
              <w:rPr>
                <w:rFonts w:ascii="Segoe UI" w:hAnsi="Segoe UI" w:cs="Segoe UI"/>
                <w:noProof/>
                <w:webHidden/>
              </w:rPr>
              <w:fldChar w:fldCharType="separate"/>
            </w:r>
            <w:r w:rsidR="003F23CE">
              <w:rPr>
                <w:rFonts w:ascii="Segoe UI" w:hAnsi="Segoe UI" w:cs="Segoe UI"/>
                <w:noProof/>
                <w:webHidden/>
              </w:rPr>
              <w:t>50</w:t>
            </w:r>
            <w:r w:rsidRPr="0052700B">
              <w:rPr>
                <w:rFonts w:ascii="Segoe UI" w:hAnsi="Segoe UI" w:cs="Segoe UI"/>
                <w:noProof/>
                <w:webHidden/>
              </w:rPr>
              <w:fldChar w:fldCharType="end"/>
            </w:r>
          </w:hyperlink>
        </w:p>
        <w:p w14:paraId="6547710F" w14:textId="077AC64E" w:rsidR="0052700B" w:rsidRPr="0052700B" w:rsidRDefault="0052700B">
          <w:pPr>
            <w:pStyle w:val="Obsah3"/>
            <w:tabs>
              <w:tab w:val="left" w:pos="1200"/>
              <w:tab w:val="right" w:leader="dot" w:pos="9060"/>
            </w:tabs>
            <w:rPr>
              <w:rFonts w:ascii="Segoe UI" w:eastAsiaTheme="minorEastAsia" w:hAnsi="Segoe UI" w:cs="Segoe UI"/>
              <w:i w:val="0"/>
              <w:iCs w:val="0"/>
              <w:noProof/>
              <w:sz w:val="22"/>
              <w:szCs w:val="22"/>
              <w:lang w:eastAsia="sk-SK"/>
            </w:rPr>
          </w:pPr>
          <w:hyperlink w:anchor="_Toc182559206" w:history="1">
            <w:r w:rsidRPr="0052700B">
              <w:rPr>
                <w:rStyle w:val="Hypertextovprepojenie"/>
                <w:rFonts w:cs="Segoe UI"/>
                <w:noProof/>
              </w:rPr>
              <w:t>5.3.3</w:t>
            </w:r>
            <w:r w:rsidRPr="0052700B">
              <w:rPr>
                <w:rFonts w:ascii="Segoe UI" w:eastAsiaTheme="minorEastAsia" w:hAnsi="Segoe UI" w:cs="Segoe UI"/>
                <w:i w:val="0"/>
                <w:iCs w:val="0"/>
                <w:noProof/>
                <w:sz w:val="22"/>
                <w:szCs w:val="22"/>
                <w:lang w:eastAsia="sk-SK"/>
              </w:rPr>
              <w:tab/>
            </w:r>
            <w:r w:rsidRPr="0052700B">
              <w:rPr>
                <w:rStyle w:val="Hypertextovprepojenie"/>
                <w:rFonts w:cs="Segoe UI"/>
                <w:noProof/>
              </w:rPr>
              <w:t>Absencia podpory zeleného hospodárstva</w:t>
            </w:r>
            <w:r w:rsidRPr="0052700B">
              <w:rPr>
                <w:rFonts w:ascii="Segoe UI" w:hAnsi="Segoe UI" w:cs="Segoe UI"/>
                <w:noProof/>
                <w:webHidden/>
              </w:rPr>
              <w:tab/>
            </w:r>
            <w:r w:rsidRPr="0052700B">
              <w:rPr>
                <w:rFonts w:ascii="Segoe UI" w:hAnsi="Segoe UI" w:cs="Segoe UI"/>
                <w:noProof/>
                <w:webHidden/>
              </w:rPr>
              <w:fldChar w:fldCharType="begin"/>
            </w:r>
            <w:r w:rsidRPr="0052700B">
              <w:rPr>
                <w:rFonts w:ascii="Segoe UI" w:hAnsi="Segoe UI" w:cs="Segoe UI"/>
                <w:noProof/>
                <w:webHidden/>
              </w:rPr>
              <w:instrText xml:space="preserve"> PAGEREF _Toc182559206 \h </w:instrText>
            </w:r>
            <w:r w:rsidRPr="0052700B">
              <w:rPr>
                <w:rFonts w:ascii="Segoe UI" w:hAnsi="Segoe UI" w:cs="Segoe UI"/>
                <w:noProof/>
                <w:webHidden/>
              </w:rPr>
            </w:r>
            <w:r w:rsidRPr="0052700B">
              <w:rPr>
                <w:rFonts w:ascii="Segoe UI" w:hAnsi="Segoe UI" w:cs="Segoe UI"/>
                <w:noProof/>
                <w:webHidden/>
              </w:rPr>
              <w:fldChar w:fldCharType="separate"/>
            </w:r>
            <w:r w:rsidR="003F23CE">
              <w:rPr>
                <w:rFonts w:ascii="Segoe UI" w:hAnsi="Segoe UI" w:cs="Segoe UI"/>
                <w:noProof/>
                <w:webHidden/>
              </w:rPr>
              <w:t>50</w:t>
            </w:r>
            <w:r w:rsidRPr="0052700B">
              <w:rPr>
                <w:rFonts w:ascii="Segoe UI" w:hAnsi="Segoe UI" w:cs="Segoe UI"/>
                <w:noProof/>
                <w:webHidden/>
              </w:rPr>
              <w:fldChar w:fldCharType="end"/>
            </w:r>
          </w:hyperlink>
        </w:p>
        <w:p w14:paraId="00C949CF" w14:textId="4E30D709" w:rsidR="0052700B" w:rsidRPr="0052700B" w:rsidRDefault="0052700B">
          <w:pPr>
            <w:pStyle w:val="Obsah1"/>
            <w:rPr>
              <w:rFonts w:ascii="Segoe UI" w:eastAsiaTheme="minorEastAsia" w:hAnsi="Segoe UI" w:cs="Segoe UI"/>
              <w:b w:val="0"/>
              <w:bCs w:val="0"/>
              <w:caps w:val="0"/>
              <w:color w:val="auto"/>
              <w:sz w:val="22"/>
              <w:szCs w:val="22"/>
              <w:lang w:eastAsia="sk-SK"/>
            </w:rPr>
          </w:pPr>
          <w:hyperlink w:anchor="_Toc182559207" w:history="1">
            <w:r w:rsidRPr="0052700B">
              <w:rPr>
                <w:rStyle w:val="Hypertextovprepojenie"/>
                <w:rFonts w:cs="Segoe UI"/>
              </w:rPr>
              <w:t>6</w:t>
            </w:r>
            <w:r w:rsidRPr="0052700B">
              <w:rPr>
                <w:rFonts w:ascii="Segoe UI" w:eastAsiaTheme="minorEastAsia" w:hAnsi="Segoe UI" w:cs="Segoe UI"/>
                <w:b w:val="0"/>
                <w:bCs w:val="0"/>
                <w:caps w:val="0"/>
                <w:color w:val="auto"/>
                <w:sz w:val="22"/>
                <w:szCs w:val="22"/>
                <w:lang w:eastAsia="sk-SK"/>
              </w:rPr>
              <w:tab/>
            </w:r>
            <w:r w:rsidRPr="0052700B">
              <w:rPr>
                <w:rStyle w:val="Hypertextovprepojenie"/>
                <w:rFonts w:cs="Segoe UI"/>
              </w:rPr>
              <w:t>Rozpočt</w:t>
            </w:r>
            <w:r w:rsidRPr="0052700B">
              <w:rPr>
                <w:rStyle w:val="Hypertextovprepojenie"/>
                <w:rFonts w:cs="Segoe UI"/>
              </w:rPr>
              <w:t>o</w:t>
            </w:r>
            <w:r w:rsidRPr="0052700B">
              <w:rPr>
                <w:rStyle w:val="Hypertextovprepojenie"/>
                <w:rFonts w:cs="Segoe UI"/>
              </w:rPr>
              <w:t>vé vzťahy samosprá</w:t>
            </w:r>
            <w:r w:rsidRPr="0052700B">
              <w:rPr>
                <w:rStyle w:val="Hypertextovprepojenie"/>
                <w:rFonts w:cs="Segoe UI"/>
              </w:rPr>
              <w:t>v</w:t>
            </w:r>
            <w:r w:rsidRPr="0052700B">
              <w:rPr>
                <w:rStyle w:val="Hypertextovprepojenie"/>
                <w:rFonts w:cs="Segoe UI"/>
              </w:rPr>
              <w:t>y a štátu</w:t>
            </w:r>
            <w:r w:rsidRPr="0052700B">
              <w:rPr>
                <w:rFonts w:ascii="Segoe UI" w:hAnsi="Segoe UI" w:cs="Segoe UI"/>
                <w:webHidden/>
              </w:rPr>
              <w:tab/>
            </w:r>
            <w:r w:rsidRPr="0052700B">
              <w:rPr>
                <w:rFonts w:ascii="Segoe UI" w:hAnsi="Segoe UI" w:cs="Segoe UI"/>
                <w:webHidden/>
              </w:rPr>
              <w:fldChar w:fldCharType="begin"/>
            </w:r>
            <w:r w:rsidRPr="0052700B">
              <w:rPr>
                <w:rFonts w:ascii="Segoe UI" w:hAnsi="Segoe UI" w:cs="Segoe UI"/>
                <w:webHidden/>
              </w:rPr>
              <w:instrText xml:space="preserve"> PAGEREF _Toc182559207 \h </w:instrText>
            </w:r>
            <w:r w:rsidRPr="0052700B">
              <w:rPr>
                <w:rFonts w:ascii="Segoe UI" w:hAnsi="Segoe UI" w:cs="Segoe UI"/>
                <w:webHidden/>
              </w:rPr>
            </w:r>
            <w:r w:rsidRPr="0052700B">
              <w:rPr>
                <w:rFonts w:ascii="Segoe UI" w:hAnsi="Segoe UI" w:cs="Segoe UI"/>
                <w:webHidden/>
              </w:rPr>
              <w:fldChar w:fldCharType="separate"/>
            </w:r>
            <w:r w:rsidR="003F23CE">
              <w:rPr>
                <w:rFonts w:ascii="Segoe UI" w:hAnsi="Segoe UI" w:cs="Segoe UI"/>
                <w:webHidden/>
              </w:rPr>
              <w:t>52</w:t>
            </w:r>
            <w:r w:rsidRPr="0052700B">
              <w:rPr>
                <w:rFonts w:ascii="Segoe UI" w:hAnsi="Segoe UI" w:cs="Segoe UI"/>
                <w:webHidden/>
              </w:rPr>
              <w:fldChar w:fldCharType="end"/>
            </w:r>
          </w:hyperlink>
        </w:p>
        <w:p w14:paraId="45213941" w14:textId="6A745096" w:rsidR="0052700B" w:rsidRPr="0052700B" w:rsidRDefault="0052700B">
          <w:pPr>
            <w:pStyle w:val="Obsah1"/>
            <w:rPr>
              <w:rFonts w:ascii="Segoe UI" w:eastAsiaTheme="minorEastAsia" w:hAnsi="Segoe UI" w:cs="Segoe UI"/>
              <w:b w:val="0"/>
              <w:bCs w:val="0"/>
              <w:caps w:val="0"/>
              <w:color w:val="auto"/>
              <w:sz w:val="22"/>
              <w:szCs w:val="22"/>
              <w:lang w:eastAsia="sk-SK"/>
            </w:rPr>
          </w:pPr>
          <w:hyperlink w:anchor="_Toc182559208" w:history="1">
            <w:r w:rsidRPr="0052700B">
              <w:rPr>
                <w:rStyle w:val="Hypertextovprepojenie"/>
                <w:rFonts w:cs="Segoe UI"/>
              </w:rPr>
              <w:t>7</w:t>
            </w:r>
            <w:r w:rsidRPr="0052700B">
              <w:rPr>
                <w:rFonts w:ascii="Segoe UI" w:eastAsiaTheme="minorEastAsia" w:hAnsi="Segoe UI" w:cs="Segoe UI"/>
                <w:b w:val="0"/>
                <w:bCs w:val="0"/>
                <w:caps w:val="0"/>
                <w:color w:val="auto"/>
                <w:sz w:val="22"/>
                <w:szCs w:val="22"/>
                <w:lang w:eastAsia="sk-SK"/>
              </w:rPr>
              <w:tab/>
            </w:r>
            <w:r w:rsidRPr="0052700B">
              <w:rPr>
                <w:rStyle w:val="Hypertextovprepojenie"/>
                <w:rFonts w:cs="Segoe UI"/>
              </w:rPr>
              <w:t>Príloha</w:t>
            </w:r>
            <w:r w:rsidRPr="0052700B">
              <w:rPr>
                <w:rFonts w:ascii="Segoe UI" w:hAnsi="Segoe UI" w:cs="Segoe UI"/>
                <w:webHidden/>
              </w:rPr>
              <w:tab/>
            </w:r>
            <w:r w:rsidRPr="0052700B">
              <w:rPr>
                <w:rFonts w:ascii="Segoe UI" w:hAnsi="Segoe UI" w:cs="Segoe UI"/>
                <w:webHidden/>
              </w:rPr>
              <w:fldChar w:fldCharType="begin"/>
            </w:r>
            <w:r w:rsidRPr="0052700B">
              <w:rPr>
                <w:rFonts w:ascii="Segoe UI" w:hAnsi="Segoe UI" w:cs="Segoe UI"/>
                <w:webHidden/>
              </w:rPr>
              <w:instrText xml:space="preserve"> PAGEREF _Toc182559208 \h </w:instrText>
            </w:r>
            <w:r w:rsidRPr="0052700B">
              <w:rPr>
                <w:rFonts w:ascii="Segoe UI" w:hAnsi="Segoe UI" w:cs="Segoe UI"/>
                <w:webHidden/>
              </w:rPr>
            </w:r>
            <w:r w:rsidRPr="0052700B">
              <w:rPr>
                <w:rFonts w:ascii="Segoe UI" w:hAnsi="Segoe UI" w:cs="Segoe UI"/>
                <w:webHidden/>
              </w:rPr>
              <w:fldChar w:fldCharType="separate"/>
            </w:r>
            <w:r w:rsidR="003F23CE">
              <w:rPr>
                <w:rFonts w:ascii="Segoe UI" w:hAnsi="Segoe UI" w:cs="Segoe UI"/>
                <w:webHidden/>
              </w:rPr>
              <w:t>55</w:t>
            </w:r>
            <w:r w:rsidRPr="0052700B">
              <w:rPr>
                <w:rFonts w:ascii="Segoe UI" w:hAnsi="Segoe UI" w:cs="Segoe UI"/>
                <w:webHidden/>
              </w:rPr>
              <w:fldChar w:fldCharType="end"/>
            </w:r>
          </w:hyperlink>
        </w:p>
        <w:p w14:paraId="2E728DDA" w14:textId="044C491E" w:rsidR="00F071B7" w:rsidRDefault="006C125B" w:rsidP="00A8666E">
          <w:pPr>
            <w:rPr>
              <w:b/>
              <w:bCs/>
            </w:rPr>
          </w:pPr>
          <w:r w:rsidRPr="0052700B">
            <w:rPr>
              <w:rFonts w:cs="Segoe UI"/>
              <w:b/>
              <w:bCs/>
              <w:color w:val="314364" w:themeColor="text2"/>
              <w:szCs w:val="20"/>
            </w:rPr>
            <w:fldChar w:fldCharType="end"/>
          </w:r>
        </w:p>
      </w:sdtContent>
    </w:sdt>
    <w:p w14:paraId="1CE2DA5D" w14:textId="77777777" w:rsidR="00A23D74" w:rsidRDefault="00A23D74" w:rsidP="00A23D74">
      <w:pPr>
        <w:pStyle w:val="Zhrnutie"/>
        <w:rPr>
          <w:b w:val="0"/>
          <w:sz w:val="28"/>
        </w:rPr>
      </w:pPr>
      <w:bookmarkStart w:id="0" w:name="_Toc86396371"/>
      <w:bookmarkStart w:id="1" w:name="_Toc53475706"/>
      <w:r w:rsidRPr="003B352D">
        <w:rPr>
          <w:b w:val="0"/>
          <w:sz w:val="28"/>
        </w:rPr>
        <w:lastRenderedPageBreak/>
        <w:t>Zoznam</w:t>
      </w:r>
      <w:r w:rsidRPr="007816E8">
        <w:rPr>
          <w:b w:val="0"/>
          <w:sz w:val="28"/>
        </w:rPr>
        <w:t xml:space="preserve"> skratiek</w:t>
      </w:r>
    </w:p>
    <w:tbl>
      <w:tblPr>
        <w:tblStyle w:val="Mriekatabuky6"/>
        <w:tblW w:w="563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1107"/>
        <w:gridCol w:w="4321"/>
        <w:gridCol w:w="1164"/>
        <w:gridCol w:w="3637"/>
      </w:tblGrid>
      <w:tr w:rsidR="007019E2" w:rsidRPr="00B52236" w14:paraId="6EE92010" w14:textId="77777777" w:rsidTr="00EA36B5">
        <w:trPr>
          <w:trHeight w:val="228"/>
          <w:jc w:val="center"/>
        </w:trPr>
        <w:tc>
          <w:tcPr>
            <w:tcW w:w="541" w:type="pct"/>
            <w:shd w:val="clear" w:color="auto" w:fill="auto"/>
          </w:tcPr>
          <w:p w14:paraId="45DFF57B" w14:textId="77777777" w:rsidR="007019E2" w:rsidRPr="000353E9" w:rsidRDefault="007019E2" w:rsidP="007019E2">
            <w:pPr>
              <w:spacing w:after="0"/>
              <w:ind w:right="-81"/>
              <w:jc w:val="left"/>
              <w:rPr>
                <w:color w:val="314364" w:themeColor="text2"/>
                <w:sz w:val="18"/>
                <w:szCs w:val="18"/>
              </w:rPr>
            </w:pPr>
            <w:r w:rsidRPr="000353E9">
              <w:rPr>
                <w:color w:val="314364" w:themeColor="text2"/>
                <w:sz w:val="18"/>
                <w:szCs w:val="18"/>
              </w:rPr>
              <w:t>CVTI SR</w:t>
            </w:r>
          </w:p>
        </w:tc>
        <w:tc>
          <w:tcPr>
            <w:tcW w:w="2112" w:type="pct"/>
            <w:shd w:val="clear" w:color="auto" w:fill="auto"/>
          </w:tcPr>
          <w:p w14:paraId="3BD94567" w14:textId="77777777" w:rsidR="007019E2" w:rsidRDefault="007019E2" w:rsidP="007019E2">
            <w:pPr>
              <w:tabs>
                <w:tab w:val="left" w:pos="3360"/>
              </w:tabs>
              <w:spacing w:after="0"/>
              <w:jc w:val="left"/>
              <w:rPr>
                <w:sz w:val="18"/>
                <w:szCs w:val="18"/>
              </w:rPr>
            </w:pPr>
            <w:r>
              <w:rPr>
                <w:sz w:val="18"/>
                <w:szCs w:val="18"/>
              </w:rPr>
              <w:t>Centrum vedecko-technických informácií SR</w:t>
            </w:r>
          </w:p>
        </w:tc>
        <w:tc>
          <w:tcPr>
            <w:tcW w:w="569" w:type="pct"/>
          </w:tcPr>
          <w:p w14:paraId="19485278" w14:textId="3A42E892" w:rsidR="007019E2" w:rsidRDefault="007019E2" w:rsidP="007019E2">
            <w:pPr>
              <w:tabs>
                <w:tab w:val="left" w:pos="3360"/>
              </w:tabs>
              <w:spacing w:after="0"/>
              <w:ind w:right="-12"/>
              <w:jc w:val="left"/>
              <w:rPr>
                <w:sz w:val="18"/>
                <w:szCs w:val="18"/>
              </w:rPr>
            </w:pPr>
            <w:r>
              <w:rPr>
                <w:color w:val="314364" w:themeColor="text2"/>
                <w:sz w:val="18"/>
                <w:szCs w:val="18"/>
              </w:rPr>
              <w:t>OS</w:t>
            </w:r>
          </w:p>
        </w:tc>
        <w:tc>
          <w:tcPr>
            <w:tcW w:w="1778" w:type="pct"/>
            <w:shd w:val="clear" w:color="auto" w:fill="auto"/>
          </w:tcPr>
          <w:p w14:paraId="0690751A" w14:textId="33E0FEE8" w:rsidR="007019E2" w:rsidRDefault="007019E2" w:rsidP="007019E2">
            <w:pPr>
              <w:tabs>
                <w:tab w:val="left" w:pos="3360"/>
              </w:tabs>
              <w:spacing w:after="0"/>
              <w:jc w:val="left"/>
              <w:rPr>
                <w:sz w:val="18"/>
                <w:szCs w:val="18"/>
              </w:rPr>
            </w:pPr>
            <w:r>
              <w:rPr>
                <w:sz w:val="18"/>
                <w:szCs w:val="18"/>
              </w:rPr>
              <w:t>očakávaná skutočnosť</w:t>
            </w:r>
          </w:p>
        </w:tc>
      </w:tr>
      <w:tr w:rsidR="007019E2" w:rsidRPr="00B52236" w14:paraId="77137F07" w14:textId="77777777" w:rsidTr="00EA36B5">
        <w:trPr>
          <w:trHeight w:val="228"/>
          <w:jc w:val="center"/>
        </w:trPr>
        <w:tc>
          <w:tcPr>
            <w:tcW w:w="541" w:type="pct"/>
            <w:shd w:val="clear" w:color="auto" w:fill="auto"/>
          </w:tcPr>
          <w:p w14:paraId="007FF9CE" w14:textId="77777777" w:rsidR="007019E2" w:rsidRPr="000353E9" w:rsidRDefault="007019E2" w:rsidP="007019E2">
            <w:pPr>
              <w:spacing w:after="0"/>
              <w:ind w:right="-81"/>
              <w:jc w:val="left"/>
              <w:rPr>
                <w:color w:val="314364" w:themeColor="text2"/>
                <w:sz w:val="18"/>
                <w:szCs w:val="18"/>
              </w:rPr>
            </w:pPr>
            <w:r w:rsidRPr="000353E9">
              <w:rPr>
                <w:color w:val="314364" w:themeColor="text2"/>
                <w:sz w:val="18"/>
                <w:szCs w:val="18"/>
              </w:rPr>
              <w:t>ČR</w:t>
            </w:r>
          </w:p>
        </w:tc>
        <w:tc>
          <w:tcPr>
            <w:tcW w:w="2112" w:type="pct"/>
            <w:shd w:val="clear" w:color="auto" w:fill="auto"/>
          </w:tcPr>
          <w:p w14:paraId="489F0E34" w14:textId="77777777" w:rsidR="007019E2" w:rsidRDefault="007019E2" w:rsidP="007019E2">
            <w:pPr>
              <w:spacing w:after="0"/>
              <w:jc w:val="left"/>
              <w:rPr>
                <w:sz w:val="18"/>
                <w:szCs w:val="18"/>
              </w:rPr>
            </w:pPr>
            <w:r>
              <w:rPr>
                <w:sz w:val="18"/>
                <w:szCs w:val="18"/>
              </w:rPr>
              <w:t>Česká republika</w:t>
            </w:r>
          </w:p>
        </w:tc>
        <w:tc>
          <w:tcPr>
            <w:tcW w:w="569" w:type="pct"/>
          </w:tcPr>
          <w:p w14:paraId="18F0CDD7" w14:textId="599FEA43" w:rsidR="007019E2" w:rsidRDefault="007019E2" w:rsidP="007019E2">
            <w:pPr>
              <w:spacing w:after="0"/>
              <w:ind w:right="-12"/>
              <w:jc w:val="left"/>
              <w:rPr>
                <w:sz w:val="18"/>
                <w:szCs w:val="18"/>
              </w:rPr>
            </w:pPr>
            <w:r w:rsidRPr="00BA3752">
              <w:rPr>
                <w:color w:val="314364" w:themeColor="text2"/>
                <w:sz w:val="18"/>
                <w:szCs w:val="18"/>
              </w:rPr>
              <w:t>PdF UK</w:t>
            </w:r>
          </w:p>
        </w:tc>
        <w:tc>
          <w:tcPr>
            <w:tcW w:w="1778" w:type="pct"/>
          </w:tcPr>
          <w:p w14:paraId="69157417" w14:textId="66EB0054" w:rsidR="007019E2" w:rsidRDefault="007019E2" w:rsidP="007019E2">
            <w:pPr>
              <w:spacing w:after="0"/>
              <w:jc w:val="left"/>
              <w:rPr>
                <w:sz w:val="18"/>
                <w:szCs w:val="18"/>
              </w:rPr>
            </w:pPr>
            <w:r w:rsidRPr="00BA3752">
              <w:rPr>
                <w:sz w:val="18"/>
                <w:szCs w:val="18"/>
              </w:rPr>
              <w:t>Pedagogická fakulta Univerzity Komenského</w:t>
            </w:r>
          </w:p>
        </w:tc>
      </w:tr>
      <w:tr w:rsidR="007019E2" w:rsidRPr="00B52236" w14:paraId="53D34AC5" w14:textId="77777777" w:rsidTr="00EA36B5">
        <w:trPr>
          <w:trHeight w:val="228"/>
          <w:jc w:val="center"/>
        </w:trPr>
        <w:tc>
          <w:tcPr>
            <w:tcW w:w="541" w:type="pct"/>
            <w:shd w:val="clear" w:color="auto" w:fill="auto"/>
          </w:tcPr>
          <w:p w14:paraId="41FD263B" w14:textId="77777777" w:rsidR="007019E2" w:rsidRPr="000353E9" w:rsidRDefault="007019E2" w:rsidP="007019E2">
            <w:pPr>
              <w:spacing w:after="0"/>
              <w:ind w:right="-81"/>
              <w:jc w:val="left"/>
              <w:rPr>
                <w:color w:val="314364" w:themeColor="text2"/>
                <w:sz w:val="18"/>
                <w:szCs w:val="18"/>
              </w:rPr>
            </w:pPr>
            <w:r w:rsidRPr="000353E9">
              <w:rPr>
                <w:color w:val="314364" w:themeColor="text2"/>
                <w:sz w:val="18"/>
                <w:szCs w:val="18"/>
              </w:rPr>
              <w:t>DPFO</w:t>
            </w:r>
          </w:p>
        </w:tc>
        <w:tc>
          <w:tcPr>
            <w:tcW w:w="2112" w:type="pct"/>
            <w:shd w:val="clear" w:color="auto" w:fill="auto"/>
          </w:tcPr>
          <w:p w14:paraId="27B0747C" w14:textId="77777777" w:rsidR="007019E2" w:rsidRDefault="007019E2" w:rsidP="007019E2">
            <w:pPr>
              <w:spacing w:after="0"/>
              <w:jc w:val="left"/>
              <w:rPr>
                <w:sz w:val="18"/>
                <w:szCs w:val="18"/>
              </w:rPr>
            </w:pPr>
            <w:r w:rsidRPr="00342619">
              <w:rPr>
                <w:sz w:val="18"/>
                <w:szCs w:val="18"/>
              </w:rPr>
              <w:t>daň z príjmov fyzických osôb</w:t>
            </w:r>
          </w:p>
        </w:tc>
        <w:tc>
          <w:tcPr>
            <w:tcW w:w="569" w:type="pct"/>
          </w:tcPr>
          <w:p w14:paraId="377184BA" w14:textId="6078773F" w:rsidR="007019E2" w:rsidRDefault="007019E2" w:rsidP="007019E2">
            <w:pPr>
              <w:spacing w:after="0"/>
              <w:ind w:right="-12"/>
              <w:jc w:val="left"/>
              <w:rPr>
                <w:sz w:val="18"/>
                <w:szCs w:val="18"/>
              </w:rPr>
            </w:pPr>
            <w:r w:rsidRPr="00342619">
              <w:rPr>
                <w:color w:val="314364" w:themeColor="text2"/>
                <w:sz w:val="18"/>
                <w:szCs w:val="18"/>
              </w:rPr>
              <w:t>PO</w:t>
            </w:r>
          </w:p>
        </w:tc>
        <w:tc>
          <w:tcPr>
            <w:tcW w:w="1778" w:type="pct"/>
          </w:tcPr>
          <w:p w14:paraId="18FD9895" w14:textId="088398D6" w:rsidR="007019E2" w:rsidRDefault="007019E2" w:rsidP="007019E2">
            <w:pPr>
              <w:spacing w:after="0"/>
              <w:jc w:val="left"/>
              <w:rPr>
                <w:sz w:val="18"/>
                <w:szCs w:val="18"/>
              </w:rPr>
            </w:pPr>
            <w:r w:rsidRPr="00342619">
              <w:rPr>
                <w:sz w:val="18"/>
                <w:szCs w:val="18"/>
              </w:rPr>
              <w:t>programové obdobie</w:t>
            </w:r>
          </w:p>
        </w:tc>
      </w:tr>
      <w:tr w:rsidR="007019E2" w:rsidRPr="00B52236" w14:paraId="310F7058" w14:textId="77777777" w:rsidTr="00EA36B5">
        <w:trPr>
          <w:trHeight w:val="228"/>
          <w:jc w:val="center"/>
        </w:trPr>
        <w:tc>
          <w:tcPr>
            <w:tcW w:w="541" w:type="pct"/>
            <w:shd w:val="clear" w:color="auto" w:fill="auto"/>
          </w:tcPr>
          <w:p w14:paraId="6BE83BB5" w14:textId="77777777" w:rsidR="007019E2" w:rsidRPr="000353E9" w:rsidRDefault="007019E2" w:rsidP="007019E2">
            <w:pPr>
              <w:spacing w:after="0"/>
              <w:ind w:right="-81"/>
              <w:jc w:val="left"/>
              <w:rPr>
                <w:color w:val="314364" w:themeColor="text2"/>
                <w:sz w:val="18"/>
                <w:szCs w:val="18"/>
              </w:rPr>
            </w:pPr>
            <w:r w:rsidRPr="000353E9">
              <w:rPr>
                <w:color w:val="314364" w:themeColor="text2"/>
                <w:sz w:val="18"/>
                <w:szCs w:val="18"/>
              </w:rPr>
              <w:t>DPH</w:t>
            </w:r>
          </w:p>
        </w:tc>
        <w:tc>
          <w:tcPr>
            <w:tcW w:w="2112" w:type="pct"/>
            <w:shd w:val="clear" w:color="auto" w:fill="auto"/>
          </w:tcPr>
          <w:p w14:paraId="47478E48" w14:textId="77777777" w:rsidR="007019E2" w:rsidRPr="00342619" w:rsidRDefault="007019E2" w:rsidP="007019E2">
            <w:pPr>
              <w:spacing w:after="0"/>
              <w:jc w:val="left"/>
              <w:rPr>
                <w:sz w:val="18"/>
                <w:szCs w:val="18"/>
              </w:rPr>
            </w:pPr>
            <w:r w:rsidRPr="00342619">
              <w:rPr>
                <w:sz w:val="18"/>
                <w:szCs w:val="18"/>
              </w:rPr>
              <w:t>daň z pridanej hodnoty</w:t>
            </w:r>
          </w:p>
        </w:tc>
        <w:tc>
          <w:tcPr>
            <w:tcW w:w="569" w:type="pct"/>
          </w:tcPr>
          <w:p w14:paraId="1F2A3FFE" w14:textId="3B8B0144" w:rsidR="007019E2" w:rsidRPr="00342619" w:rsidRDefault="007019E2" w:rsidP="007019E2">
            <w:pPr>
              <w:spacing w:after="0"/>
              <w:ind w:right="-12"/>
              <w:jc w:val="left"/>
              <w:rPr>
                <w:color w:val="314364" w:themeColor="text2"/>
                <w:sz w:val="18"/>
                <w:szCs w:val="18"/>
              </w:rPr>
            </w:pPr>
            <w:r w:rsidRPr="00342619">
              <w:rPr>
                <w:color w:val="314364" w:themeColor="text2"/>
                <w:sz w:val="18"/>
                <w:szCs w:val="18"/>
              </w:rPr>
              <w:t>POO</w:t>
            </w:r>
          </w:p>
        </w:tc>
        <w:tc>
          <w:tcPr>
            <w:tcW w:w="1778" w:type="pct"/>
          </w:tcPr>
          <w:p w14:paraId="32E5B2F7" w14:textId="5EBC5808" w:rsidR="007019E2" w:rsidRPr="00342619" w:rsidRDefault="007019E2" w:rsidP="007019E2">
            <w:pPr>
              <w:spacing w:after="0"/>
              <w:jc w:val="left"/>
              <w:rPr>
                <w:sz w:val="18"/>
                <w:szCs w:val="18"/>
              </w:rPr>
            </w:pPr>
            <w:r w:rsidRPr="00342619">
              <w:rPr>
                <w:sz w:val="18"/>
                <w:szCs w:val="18"/>
              </w:rPr>
              <w:t>Plán obnovy a odolnosti</w:t>
            </w:r>
          </w:p>
        </w:tc>
      </w:tr>
      <w:tr w:rsidR="007019E2" w:rsidRPr="00B52236" w14:paraId="3BB2AA2C" w14:textId="77777777" w:rsidTr="00EA36B5">
        <w:trPr>
          <w:trHeight w:val="228"/>
          <w:jc w:val="center"/>
        </w:trPr>
        <w:tc>
          <w:tcPr>
            <w:tcW w:w="541" w:type="pct"/>
            <w:shd w:val="clear" w:color="auto" w:fill="auto"/>
          </w:tcPr>
          <w:p w14:paraId="3855A5CD" w14:textId="77777777" w:rsidR="007019E2" w:rsidRPr="000353E9" w:rsidRDefault="007019E2" w:rsidP="007019E2">
            <w:pPr>
              <w:spacing w:after="0"/>
              <w:ind w:right="-81"/>
              <w:jc w:val="left"/>
              <w:rPr>
                <w:color w:val="314364" w:themeColor="text2"/>
                <w:sz w:val="18"/>
                <w:szCs w:val="18"/>
              </w:rPr>
            </w:pPr>
            <w:r>
              <w:rPr>
                <w:color w:val="314364" w:themeColor="text2"/>
                <w:sz w:val="18"/>
                <w:szCs w:val="18"/>
              </w:rPr>
              <w:t>DPPO</w:t>
            </w:r>
          </w:p>
        </w:tc>
        <w:tc>
          <w:tcPr>
            <w:tcW w:w="2112" w:type="pct"/>
            <w:shd w:val="clear" w:color="auto" w:fill="auto"/>
          </w:tcPr>
          <w:p w14:paraId="48C68E67" w14:textId="77777777" w:rsidR="007019E2" w:rsidRPr="00342619" w:rsidRDefault="007019E2" w:rsidP="007019E2">
            <w:pPr>
              <w:spacing w:after="0"/>
              <w:ind w:right="299"/>
              <w:jc w:val="left"/>
              <w:rPr>
                <w:sz w:val="18"/>
                <w:szCs w:val="18"/>
              </w:rPr>
            </w:pPr>
            <w:r w:rsidRPr="00206F87">
              <w:rPr>
                <w:sz w:val="18"/>
                <w:szCs w:val="18"/>
              </w:rPr>
              <w:t>daň z príjmov právnických osôb</w:t>
            </w:r>
          </w:p>
        </w:tc>
        <w:tc>
          <w:tcPr>
            <w:tcW w:w="569" w:type="pct"/>
          </w:tcPr>
          <w:p w14:paraId="0451D299" w14:textId="7A8A0BEF" w:rsidR="007019E2" w:rsidRPr="00342619" w:rsidRDefault="007019E2" w:rsidP="007019E2">
            <w:pPr>
              <w:spacing w:after="0"/>
              <w:ind w:right="-12"/>
              <w:jc w:val="left"/>
              <w:rPr>
                <w:sz w:val="18"/>
                <w:szCs w:val="18"/>
              </w:rPr>
            </w:pPr>
            <w:r w:rsidRPr="00B90759">
              <w:rPr>
                <w:color w:val="314364" w:themeColor="text2"/>
                <w:sz w:val="18"/>
                <w:szCs w:val="18"/>
              </w:rPr>
              <w:t>PSD</w:t>
            </w:r>
          </w:p>
        </w:tc>
        <w:tc>
          <w:tcPr>
            <w:tcW w:w="1778" w:type="pct"/>
          </w:tcPr>
          <w:p w14:paraId="5208EE81" w14:textId="1CF8D8A5" w:rsidR="007019E2" w:rsidRPr="00342619" w:rsidRDefault="007019E2" w:rsidP="007019E2">
            <w:pPr>
              <w:spacing w:after="0"/>
              <w:ind w:right="299"/>
              <w:jc w:val="left"/>
              <w:rPr>
                <w:sz w:val="18"/>
                <w:szCs w:val="18"/>
              </w:rPr>
            </w:pPr>
            <w:r w:rsidRPr="00B90759">
              <w:rPr>
                <w:sz w:val="18"/>
                <w:szCs w:val="18"/>
              </w:rPr>
              <w:t>predčasný starobný dôchodok</w:t>
            </w:r>
          </w:p>
        </w:tc>
      </w:tr>
      <w:tr w:rsidR="007019E2" w:rsidRPr="00B52236" w14:paraId="1E3693B0" w14:textId="77777777" w:rsidTr="00EA36B5">
        <w:trPr>
          <w:trHeight w:val="228"/>
          <w:jc w:val="center"/>
        </w:trPr>
        <w:tc>
          <w:tcPr>
            <w:tcW w:w="541" w:type="pct"/>
            <w:shd w:val="clear" w:color="auto" w:fill="auto"/>
          </w:tcPr>
          <w:p w14:paraId="5037359F" w14:textId="77777777" w:rsidR="007019E2" w:rsidRPr="000353E9" w:rsidRDefault="007019E2" w:rsidP="007019E2">
            <w:pPr>
              <w:spacing w:after="0"/>
              <w:ind w:right="-81"/>
              <w:jc w:val="left"/>
              <w:rPr>
                <w:color w:val="314364" w:themeColor="text2"/>
                <w:sz w:val="18"/>
                <w:szCs w:val="18"/>
              </w:rPr>
            </w:pPr>
            <w:r w:rsidRPr="000353E9">
              <w:rPr>
                <w:color w:val="314364" w:themeColor="text2"/>
                <w:sz w:val="18"/>
                <w:szCs w:val="18"/>
              </w:rPr>
              <w:t>EAO</w:t>
            </w:r>
          </w:p>
        </w:tc>
        <w:tc>
          <w:tcPr>
            <w:tcW w:w="2112" w:type="pct"/>
            <w:shd w:val="clear" w:color="auto" w:fill="auto"/>
          </w:tcPr>
          <w:p w14:paraId="7110F438" w14:textId="77777777" w:rsidR="007019E2" w:rsidRPr="00342619" w:rsidRDefault="007019E2" w:rsidP="007019E2">
            <w:pPr>
              <w:spacing w:after="0"/>
              <w:ind w:right="299"/>
              <w:jc w:val="left"/>
              <w:rPr>
                <w:sz w:val="18"/>
                <w:szCs w:val="18"/>
              </w:rPr>
            </w:pPr>
            <w:r>
              <w:rPr>
                <w:sz w:val="18"/>
                <w:szCs w:val="18"/>
              </w:rPr>
              <w:t>ekonomicky aktívne obyvateľstvo</w:t>
            </w:r>
          </w:p>
        </w:tc>
        <w:tc>
          <w:tcPr>
            <w:tcW w:w="569" w:type="pct"/>
          </w:tcPr>
          <w:p w14:paraId="3275F1EB" w14:textId="119BFF7F" w:rsidR="007019E2" w:rsidRDefault="007019E2" w:rsidP="007019E2">
            <w:pPr>
              <w:spacing w:after="0"/>
              <w:ind w:right="-12"/>
              <w:jc w:val="left"/>
              <w:rPr>
                <w:color w:val="314364" w:themeColor="text2"/>
                <w:sz w:val="18"/>
                <w:szCs w:val="18"/>
              </w:rPr>
            </w:pPr>
            <w:r>
              <w:rPr>
                <w:color w:val="314364" w:themeColor="text2"/>
                <w:sz w:val="18"/>
                <w:szCs w:val="18"/>
              </w:rPr>
              <w:t>PSK</w:t>
            </w:r>
          </w:p>
        </w:tc>
        <w:tc>
          <w:tcPr>
            <w:tcW w:w="1778" w:type="pct"/>
          </w:tcPr>
          <w:p w14:paraId="71CE9BA9" w14:textId="28A55E8A" w:rsidR="007019E2" w:rsidRPr="009A4F26" w:rsidRDefault="007019E2" w:rsidP="007019E2">
            <w:pPr>
              <w:spacing w:after="0"/>
              <w:ind w:right="299"/>
              <w:jc w:val="left"/>
              <w:rPr>
                <w:sz w:val="18"/>
                <w:szCs w:val="18"/>
              </w:rPr>
            </w:pPr>
            <w:r w:rsidRPr="00BA3752">
              <w:rPr>
                <w:sz w:val="18"/>
                <w:szCs w:val="18"/>
              </w:rPr>
              <w:t>Program Slovensko</w:t>
            </w:r>
          </w:p>
        </w:tc>
      </w:tr>
      <w:tr w:rsidR="007019E2" w:rsidRPr="00B52236" w14:paraId="0ADBB624" w14:textId="77777777" w:rsidTr="00EA36B5">
        <w:trPr>
          <w:trHeight w:val="228"/>
          <w:jc w:val="center"/>
        </w:trPr>
        <w:tc>
          <w:tcPr>
            <w:tcW w:w="541" w:type="pct"/>
            <w:shd w:val="clear" w:color="auto" w:fill="auto"/>
          </w:tcPr>
          <w:p w14:paraId="2ECC92FE" w14:textId="77777777" w:rsidR="007019E2" w:rsidRPr="000353E9" w:rsidRDefault="007019E2" w:rsidP="007019E2">
            <w:pPr>
              <w:spacing w:after="0"/>
              <w:ind w:right="-81"/>
              <w:jc w:val="left"/>
              <w:rPr>
                <w:color w:val="314364" w:themeColor="text2"/>
                <w:sz w:val="18"/>
                <w:szCs w:val="18"/>
              </w:rPr>
            </w:pPr>
            <w:r>
              <w:rPr>
                <w:color w:val="314364" w:themeColor="text2"/>
                <w:sz w:val="18"/>
                <w:szCs w:val="18"/>
              </w:rPr>
              <w:t>ECB</w:t>
            </w:r>
          </w:p>
        </w:tc>
        <w:tc>
          <w:tcPr>
            <w:tcW w:w="2112" w:type="pct"/>
            <w:shd w:val="clear" w:color="auto" w:fill="auto"/>
          </w:tcPr>
          <w:p w14:paraId="792FDBC2" w14:textId="77777777" w:rsidR="007019E2" w:rsidRPr="00342619" w:rsidRDefault="007019E2" w:rsidP="007019E2">
            <w:pPr>
              <w:spacing w:after="0"/>
              <w:jc w:val="left"/>
              <w:rPr>
                <w:sz w:val="18"/>
                <w:szCs w:val="18"/>
              </w:rPr>
            </w:pPr>
            <w:r>
              <w:rPr>
                <w:sz w:val="18"/>
                <w:szCs w:val="18"/>
              </w:rPr>
              <w:t>Európska centrálna banka</w:t>
            </w:r>
          </w:p>
        </w:tc>
        <w:tc>
          <w:tcPr>
            <w:tcW w:w="569" w:type="pct"/>
          </w:tcPr>
          <w:p w14:paraId="3C0E983D" w14:textId="6B289ED6" w:rsidR="007019E2" w:rsidRPr="00AF2F56" w:rsidRDefault="007019E2" w:rsidP="007019E2">
            <w:pPr>
              <w:spacing w:after="0"/>
              <w:ind w:right="-12"/>
              <w:jc w:val="left"/>
              <w:rPr>
                <w:b/>
                <w:sz w:val="18"/>
                <w:szCs w:val="18"/>
              </w:rPr>
            </w:pPr>
            <w:r w:rsidRPr="00342619">
              <w:rPr>
                <w:color w:val="314364" w:themeColor="text2"/>
                <w:sz w:val="18"/>
                <w:szCs w:val="18"/>
              </w:rPr>
              <w:t>PRV</w:t>
            </w:r>
          </w:p>
        </w:tc>
        <w:tc>
          <w:tcPr>
            <w:tcW w:w="1778" w:type="pct"/>
          </w:tcPr>
          <w:p w14:paraId="16F33241" w14:textId="10625542" w:rsidR="007019E2" w:rsidRPr="00342619" w:rsidRDefault="007019E2" w:rsidP="007019E2">
            <w:pPr>
              <w:spacing w:after="0"/>
              <w:jc w:val="left"/>
              <w:rPr>
                <w:sz w:val="18"/>
                <w:szCs w:val="18"/>
              </w:rPr>
            </w:pPr>
            <w:r w:rsidRPr="00342619">
              <w:rPr>
                <w:sz w:val="18"/>
                <w:szCs w:val="18"/>
              </w:rPr>
              <w:t>Program rozvoja vidieka</w:t>
            </w:r>
          </w:p>
        </w:tc>
      </w:tr>
      <w:tr w:rsidR="007019E2" w:rsidRPr="00B52236" w14:paraId="0965C687" w14:textId="77777777" w:rsidTr="00EA36B5">
        <w:trPr>
          <w:trHeight w:val="228"/>
          <w:jc w:val="center"/>
        </w:trPr>
        <w:tc>
          <w:tcPr>
            <w:tcW w:w="541" w:type="pct"/>
            <w:shd w:val="clear" w:color="auto" w:fill="auto"/>
          </w:tcPr>
          <w:p w14:paraId="29E74458" w14:textId="77777777" w:rsidR="007019E2" w:rsidRPr="000353E9" w:rsidRDefault="007019E2" w:rsidP="007019E2">
            <w:pPr>
              <w:spacing w:after="0"/>
              <w:ind w:right="-81"/>
              <w:jc w:val="left"/>
              <w:rPr>
                <w:color w:val="314364" w:themeColor="text2"/>
                <w:sz w:val="18"/>
                <w:szCs w:val="18"/>
              </w:rPr>
            </w:pPr>
            <w:r w:rsidRPr="000353E9">
              <w:rPr>
                <w:color w:val="314364" w:themeColor="text2"/>
                <w:sz w:val="18"/>
                <w:szCs w:val="18"/>
              </w:rPr>
              <w:t>EK</w:t>
            </w:r>
          </w:p>
        </w:tc>
        <w:tc>
          <w:tcPr>
            <w:tcW w:w="2112" w:type="pct"/>
            <w:shd w:val="clear" w:color="auto" w:fill="auto"/>
          </w:tcPr>
          <w:p w14:paraId="28359F77" w14:textId="77777777" w:rsidR="007019E2" w:rsidRPr="00342619" w:rsidRDefault="007019E2" w:rsidP="007019E2">
            <w:pPr>
              <w:spacing w:after="0"/>
              <w:jc w:val="left"/>
              <w:rPr>
                <w:sz w:val="18"/>
                <w:szCs w:val="18"/>
              </w:rPr>
            </w:pPr>
            <w:r w:rsidRPr="00342619">
              <w:rPr>
                <w:sz w:val="18"/>
                <w:szCs w:val="18"/>
              </w:rPr>
              <w:t>Európska komisia</w:t>
            </w:r>
          </w:p>
        </w:tc>
        <w:tc>
          <w:tcPr>
            <w:tcW w:w="569" w:type="pct"/>
          </w:tcPr>
          <w:p w14:paraId="2C335440" w14:textId="276D6C77" w:rsidR="007019E2" w:rsidRPr="00B90759" w:rsidRDefault="007019E2" w:rsidP="007019E2">
            <w:pPr>
              <w:spacing w:after="0"/>
              <w:ind w:right="-12"/>
              <w:jc w:val="left"/>
              <w:rPr>
                <w:color w:val="314364" w:themeColor="text2"/>
                <w:sz w:val="18"/>
                <w:szCs w:val="18"/>
              </w:rPr>
            </w:pPr>
            <w:r>
              <w:rPr>
                <w:color w:val="314364" w:themeColor="text2"/>
                <w:sz w:val="18"/>
                <w:szCs w:val="18"/>
              </w:rPr>
              <w:t>PVV</w:t>
            </w:r>
          </w:p>
        </w:tc>
        <w:tc>
          <w:tcPr>
            <w:tcW w:w="1778" w:type="pct"/>
          </w:tcPr>
          <w:p w14:paraId="4833E1AF" w14:textId="2BE6E082" w:rsidR="007019E2" w:rsidRPr="00B90759" w:rsidRDefault="007019E2" w:rsidP="007019E2">
            <w:pPr>
              <w:spacing w:after="0"/>
              <w:jc w:val="left"/>
              <w:rPr>
                <w:sz w:val="18"/>
                <w:szCs w:val="18"/>
              </w:rPr>
            </w:pPr>
            <w:r>
              <w:rPr>
                <w:sz w:val="18"/>
                <w:szCs w:val="18"/>
              </w:rPr>
              <w:t>Programové vyhlásenie vlády</w:t>
            </w:r>
          </w:p>
        </w:tc>
      </w:tr>
      <w:tr w:rsidR="007019E2" w:rsidRPr="00B52236" w14:paraId="12FD3F7E" w14:textId="77777777" w:rsidTr="00EA36B5">
        <w:trPr>
          <w:trHeight w:val="228"/>
          <w:jc w:val="center"/>
        </w:trPr>
        <w:tc>
          <w:tcPr>
            <w:tcW w:w="541" w:type="pct"/>
            <w:shd w:val="clear" w:color="auto" w:fill="auto"/>
          </w:tcPr>
          <w:p w14:paraId="207DD541" w14:textId="2B6439D3" w:rsidR="007019E2" w:rsidRPr="000353E9" w:rsidRDefault="007019E2" w:rsidP="007019E2">
            <w:pPr>
              <w:spacing w:after="0"/>
              <w:ind w:right="-81"/>
              <w:jc w:val="left"/>
              <w:rPr>
                <w:color w:val="314364" w:themeColor="text2"/>
                <w:sz w:val="18"/>
                <w:szCs w:val="18"/>
              </w:rPr>
            </w:pPr>
            <w:r>
              <w:rPr>
                <w:color w:val="314364" w:themeColor="text2"/>
                <w:sz w:val="18"/>
                <w:szCs w:val="18"/>
              </w:rPr>
              <w:t>EP</w:t>
            </w:r>
          </w:p>
        </w:tc>
        <w:tc>
          <w:tcPr>
            <w:tcW w:w="2112" w:type="pct"/>
            <w:shd w:val="clear" w:color="auto" w:fill="auto"/>
          </w:tcPr>
          <w:p w14:paraId="166AD889" w14:textId="3F0B1FA1" w:rsidR="007019E2" w:rsidRDefault="007019E2" w:rsidP="007019E2">
            <w:pPr>
              <w:spacing w:after="0"/>
              <w:jc w:val="left"/>
              <w:rPr>
                <w:sz w:val="18"/>
                <w:szCs w:val="18"/>
              </w:rPr>
            </w:pPr>
            <w:r>
              <w:rPr>
                <w:sz w:val="18"/>
                <w:szCs w:val="18"/>
              </w:rPr>
              <w:t>Európsky parlament</w:t>
            </w:r>
          </w:p>
        </w:tc>
        <w:tc>
          <w:tcPr>
            <w:tcW w:w="569" w:type="pct"/>
          </w:tcPr>
          <w:p w14:paraId="1C01C2E8" w14:textId="533F9572" w:rsidR="007019E2" w:rsidRDefault="007019E2" w:rsidP="007019E2">
            <w:pPr>
              <w:spacing w:after="0"/>
              <w:ind w:right="-12"/>
              <w:jc w:val="left"/>
              <w:rPr>
                <w:sz w:val="18"/>
                <w:szCs w:val="18"/>
              </w:rPr>
            </w:pPr>
            <w:r w:rsidRPr="00342619">
              <w:rPr>
                <w:color w:val="314364" w:themeColor="text2"/>
                <w:sz w:val="18"/>
                <w:szCs w:val="18"/>
              </w:rPr>
              <w:t>R</w:t>
            </w:r>
          </w:p>
        </w:tc>
        <w:tc>
          <w:tcPr>
            <w:tcW w:w="1778" w:type="pct"/>
          </w:tcPr>
          <w:p w14:paraId="0A9F0E88" w14:textId="4955156C" w:rsidR="007019E2" w:rsidRDefault="007019E2" w:rsidP="007019E2">
            <w:pPr>
              <w:spacing w:after="0"/>
              <w:jc w:val="left"/>
              <w:rPr>
                <w:sz w:val="18"/>
                <w:szCs w:val="18"/>
              </w:rPr>
            </w:pPr>
            <w:r w:rsidRPr="00342619">
              <w:rPr>
                <w:sz w:val="18"/>
                <w:szCs w:val="18"/>
              </w:rPr>
              <w:t>rozpočet</w:t>
            </w:r>
          </w:p>
        </w:tc>
      </w:tr>
      <w:tr w:rsidR="007019E2" w:rsidRPr="00B52236" w14:paraId="2AB07FA7" w14:textId="77777777" w:rsidTr="00EA36B5">
        <w:trPr>
          <w:trHeight w:val="228"/>
          <w:jc w:val="center"/>
        </w:trPr>
        <w:tc>
          <w:tcPr>
            <w:tcW w:w="541" w:type="pct"/>
            <w:shd w:val="clear" w:color="auto" w:fill="auto"/>
          </w:tcPr>
          <w:p w14:paraId="18796E36" w14:textId="28C9445F" w:rsidR="007019E2" w:rsidRPr="000353E9" w:rsidRDefault="007019E2" w:rsidP="007019E2">
            <w:pPr>
              <w:spacing w:after="0"/>
              <w:ind w:right="-81"/>
              <w:jc w:val="left"/>
              <w:rPr>
                <w:color w:val="314364" w:themeColor="text2"/>
                <w:sz w:val="18"/>
                <w:szCs w:val="18"/>
              </w:rPr>
            </w:pPr>
            <w:r>
              <w:rPr>
                <w:color w:val="314364" w:themeColor="text2"/>
                <w:sz w:val="18"/>
                <w:szCs w:val="18"/>
              </w:rPr>
              <w:t>EPFRV</w:t>
            </w:r>
          </w:p>
        </w:tc>
        <w:tc>
          <w:tcPr>
            <w:tcW w:w="2112" w:type="pct"/>
            <w:shd w:val="clear" w:color="auto" w:fill="auto"/>
          </w:tcPr>
          <w:p w14:paraId="0585D241" w14:textId="4C50C508" w:rsidR="007019E2" w:rsidRDefault="007019E2" w:rsidP="007019E2">
            <w:pPr>
              <w:spacing w:after="0"/>
              <w:jc w:val="left"/>
              <w:rPr>
                <w:sz w:val="18"/>
                <w:szCs w:val="18"/>
              </w:rPr>
            </w:pPr>
            <w:r>
              <w:rPr>
                <w:sz w:val="18"/>
                <w:szCs w:val="18"/>
              </w:rPr>
              <w:t>Európsky poľnohospodársky fond</w:t>
            </w:r>
            <w:r w:rsidRPr="00234FE6">
              <w:rPr>
                <w:sz w:val="18"/>
                <w:szCs w:val="18"/>
              </w:rPr>
              <w:t xml:space="preserve"> pre rozvoj vidieka</w:t>
            </w:r>
          </w:p>
        </w:tc>
        <w:tc>
          <w:tcPr>
            <w:tcW w:w="569" w:type="pct"/>
          </w:tcPr>
          <w:p w14:paraId="79DFC9C6" w14:textId="6023B65C" w:rsidR="007019E2" w:rsidRPr="00342619" w:rsidRDefault="007019E2" w:rsidP="007019E2">
            <w:pPr>
              <w:spacing w:after="0"/>
              <w:ind w:right="-12"/>
              <w:jc w:val="left"/>
              <w:rPr>
                <w:color w:val="314364" w:themeColor="text2"/>
                <w:sz w:val="18"/>
                <w:szCs w:val="18"/>
              </w:rPr>
            </w:pPr>
            <w:r>
              <w:rPr>
                <w:color w:val="314364" w:themeColor="text2"/>
                <w:sz w:val="18"/>
                <w:szCs w:val="18"/>
              </w:rPr>
              <w:t>RIS</w:t>
            </w:r>
          </w:p>
        </w:tc>
        <w:tc>
          <w:tcPr>
            <w:tcW w:w="1778" w:type="pct"/>
          </w:tcPr>
          <w:p w14:paraId="194C99AF" w14:textId="5517D75D" w:rsidR="007019E2" w:rsidRPr="00342619" w:rsidRDefault="007019E2" w:rsidP="007019E2">
            <w:pPr>
              <w:spacing w:after="0"/>
              <w:jc w:val="left"/>
              <w:rPr>
                <w:sz w:val="18"/>
                <w:szCs w:val="18"/>
              </w:rPr>
            </w:pPr>
            <w:r>
              <w:rPr>
                <w:sz w:val="18"/>
                <w:szCs w:val="18"/>
              </w:rPr>
              <w:t>Rozpočtový informačný systém</w:t>
            </w:r>
          </w:p>
        </w:tc>
      </w:tr>
      <w:tr w:rsidR="007019E2" w:rsidRPr="00B52236" w14:paraId="27538A1C" w14:textId="77777777" w:rsidTr="00EA36B5">
        <w:trPr>
          <w:trHeight w:val="228"/>
          <w:jc w:val="center"/>
        </w:trPr>
        <w:tc>
          <w:tcPr>
            <w:tcW w:w="541" w:type="pct"/>
            <w:shd w:val="clear" w:color="auto" w:fill="auto"/>
          </w:tcPr>
          <w:p w14:paraId="501E0288" w14:textId="51A3998C" w:rsidR="007019E2" w:rsidRPr="000353E9" w:rsidRDefault="007019E2" w:rsidP="007019E2">
            <w:pPr>
              <w:spacing w:after="0"/>
              <w:ind w:right="-81"/>
              <w:jc w:val="left"/>
              <w:rPr>
                <w:color w:val="314364" w:themeColor="text2"/>
                <w:sz w:val="18"/>
                <w:szCs w:val="18"/>
              </w:rPr>
            </w:pPr>
            <w:r w:rsidRPr="000353E9">
              <w:rPr>
                <w:color w:val="314364" w:themeColor="text2"/>
                <w:sz w:val="18"/>
                <w:szCs w:val="18"/>
              </w:rPr>
              <w:t>ESA 2010</w:t>
            </w:r>
          </w:p>
        </w:tc>
        <w:tc>
          <w:tcPr>
            <w:tcW w:w="2112" w:type="pct"/>
            <w:shd w:val="clear" w:color="auto" w:fill="auto"/>
          </w:tcPr>
          <w:p w14:paraId="2A540595" w14:textId="0C46814E" w:rsidR="007019E2" w:rsidRPr="00342619" w:rsidRDefault="007019E2" w:rsidP="007019E2">
            <w:pPr>
              <w:spacing w:after="0"/>
              <w:jc w:val="left"/>
              <w:rPr>
                <w:sz w:val="18"/>
                <w:szCs w:val="18"/>
              </w:rPr>
            </w:pPr>
            <w:r>
              <w:rPr>
                <w:sz w:val="18"/>
                <w:szCs w:val="18"/>
              </w:rPr>
              <w:t>Európsky systém národných a regionálnych účtov</w:t>
            </w:r>
          </w:p>
        </w:tc>
        <w:tc>
          <w:tcPr>
            <w:tcW w:w="569" w:type="pct"/>
          </w:tcPr>
          <w:p w14:paraId="7466E75D" w14:textId="0EADF2DD" w:rsidR="007019E2" w:rsidRPr="00342619" w:rsidRDefault="007019E2" w:rsidP="007019E2">
            <w:pPr>
              <w:spacing w:after="0"/>
              <w:ind w:right="-12"/>
              <w:jc w:val="left"/>
              <w:rPr>
                <w:sz w:val="18"/>
                <w:szCs w:val="18"/>
              </w:rPr>
            </w:pPr>
            <w:r w:rsidRPr="00342619">
              <w:rPr>
                <w:color w:val="314364" w:themeColor="text2"/>
                <w:sz w:val="18"/>
                <w:szCs w:val="18"/>
              </w:rPr>
              <w:t>RO</w:t>
            </w:r>
          </w:p>
        </w:tc>
        <w:tc>
          <w:tcPr>
            <w:tcW w:w="1778" w:type="pct"/>
          </w:tcPr>
          <w:p w14:paraId="2AC6CA81" w14:textId="424AC73A" w:rsidR="007019E2" w:rsidRPr="00342619" w:rsidRDefault="007019E2" w:rsidP="007019E2">
            <w:pPr>
              <w:spacing w:after="0"/>
              <w:jc w:val="left"/>
              <w:rPr>
                <w:sz w:val="18"/>
                <w:szCs w:val="18"/>
              </w:rPr>
            </w:pPr>
            <w:r w:rsidRPr="00342619">
              <w:rPr>
                <w:rFonts w:cs="Segoe UI"/>
                <w:color w:val="000000"/>
                <w:sz w:val="18"/>
                <w:szCs w:val="18"/>
              </w:rPr>
              <w:t>rozpočtová organizácia</w:t>
            </w:r>
          </w:p>
        </w:tc>
      </w:tr>
      <w:tr w:rsidR="007019E2" w:rsidRPr="00B52236" w14:paraId="4F2E1BF4" w14:textId="77777777" w:rsidTr="00EA36B5">
        <w:trPr>
          <w:trHeight w:val="228"/>
          <w:jc w:val="center"/>
        </w:trPr>
        <w:tc>
          <w:tcPr>
            <w:tcW w:w="541" w:type="pct"/>
            <w:shd w:val="clear" w:color="auto" w:fill="auto"/>
          </w:tcPr>
          <w:p w14:paraId="4AE62671" w14:textId="07DB40F7" w:rsidR="007019E2" w:rsidRPr="000353E9" w:rsidRDefault="007019E2" w:rsidP="007019E2">
            <w:pPr>
              <w:spacing w:after="0"/>
              <w:ind w:right="-81"/>
              <w:jc w:val="left"/>
              <w:rPr>
                <w:color w:val="314364" w:themeColor="text2"/>
                <w:sz w:val="18"/>
                <w:szCs w:val="18"/>
              </w:rPr>
            </w:pPr>
            <w:r w:rsidRPr="000353E9">
              <w:rPr>
                <w:color w:val="314364" w:themeColor="text2"/>
                <w:sz w:val="18"/>
                <w:szCs w:val="18"/>
              </w:rPr>
              <w:t>EŠIF</w:t>
            </w:r>
          </w:p>
        </w:tc>
        <w:tc>
          <w:tcPr>
            <w:tcW w:w="2112" w:type="pct"/>
            <w:shd w:val="clear" w:color="auto" w:fill="auto"/>
          </w:tcPr>
          <w:p w14:paraId="7A5DA7D2" w14:textId="0157FCFB" w:rsidR="007019E2" w:rsidRDefault="007019E2" w:rsidP="007019E2">
            <w:pPr>
              <w:tabs>
                <w:tab w:val="left" w:pos="501"/>
              </w:tabs>
              <w:spacing w:after="0"/>
              <w:jc w:val="left"/>
              <w:rPr>
                <w:sz w:val="18"/>
                <w:szCs w:val="18"/>
              </w:rPr>
            </w:pPr>
            <w:r>
              <w:rPr>
                <w:sz w:val="18"/>
                <w:szCs w:val="18"/>
              </w:rPr>
              <w:t>Európske štrukturálne a investičné fondy</w:t>
            </w:r>
          </w:p>
        </w:tc>
        <w:tc>
          <w:tcPr>
            <w:tcW w:w="569" w:type="pct"/>
          </w:tcPr>
          <w:p w14:paraId="75FC1D45" w14:textId="49C9C5B9" w:rsidR="007019E2" w:rsidRDefault="007019E2" w:rsidP="007019E2">
            <w:pPr>
              <w:tabs>
                <w:tab w:val="left" w:pos="501"/>
              </w:tabs>
              <w:spacing w:after="0"/>
              <w:ind w:right="-12"/>
              <w:jc w:val="left"/>
              <w:rPr>
                <w:sz w:val="18"/>
                <w:szCs w:val="18"/>
              </w:rPr>
            </w:pPr>
            <w:r w:rsidRPr="00342619">
              <w:rPr>
                <w:color w:val="314364" w:themeColor="text2"/>
                <w:sz w:val="18"/>
                <w:szCs w:val="18"/>
              </w:rPr>
              <w:t>RRZ</w:t>
            </w:r>
          </w:p>
        </w:tc>
        <w:tc>
          <w:tcPr>
            <w:tcW w:w="1778" w:type="pct"/>
          </w:tcPr>
          <w:p w14:paraId="63FBD52D" w14:textId="5CB33940" w:rsidR="007019E2" w:rsidRDefault="007019E2" w:rsidP="007019E2">
            <w:pPr>
              <w:tabs>
                <w:tab w:val="left" w:pos="501"/>
              </w:tabs>
              <w:spacing w:after="0"/>
              <w:jc w:val="left"/>
              <w:rPr>
                <w:sz w:val="18"/>
                <w:szCs w:val="18"/>
              </w:rPr>
            </w:pPr>
            <w:r w:rsidRPr="00342619">
              <w:rPr>
                <w:rFonts w:cs="Segoe UI"/>
                <w:color w:val="000000"/>
                <w:sz w:val="18"/>
                <w:szCs w:val="18"/>
              </w:rPr>
              <w:t>Rada pre rozpočtovú zodpovednosť</w:t>
            </w:r>
          </w:p>
        </w:tc>
      </w:tr>
      <w:tr w:rsidR="007019E2" w:rsidRPr="00B52236" w14:paraId="35E42B08" w14:textId="77777777" w:rsidTr="00EA36B5">
        <w:trPr>
          <w:trHeight w:val="228"/>
          <w:jc w:val="center"/>
        </w:trPr>
        <w:tc>
          <w:tcPr>
            <w:tcW w:w="541" w:type="pct"/>
            <w:shd w:val="clear" w:color="auto" w:fill="auto"/>
          </w:tcPr>
          <w:p w14:paraId="36F33C1A" w14:textId="2790D3F8" w:rsidR="007019E2" w:rsidRPr="000353E9" w:rsidRDefault="007019E2" w:rsidP="007019E2">
            <w:pPr>
              <w:spacing w:after="0"/>
              <w:ind w:right="-81"/>
              <w:jc w:val="left"/>
              <w:rPr>
                <w:color w:val="314364" w:themeColor="text2"/>
                <w:sz w:val="18"/>
                <w:szCs w:val="18"/>
              </w:rPr>
            </w:pPr>
            <w:r w:rsidRPr="000353E9">
              <w:rPr>
                <w:color w:val="314364" w:themeColor="text2"/>
                <w:sz w:val="18"/>
                <w:szCs w:val="18"/>
              </w:rPr>
              <w:t>EÚ</w:t>
            </w:r>
          </w:p>
        </w:tc>
        <w:tc>
          <w:tcPr>
            <w:tcW w:w="2112" w:type="pct"/>
            <w:shd w:val="clear" w:color="auto" w:fill="auto"/>
          </w:tcPr>
          <w:p w14:paraId="2C5590D5" w14:textId="7A20A011" w:rsidR="007019E2" w:rsidRPr="00342619" w:rsidRDefault="007019E2" w:rsidP="007019E2">
            <w:pPr>
              <w:tabs>
                <w:tab w:val="left" w:pos="501"/>
              </w:tabs>
              <w:spacing w:after="0"/>
              <w:jc w:val="left"/>
              <w:rPr>
                <w:sz w:val="18"/>
                <w:szCs w:val="18"/>
              </w:rPr>
            </w:pPr>
            <w:r w:rsidRPr="00342619">
              <w:rPr>
                <w:sz w:val="18"/>
                <w:szCs w:val="18"/>
              </w:rPr>
              <w:t>Európska únia</w:t>
            </w:r>
          </w:p>
        </w:tc>
        <w:tc>
          <w:tcPr>
            <w:tcW w:w="569" w:type="pct"/>
          </w:tcPr>
          <w:p w14:paraId="69A1F79E" w14:textId="62A82D6E" w:rsidR="007019E2" w:rsidRDefault="007019E2" w:rsidP="007019E2">
            <w:pPr>
              <w:tabs>
                <w:tab w:val="left" w:pos="501"/>
              </w:tabs>
              <w:spacing w:after="0"/>
              <w:ind w:right="-12"/>
              <w:jc w:val="left"/>
              <w:rPr>
                <w:color w:val="314364" w:themeColor="text2"/>
                <w:sz w:val="18"/>
                <w:szCs w:val="18"/>
              </w:rPr>
            </w:pPr>
            <w:r w:rsidRPr="00342619">
              <w:rPr>
                <w:color w:val="314364" w:themeColor="text2"/>
                <w:sz w:val="18"/>
                <w:szCs w:val="18"/>
              </w:rPr>
              <w:t>RVS</w:t>
            </w:r>
          </w:p>
        </w:tc>
        <w:tc>
          <w:tcPr>
            <w:tcW w:w="1778" w:type="pct"/>
          </w:tcPr>
          <w:p w14:paraId="05A56A1A" w14:textId="68E3C55A" w:rsidR="007019E2" w:rsidRDefault="007019E2" w:rsidP="007019E2">
            <w:pPr>
              <w:tabs>
                <w:tab w:val="left" w:pos="501"/>
              </w:tabs>
              <w:spacing w:after="0"/>
              <w:jc w:val="left"/>
              <w:rPr>
                <w:sz w:val="18"/>
                <w:szCs w:val="18"/>
              </w:rPr>
            </w:pPr>
            <w:r w:rsidRPr="00342619">
              <w:rPr>
                <w:sz w:val="18"/>
                <w:szCs w:val="18"/>
              </w:rPr>
              <w:t>rozpočet verejnej správy</w:t>
            </w:r>
          </w:p>
        </w:tc>
      </w:tr>
      <w:tr w:rsidR="007019E2" w:rsidRPr="00B52236" w14:paraId="4B986260" w14:textId="77777777" w:rsidTr="00EA36B5">
        <w:trPr>
          <w:trHeight w:val="228"/>
          <w:jc w:val="center"/>
        </w:trPr>
        <w:tc>
          <w:tcPr>
            <w:tcW w:w="541" w:type="pct"/>
            <w:shd w:val="clear" w:color="auto" w:fill="auto"/>
          </w:tcPr>
          <w:p w14:paraId="0D53A59B" w14:textId="50A9A2C0" w:rsidR="007019E2" w:rsidRDefault="007019E2" w:rsidP="007019E2">
            <w:pPr>
              <w:spacing w:after="0"/>
              <w:ind w:right="-81"/>
              <w:jc w:val="left"/>
              <w:rPr>
                <w:color w:val="314364" w:themeColor="text2"/>
                <w:sz w:val="18"/>
                <w:szCs w:val="18"/>
              </w:rPr>
            </w:pPr>
            <w:r w:rsidRPr="000353E9">
              <w:rPr>
                <w:color w:val="314364" w:themeColor="text2"/>
                <w:sz w:val="18"/>
                <w:szCs w:val="18"/>
              </w:rPr>
              <w:t>EU SILC</w:t>
            </w:r>
          </w:p>
        </w:tc>
        <w:tc>
          <w:tcPr>
            <w:tcW w:w="2112" w:type="pct"/>
            <w:shd w:val="clear" w:color="auto" w:fill="auto"/>
          </w:tcPr>
          <w:p w14:paraId="5D04DAA9" w14:textId="16D577A5" w:rsidR="007019E2" w:rsidRDefault="007019E2" w:rsidP="007019E2">
            <w:pPr>
              <w:tabs>
                <w:tab w:val="left" w:pos="501"/>
              </w:tabs>
              <w:spacing w:after="0"/>
              <w:jc w:val="left"/>
              <w:rPr>
                <w:sz w:val="18"/>
                <w:szCs w:val="18"/>
              </w:rPr>
            </w:pPr>
            <w:r>
              <w:rPr>
                <w:sz w:val="18"/>
                <w:szCs w:val="18"/>
              </w:rPr>
              <w:t>Štatistika Európskej únie o príjmoch a životných podmienkach</w:t>
            </w:r>
          </w:p>
        </w:tc>
        <w:tc>
          <w:tcPr>
            <w:tcW w:w="569" w:type="pct"/>
          </w:tcPr>
          <w:p w14:paraId="1E457DCF" w14:textId="0516F939" w:rsidR="007019E2" w:rsidRDefault="007019E2" w:rsidP="007019E2">
            <w:pPr>
              <w:tabs>
                <w:tab w:val="left" w:pos="501"/>
              </w:tabs>
              <w:spacing w:after="0"/>
              <w:ind w:right="-12"/>
              <w:jc w:val="left"/>
              <w:rPr>
                <w:color w:val="314364" w:themeColor="text2"/>
                <w:sz w:val="18"/>
                <w:szCs w:val="18"/>
              </w:rPr>
            </w:pPr>
            <w:r w:rsidRPr="00342619">
              <w:rPr>
                <w:color w:val="314364" w:themeColor="text2"/>
                <w:sz w:val="18"/>
                <w:szCs w:val="18"/>
              </w:rPr>
              <w:t>S</w:t>
            </w:r>
          </w:p>
        </w:tc>
        <w:tc>
          <w:tcPr>
            <w:tcW w:w="1778" w:type="pct"/>
          </w:tcPr>
          <w:p w14:paraId="6AF81DB4" w14:textId="5D63A5EB" w:rsidR="007019E2" w:rsidRDefault="007019E2" w:rsidP="007019E2">
            <w:pPr>
              <w:tabs>
                <w:tab w:val="left" w:pos="501"/>
              </w:tabs>
              <w:spacing w:after="0"/>
              <w:jc w:val="left"/>
              <w:rPr>
                <w:sz w:val="18"/>
                <w:szCs w:val="18"/>
              </w:rPr>
            </w:pPr>
            <w:r w:rsidRPr="00342619">
              <w:rPr>
                <w:sz w:val="18"/>
                <w:szCs w:val="18"/>
              </w:rPr>
              <w:t>skutočnosť</w:t>
            </w:r>
          </w:p>
        </w:tc>
      </w:tr>
      <w:tr w:rsidR="007019E2" w:rsidRPr="00B52236" w14:paraId="1FA3D132" w14:textId="77777777" w:rsidTr="00EA36B5">
        <w:trPr>
          <w:trHeight w:val="228"/>
          <w:jc w:val="center"/>
        </w:trPr>
        <w:tc>
          <w:tcPr>
            <w:tcW w:w="541" w:type="pct"/>
            <w:shd w:val="clear" w:color="auto" w:fill="auto"/>
          </w:tcPr>
          <w:p w14:paraId="3002CA94" w14:textId="165BAAE5" w:rsidR="007019E2" w:rsidRDefault="007019E2" w:rsidP="007019E2">
            <w:pPr>
              <w:spacing w:after="0"/>
              <w:ind w:right="-81"/>
              <w:jc w:val="left"/>
              <w:rPr>
                <w:color w:val="314364" w:themeColor="text2"/>
                <w:sz w:val="18"/>
                <w:szCs w:val="18"/>
              </w:rPr>
            </w:pPr>
            <w:r>
              <w:rPr>
                <w:color w:val="314364" w:themeColor="text2"/>
                <w:sz w:val="18"/>
                <w:szCs w:val="18"/>
              </w:rPr>
              <w:t>FN</w:t>
            </w:r>
          </w:p>
        </w:tc>
        <w:tc>
          <w:tcPr>
            <w:tcW w:w="2112" w:type="pct"/>
            <w:shd w:val="clear" w:color="auto" w:fill="auto"/>
          </w:tcPr>
          <w:p w14:paraId="7622511A" w14:textId="55B7BE46" w:rsidR="007019E2" w:rsidRDefault="007019E2" w:rsidP="007019E2">
            <w:pPr>
              <w:tabs>
                <w:tab w:val="left" w:pos="501"/>
              </w:tabs>
              <w:spacing w:after="0"/>
              <w:jc w:val="left"/>
              <w:rPr>
                <w:sz w:val="18"/>
                <w:szCs w:val="18"/>
              </w:rPr>
            </w:pPr>
            <w:r>
              <w:rPr>
                <w:sz w:val="18"/>
                <w:szCs w:val="18"/>
              </w:rPr>
              <w:t>fakultná nemocnica</w:t>
            </w:r>
          </w:p>
        </w:tc>
        <w:tc>
          <w:tcPr>
            <w:tcW w:w="569" w:type="pct"/>
          </w:tcPr>
          <w:p w14:paraId="1D8E3B46" w14:textId="52E11AA3" w:rsidR="007019E2" w:rsidRPr="00342619" w:rsidRDefault="007019E2" w:rsidP="007019E2">
            <w:pPr>
              <w:tabs>
                <w:tab w:val="left" w:pos="501"/>
              </w:tabs>
              <w:spacing w:after="0"/>
              <w:ind w:right="-12"/>
              <w:jc w:val="left"/>
              <w:rPr>
                <w:color w:val="314364" w:themeColor="text2"/>
                <w:sz w:val="18"/>
                <w:szCs w:val="18"/>
              </w:rPr>
            </w:pPr>
            <w:r>
              <w:rPr>
                <w:color w:val="314364" w:themeColor="text2"/>
                <w:sz w:val="18"/>
                <w:szCs w:val="18"/>
              </w:rPr>
              <w:t>SD</w:t>
            </w:r>
          </w:p>
        </w:tc>
        <w:tc>
          <w:tcPr>
            <w:tcW w:w="1778" w:type="pct"/>
          </w:tcPr>
          <w:p w14:paraId="7484A466" w14:textId="20C7B922" w:rsidR="007019E2" w:rsidRPr="00342619" w:rsidRDefault="007019E2" w:rsidP="007019E2">
            <w:pPr>
              <w:tabs>
                <w:tab w:val="left" w:pos="501"/>
              </w:tabs>
              <w:spacing w:after="0"/>
              <w:jc w:val="left"/>
              <w:rPr>
                <w:rFonts w:cs="Segoe UI"/>
                <w:color w:val="000000"/>
                <w:sz w:val="18"/>
                <w:szCs w:val="18"/>
              </w:rPr>
            </w:pPr>
            <w:r w:rsidRPr="00206F87">
              <w:rPr>
                <w:sz w:val="18"/>
                <w:szCs w:val="18"/>
              </w:rPr>
              <w:t>starobný dôchodok</w:t>
            </w:r>
          </w:p>
        </w:tc>
      </w:tr>
      <w:tr w:rsidR="007019E2" w:rsidRPr="00B52236" w14:paraId="2859DDE9" w14:textId="77777777" w:rsidTr="00EA36B5">
        <w:trPr>
          <w:trHeight w:val="228"/>
          <w:jc w:val="center"/>
        </w:trPr>
        <w:tc>
          <w:tcPr>
            <w:tcW w:w="541" w:type="pct"/>
            <w:shd w:val="clear" w:color="auto" w:fill="auto"/>
          </w:tcPr>
          <w:p w14:paraId="6A9D339E" w14:textId="050B6E48" w:rsidR="007019E2" w:rsidRPr="000353E9" w:rsidRDefault="007019E2" w:rsidP="007019E2">
            <w:pPr>
              <w:spacing w:after="0"/>
              <w:ind w:right="-81"/>
              <w:jc w:val="left"/>
              <w:rPr>
                <w:color w:val="314364" w:themeColor="text2"/>
                <w:sz w:val="18"/>
                <w:szCs w:val="18"/>
              </w:rPr>
            </w:pPr>
            <w:r w:rsidRPr="000353E9">
              <w:rPr>
                <w:color w:val="314364" w:themeColor="text2"/>
                <w:sz w:val="18"/>
                <w:szCs w:val="18"/>
              </w:rPr>
              <w:t>HDP</w:t>
            </w:r>
          </w:p>
        </w:tc>
        <w:tc>
          <w:tcPr>
            <w:tcW w:w="2112" w:type="pct"/>
            <w:shd w:val="clear" w:color="auto" w:fill="auto"/>
          </w:tcPr>
          <w:p w14:paraId="2BD2270A" w14:textId="22927462" w:rsidR="007019E2" w:rsidRDefault="007019E2" w:rsidP="007019E2">
            <w:pPr>
              <w:spacing w:after="0"/>
              <w:jc w:val="left"/>
              <w:rPr>
                <w:sz w:val="18"/>
                <w:szCs w:val="18"/>
              </w:rPr>
            </w:pPr>
            <w:r w:rsidRPr="00342619">
              <w:rPr>
                <w:sz w:val="18"/>
                <w:szCs w:val="18"/>
              </w:rPr>
              <w:t>hrubý domáci produkt</w:t>
            </w:r>
          </w:p>
        </w:tc>
        <w:tc>
          <w:tcPr>
            <w:tcW w:w="569" w:type="pct"/>
          </w:tcPr>
          <w:p w14:paraId="38308107" w14:textId="55C71FBC" w:rsidR="007019E2" w:rsidRDefault="007019E2" w:rsidP="007019E2">
            <w:pPr>
              <w:spacing w:after="0"/>
              <w:ind w:right="-12"/>
              <w:jc w:val="left"/>
              <w:rPr>
                <w:sz w:val="18"/>
                <w:szCs w:val="18"/>
              </w:rPr>
            </w:pPr>
            <w:r>
              <w:rPr>
                <w:sz w:val="18"/>
                <w:szCs w:val="18"/>
              </w:rPr>
              <w:t>SEIA</w:t>
            </w:r>
          </w:p>
        </w:tc>
        <w:tc>
          <w:tcPr>
            <w:tcW w:w="1778" w:type="pct"/>
          </w:tcPr>
          <w:p w14:paraId="37D2AD94" w14:textId="47F28D46" w:rsidR="007019E2" w:rsidRDefault="007019E2" w:rsidP="007019E2">
            <w:pPr>
              <w:spacing w:after="0"/>
              <w:jc w:val="left"/>
              <w:rPr>
                <w:sz w:val="18"/>
                <w:szCs w:val="18"/>
              </w:rPr>
            </w:pPr>
            <w:r w:rsidRPr="00B37408">
              <w:rPr>
                <w:sz w:val="18"/>
                <w:szCs w:val="18"/>
              </w:rPr>
              <w:t>Slovenská inovačná a energetická agentúra</w:t>
            </w:r>
          </w:p>
        </w:tc>
      </w:tr>
      <w:tr w:rsidR="007019E2" w:rsidRPr="00B52236" w14:paraId="0F7B4FDF" w14:textId="77777777" w:rsidTr="00EA36B5">
        <w:trPr>
          <w:trHeight w:val="228"/>
          <w:jc w:val="center"/>
        </w:trPr>
        <w:tc>
          <w:tcPr>
            <w:tcW w:w="541" w:type="pct"/>
            <w:shd w:val="clear" w:color="auto" w:fill="auto"/>
          </w:tcPr>
          <w:p w14:paraId="1AA2F0A4" w14:textId="67879E3A" w:rsidR="007019E2" w:rsidRPr="000353E9" w:rsidRDefault="007019E2" w:rsidP="007019E2">
            <w:pPr>
              <w:spacing w:after="0"/>
              <w:ind w:right="-81"/>
              <w:jc w:val="left"/>
              <w:rPr>
                <w:color w:val="314364" w:themeColor="text2"/>
                <w:sz w:val="18"/>
                <w:szCs w:val="18"/>
              </w:rPr>
            </w:pPr>
            <w:r>
              <w:rPr>
                <w:color w:val="314364" w:themeColor="text2"/>
                <w:sz w:val="18"/>
                <w:szCs w:val="18"/>
              </w:rPr>
              <w:t>IROP</w:t>
            </w:r>
          </w:p>
        </w:tc>
        <w:tc>
          <w:tcPr>
            <w:tcW w:w="2112" w:type="pct"/>
            <w:shd w:val="clear" w:color="auto" w:fill="auto"/>
          </w:tcPr>
          <w:p w14:paraId="77F67182" w14:textId="58CE13F9" w:rsidR="007019E2" w:rsidRDefault="007019E2" w:rsidP="007019E2">
            <w:pPr>
              <w:spacing w:after="0"/>
              <w:jc w:val="left"/>
              <w:rPr>
                <w:sz w:val="18"/>
                <w:szCs w:val="18"/>
              </w:rPr>
            </w:pPr>
            <w:r w:rsidRPr="00FD1A33">
              <w:rPr>
                <w:sz w:val="18"/>
                <w:szCs w:val="18"/>
              </w:rPr>
              <w:t>Integrovaný regionálny operačný program</w:t>
            </w:r>
          </w:p>
        </w:tc>
        <w:tc>
          <w:tcPr>
            <w:tcW w:w="569" w:type="pct"/>
          </w:tcPr>
          <w:p w14:paraId="446D6F54" w14:textId="0488DCDA" w:rsidR="007019E2" w:rsidRDefault="007019E2" w:rsidP="007019E2">
            <w:pPr>
              <w:spacing w:after="0"/>
              <w:ind w:right="-12"/>
              <w:jc w:val="left"/>
              <w:rPr>
                <w:sz w:val="18"/>
                <w:szCs w:val="18"/>
              </w:rPr>
            </w:pPr>
            <w:r>
              <w:rPr>
                <w:color w:val="314364" w:themeColor="text2"/>
                <w:sz w:val="18"/>
                <w:szCs w:val="18"/>
              </w:rPr>
              <w:t>SP</w:t>
            </w:r>
          </w:p>
        </w:tc>
        <w:tc>
          <w:tcPr>
            <w:tcW w:w="1778" w:type="pct"/>
          </w:tcPr>
          <w:p w14:paraId="3554C0F5" w14:textId="118D42BB" w:rsidR="007019E2" w:rsidRDefault="007019E2" w:rsidP="007019E2">
            <w:pPr>
              <w:spacing w:after="0"/>
              <w:jc w:val="left"/>
              <w:rPr>
                <w:sz w:val="18"/>
                <w:szCs w:val="18"/>
              </w:rPr>
            </w:pPr>
            <w:r>
              <w:rPr>
                <w:sz w:val="18"/>
                <w:szCs w:val="18"/>
              </w:rPr>
              <w:t>Sociálna poisťovňa</w:t>
            </w:r>
          </w:p>
        </w:tc>
      </w:tr>
      <w:tr w:rsidR="007019E2" w:rsidRPr="00B52236" w14:paraId="5F85E70F" w14:textId="77777777" w:rsidTr="00EA36B5">
        <w:trPr>
          <w:trHeight w:val="228"/>
          <w:jc w:val="center"/>
        </w:trPr>
        <w:tc>
          <w:tcPr>
            <w:tcW w:w="541" w:type="pct"/>
            <w:shd w:val="clear" w:color="auto" w:fill="auto"/>
          </w:tcPr>
          <w:p w14:paraId="08B3E1D3" w14:textId="74E12FCA" w:rsidR="007019E2" w:rsidRPr="000353E9" w:rsidRDefault="007019E2" w:rsidP="007019E2">
            <w:pPr>
              <w:spacing w:after="0"/>
              <w:ind w:right="-81"/>
              <w:jc w:val="left"/>
              <w:rPr>
                <w:color w:val="314364" w:themeColor="text2"/>
                <w:sz w:val="18"/>
                <w:szCs w:val="18"/>
              </w:rPr>
            </w:pPr>
            <w:r w:rsidRPr="000353E9">
              <w:rPr>
                <w:color w:val="314364" w:themeColor="text2"/>
                <w:sz w:val="18"/>
                <w:szCs w:val="18"/>
              </w:rPr>
              <w:t>IFP</w:t>
            </w:r>
          </w:p>
        </w:tc>
        <w:tc>
          <w:tcPr>
            <w:tcW w:w="2112" w:type="pct"/>
            <w:shd w:val="clear" w:color="auto" w:fill="auto"/>
          </w:tcPr>
          <w:p w14:paraId="77EB1DE3" w14:textId="7DF34DA4" w:rsidR="007019E2" w:rsidRPr="00342619" w:rsidRDefault="007019E2" w:rsidP="007019E2">
            <w:pPr>
              <w:spacing w:after="0"/>
              <w:jc w:val="left"/>
              <w:rPr>
                <w:sz w:val="18"/>
                <w:szCs w:val="18"/>
              </w:rPr>
            </w:pPr>
            <w:r w:rsidRPr="00342619">
              <w:rPr>
                <w:sz w:val="18"/>
                <w:szCs w:val="18"/>
              </w:rPr>
              <w:t>Inštitút finančnej politiky</w:t>
            </w:r>
          </w:p>
        </w:tc>
        <w:tc>
          <w:tcPr>
            <w:tcW w:w="569" w:type="pct"/>
          </w:tcPr>
          <w:p w14:paraId="11E67D30" w14:textId="7345C7DD" w:rsidR="007019E2" w:rsidRPr="00342619" w:rsidRDefault="007019E2" w:rsidP="007019E2">
            <w:pPr>
              <w:spacing w:after="0"/>
              <w:ind w:right="-12"/>
              <w:jc w:val="left"/>
              <w:rPr>
                <w:sz w:val="18"/>
                <w:szCs w:val="18"/>
              </w:rPr>
            </w:pPr>
            <w:r>
              <w:rPr>
                <w:color w:val="314364" w:themeColor="text2"/>
                <w:sz w:val="18"/>
                <w:szCs w:val="18"/>
              </w:rPr>
              <w:t>SPP</w:t>
            </w:r>
          </w:p>
        </w:tc>
        <w:tc>
          <w:tcPr>
            <w:tcW w:w="1778" w:type="pct"/>
          </w:tcPr>
          <w:p w14:paraId="525D4752" w14:textId="57115182" w:rsidR="007019E2" w:rsidRPr="00342619" w:rsidRDefault="007019E2" w:rsidP="007019E2">
            <w:pPr>
              <w:spacing w:after="0"/>
              <w:jc w:val="left"/>
              <w:rPr>
                <w:sz w:val="18"/>
                <w:szCs w:val="18"/>
              </w:rPr>
            </w:pPr>
            <w:r>
              <w:rPr>
                <w:sz w:val="18"/>
                <w:szCs w:val="18"/>
              </w:rPr>
              <w:t>Slovenský plynárenský priemysel, a. s.</w:t>
            </w:r>
          </w:p>
        </w:tc>
      </w:tr>
      <w:tr w:rsidR="007019E2" w:rsidRPr="00B52236" w14:paraId="29ADB682" w14:textId="77777777" w:rsidTr="00EA36B5">
        <w:trPr>
          <w:trHeight w:val="228"/>
          <w:jc w:val="center"/>
        </w:trPr>
        <w:tc>
          <w:tcPr>
            <w:tcW w:w="541" w:type="pct"/>
            <w:shd w:val="clear" w:color="auto" w:fill="auto"/>
          </w:tcPr>
          <w:p w14:paraId="2EFE1539" w14:textId="79F6971E" w:rsidR="007019E2" w:rsidRPr="000353E9" w:rsidRDefault="007019E2" w:rsidP="007019E2">
            <w:pPr>
              <w:spacing w:after="0"/>
              <w:ind w:right="-81"/>
              <w:jc w:val="left"/>
              <w:rPr>
                <w:color w:val="314364" w:themeColor="text2"/>
                <w:sz w:val="18"/>
                <w:szCs w:val="18"/>
              </w:rPr>
            </w:pPr>
            <w:r w:rsidRPr="000353E9">
              <w:rPr>
                <w:color w:val="314364" w:themeColor="text2"/>
                <w:sz w:val="18"/>
                <w:szCs w:val="18"/>
              </w:rPr>
              <w:t>IVP</w:t>
            </w:r>
          </w:p>
        </w:tc>
        <w:tc>
          <w:tcPr>
            <w:tcW w:w="2112" w:type="pct"/>
            <w:shd w:val="clear" w:color="auto" w:fill="auto"/>
          </w:tcPr>
          <w:p w14:paraId="6480FF53" w14:textId="0410548F" w:rsidR="007019E2" w:rsidRDefault="007019E2" w:rsidP="007019E2">
            <w:pPr>
              <w:tabs>
                <w:tab w:val="left" w:pos="3360"/>
              </w:tabs>
              <w:spacing w:after="0"/>
              <w:jc w:val="left"/>
              <w:rPr>
                <w:sz w:val="18"/>
                <w:szCs w:val="18"/>
              </w:rPr>
            </w:pPr>
            <w:r>
              <w:rPr>
                <w:sz w:val="18"/>
                <w:szCs w:val="18"/>
              </w:rPr>
              <w:t>Inštitút vzdelávacej politiky</w:t>
            </w:r>
          </w:p>
        </w:tc>
        <w:tc>
          <w:tcPr>
            <w:tcW w:w="569" w:type="pct"/>
          </w:tcPr>
          <w:p w14:paraId="43D00844" w14:textId="4E70DB8A" w:rsidR="007019E2" w:rsidRDefault="007019E2" w:rsidP="007019E2">
            <w:pPr>
              <w:tabs>
                <w:tab w:val="left" w:pos="3360"/>
              </w:tabs>
              <w:spacing w:after="0"/>
              <w:ind w:right="-12"/>
              <w:jc w:val="left"/>
              <w:rPr>
                <w:sz w:val="18"/>
                <w:szCs w:val="18"/>
              </w:rPr>
            </w:pPr>
            <w:r w:rsidRPr="00342619">
              <w:rPr>
                <w:color w:val="314364" w:themeColor="text2"/>
                <w:sz w:val="18"/>
                <w:szCs w:val="18"/>
              </w:rPr>
              <w:t>SR</w:t>
            </w:r>
          </w:p>
        </w:tc>
        <w:tc>
          <w:tcPr>
            <w:tcW w:w="1778" w:type="pct"/>
          </w:tcPr>
          <w:p w14:paraId="1ED9EEDF" w14:textId="5AA32BE0" w:rsidR="007019E2" w:rsidRDefault="007019E2" w:rsidP="007019E2">
            <w:pPr>
              <w:tabs>
                <w:tab w:val="left" w:pos="3360"/>
              </w:tabs>
              <w:spacing w:after="0"/>
              <w:jc w:val="left"/>
              <w:rPr>
                <w:sz w:val="18"/>
                <w:szCs w:val="18"/>
              </w:rPr>
            </w:pPr>
            <w:r w:rsidRPr="00342619">
              <w:rPr>
                <w:sz w:val="18"/>
                <w:szCs w:val="18"/>
              </w:rPr>
              <w:t>Slovenská republika</w:t>
            </w:r>
          </w:p>
        </w:tc>
      </w:tr>
      <w:tr w:rsidR="007019E2" w:rsidRPr="00B52236" w14:paraId="7B6AEBB6" w14:textId="77777777" w:rsidTr="00EA36B5">
        <w:trPr>
          <w:trHeight w:val="228"/>
          <w:jc w:val="center"/>
        </w:trPr>
        <w:tc>
          <w:tcPr>
            <w:tcW w:w="541" w:type="pct"/>
            <w:shd w:val="clear" w:color="auto" w:fill="auto"/>
          </w:tcPr>
          <w:p w14:paraId="083F565F" w14:textId="0188B2C4" w:rsidR="007019E2" w:rsidRPr="000353E9" w:rsidRDefault="007019E2" w:rsidP="007019E2">
            <w:pPr>
              <w:spacing w:after="0"/>
              <w:ind w:right="-81"/>
              <w:jc w:val="left"/>
              <w:rPr>
                <w:color w:val="314364" w:themeColor="text2"/>
                <w:sz w:val="18"/>
                <w:szCs w:val="18"/>
              </w:rPr>
            </w:pPr>
            <w:r w:rsidRPr="000353E9">
              <w:rPr>
                <w:color w:val="314364" w:themeColor="text2"/>
                <w:sz w:val="18"/>
                <w:szCs w:val="18"/>
              </w:rPr>
              <w:t>LVV</w:t>
            </w:r>
          </w:p>
        </w:tc>
        <w:tc>
          <w:tcPr>
            <w:tcW w:w="2112" w:type="pct"/>
            <w:shd w:val="clear" w:color="auto" w:fill="auto"/>
          </w:tcPr>
          <w:p w14:paraId="00E13662" w14:textId="743EC13F" w:rsidR="007019E2" w:rsidRDefault="007019E2" w:rsidP="007019E2">
            <w:pPr>
              <w:spacing w:after="0"/>
              <w:jc w:val="left"/>
              <w:rPr>
                <w:sz w:val="18"/>
                <w:szCs w:val="18"/>
              </w:rPr>
            </w:pPr>
            <w:r w:rsidRPr="00342619">
              <w:rPr>
                <w:sz w:val="18"/>
                <w:szCs w:val="18"/>
              </w:rPr>
              <w:t>limit verejných výdavkov</w:t>
            </w:r>
          </w:p>
        </w:tc>
        <w:tc>
          <w:tcPr>
            <w:tcW w:w="569" w:type="pct"/>
          </w:tcPr>
          <w:p w14:paraId="5AF00619" w14:textId="40D71C0C" w:rsidR="007019E2" w:rsidRDefault="007019E2" w:rsidP="007019E2">
            <w:pPr>
              <w:spacing w:after="0"/>
              <w:ind w:right="-12"/>
              <w:jc w:val="left"/>
              <w:rPr>
                <w:sz w:val="18"/>
                <w:szCs w:val="18"/>
              </w:rPr>
            </w:pPr>
            <w:r>
              <w:rPr>
                <w:color w:val="314364" w:themeColor="text2"/>
                <w:sz w:val="18"/>
                <w:szCs w:val="18"/>
              </w:rPr>
              <w:t>SZČO</w:t>
            </w:r>
          </w:p>
        </w:tc>
        <w:tc>
          <w:tcPr>
            <w:tcW w:w="1778" w:type="pct"/>
          </w:tcPr>
          <w:p w14:paraId="4526C546" w14:textId="175BD2E0" w:rsidR="007019E2" w:rsidRDefault="007019E2" w:rsidP="007019E2">
            <w:pPr>
              <w:spacing w:after="0"/>
              <w:jc w:val="left"/>
              <w:rPr>
                <w:sz w:val="18"/>
                <w:szCs w:val="18"/>
              </w:rPr>
            </w:pPr>
            <w:r>
              <w:rPr>
                <w:sz w:val="18"/>
                <w:szCs w:val="18"/>
              </w:rPr>
              <w:t>samostatne zárobkovo činná osoba</w:t>
            </w:r>
          </w:p>
        </w:tc>
      </w:tr>
      <w:tr w:rsidR="007019E2" w:rsidRPr="00B52236" w14:paraId="082DAE95" w14:textId="77777777" w:rsidTr="00EA36B5">
        <w:trPr>
          <w:trHeight w:val="228"/>
          <w:jc w:val="center"/>
        </w:trPr>
        <w:tc>
          <w:tcPr>
            <w:tcW w:w="541" w:type="pct"/>
            <w:shd w:val="clear" w:color="auto" w:fill="auto"/>
          </w:tcPr>
          <w:p w14:paraId="4FE1AACA" w14:textId="268888FF" w:rsidR="007019E2" w:rsidRPr="000353E9" w:rsidRDefault="007019E2" w:rsidP="007019E2">
            <w:pPr>
              <w:spacing w:after="0"/>
              <w:ind w:right="-81"/>
              <w:jc w:val="left"/>
              <w:rPr>
                <w:color w:val="314364" w:themeColor="text2"/>
                <w:sz w:val="18"/>
                <w:szCs w:val="18"/>
              </w:rPr>
            </w:pPr>
            <w:r w:rsidRPr="000353E9">
              <w:rPr>
                <w:color w:val="314364" w:themeColor="text2"/>
                <w:sz w:val="18"/>
                <w:szCs w:val="18"/>
              </w:rPr>
              <w:t>MD SR</w:t>
            </w:r>
          </w:p>
        </w:tc>
        <w:tc>
          <w:tcPr>
            <w:tcW w:w="2112" w:type="pct"/>
            <w:shd w:val="clear" w:color="auto" w:fill="auto"/>
          </w:tcPr>
          <w:p w14:paraId="1F61E306" w14:textId="5EFC6E6F" w:rsidR="007019E2" w:rsidRPr="00342619" w:rsidRDefault="007019E2" w:rsidP="007019E2">
            <w:pPr>
              <w:spacing w:after="0"/>
              <w:jc w:val="left"/>
              <w:rPr>
                <w:sz w:val="18"/>
                <w:szCs w:val="18"/>
              </w:rPr>
            </w:pPr>
            <w:r w:rsidRPr="00342619">
              <w:rPr>
                <w:sz w:val="18"/>
                <w:szCs w:val="18"/>
              </w:rPr>
              <w:t xml:space="preserve">Ministerstvo dopravy </w:t>
            </w:r>
            <w:r>
              <w:rPr>
                <w:sz w:val="18"/>
                <w:szCs w:val="18"/>
              </w:rPr>
              <w:t>SR</w:t>
            </w:r>
          </w:p>
        </w:tc>
        <w:tc>
          <w:tcPr>
            <w:tcW w:w="569" w:type="pct"/>
          </w:tcPr>
          <w:p w14:paraId="094F1647" w14:textId="38B59F09" w:rsidR="007019E2" w:rsidRPr="00342619" w:rsidRDefault="007019E2" w:rsidP="007019E2">
            <w:pPr>
              <w:spacing w:after="0"/>
              <w:ind w:right="-12"/>
              <w:jc w:val="left"/>
              <w:rPr>
                <w:sz w:val="18"/>
                <w:szCs w:val="18"/>
              </w:rPr>
            </w:pPr>
            <w:r>
              <w:rPr>
                <w:color w:val="314364" w:themeColor="text2"/>
                <w:sz w:val="18"/>
                <w:szCs w:val="18"/>
              </w:rPr>
              <w:t>ŠFA</w:t>
            </w:r>
          </w:p>
        </w:tc>
        <w:tc>
          <w:tcPr>
            <w:tcW w:w="1778" w:type="pct"/>
          </w:tcPr>
          <w:p w14:paraId="3A166501" w14:textId="2AA2F6EF" w:rsidR="007019E2" w:rsidRPr="00342619" w:rsidRDefault="007019E2" w:rsidP="007019E2">
            <w:pPr>
              <w:spacing w:after="0"/>
              <w:jc w:val="left"/>
              <w:rPr>
                <w:sz w:val="18"/>
                <w:szCs w:val="18"/>
              </w:rPr>
            </w:pPr>
            <w:r w:rsidRPr="005D4F5D">
              <w:rPr>
                <w:sz w:val="18"/>
                <w:szCs w:val="18"/>
              </w:rPr>
              <w:t>štátne finančné aktíva</w:t>
            </w:r>
          </w:p>
        </w:tc>
      </w:tr>
      <w:tr w:rsidR="007019E2" w:rsidRPr="00B52236" w14:paraId="3D280C6C" w14:textId="77777777" w:rsidTr="00EA36B5">
        <w:trPr>
          <w:trHeight w:val="228"/>
          <w:jc w:val="center"/>
        </w:trPr>
        <w:tc>
          <w:tcPr>
            <w:tcW w:w="541" w:type="pct"/>
            <w:shd w:val="clear" w:color="auto" w:fill="auto"/>
          </w:tcPr>
          <w:p w14:paraId="5B8F4E16" w14:textId="15258353" w:rsidR="007019E2" w:rsidRPr="000353E9" w:rsidRDefault="007019E2" w:rsidP="007019E2">
            <w:pPr>
              <w:spacing w:after="0"/>
              <w:ind w:right="-81"/>
              <w:jc w:val="left"/>
              <w:rPr>
                <w:color w:val="314364" w:themeColor="text2"/>
                <w:sz w:val="18"/>
                <w:szCs w:val="18"/>
              </w:rPr>
            </w:pPr>
            <w:r w:rsidRPr="000353E9">
              <w:rPr>
                <w:color w:val="314364" w:themeColor="text2"/>
                <w:sz w:val="18"/>
                <w:szCs w:val="18"/>
              </w:rPr>
              <w:t>MF SR</w:t>
            </w:r>
          </w:p>
        </w:tc>
        <w:tc>
          <w:tcPr>
            <w:tcW w:w="2112" w:type="pct"/>
            <w:shd w:val="clear" w:color="auto" w:fill="auto"/>
          </w:tcPr>
          <w:p w14:paraId="23B39888" w14:textId="5B2BC950" w:rsidR="007019E2" w:rsidRDefault="007019E2" w:rsidP="007019E2">
            <w:pPr>
              <w:spacing w:after="0"/>
              <w:jc w:val="left"/>
              <w:rPr>
                <w:sz w:val="18"/>
                <w:szCs w:val="18"/>
              </w:rPr>
            </w:pPr>
            <w:r w:rsidRPr="00342619">
              <w:rPr>
                <w:sz w:val="18"/>
                <w:szCs w:val="18"/>
              </w:rPr>
              <w:t xml:space="preserve">Ministerstvo financií </w:t>
            </w:r>
            <w:r>
              <w:rPr>
                <w:sz w:val="18"/>
                <w:szCs w:val="18"/>
              </w:rPr>
              <w:t>SR</w:t>
            </w:r>
          </w:p>
        </w:tc>
        <w:tc>
          <w:tcPr>
            <w:tcW w:w="569" w:type="pct"/>
          </w:tcPr>
          <w:p w14:paraId="3BEF5A85" w14:textId="48E8006C" w:rsidR="007019E2" w:rsidRPr="00342619" w:rsidRDefault="007019E2" w:rsidP="007019E2">
            <w:pPr>
              <w:spacing w:after="0"/>
              <w:ind w:right="-12"/>
              <w:jc w:val="left"/>
              <w:rPr>
                <w:color w:val="314364" w:themeColor="text2"/>
                <w:sz w:val="18"/>
                <w:szCs w:val="18"/>
              </w:rPr>
            </w:pPr>
            <w:r>
              <w:rPr>
                <w:color w:val="314364" w:themeColor="text2"/>
                <w:sz w:val="18"/>
                <w:szCs w:val="18"/>
              </w:rPr>
              <w:t xml:space="preserve">š. p. </w:t>
            </w:r>
          </w:p>
        </w:tc>
        <w:tc>
          <w:tcPr>
            <w:tcW w:w="1778" w:type="pct"/>
          </w:tcPr>
          <w:p w14:paraId="6870743C" w14:textId="076501A9" w:rsidR="007019E2" w:rsidRPr="00342619" w:rsidRDefault="007019E2" w:rsidP="007019E2">
            <w:pPr>
              <w:spacing w:after="0"/>
              <w:jc w:val="left"/>
              <w:rPr>
                <w:sz w:val="18"/>
                <w:szCs w:val="18"/>
              </w:rPr>
            </w:pPr>
            <w:r w:rsidRPr="00342619">
              <w:rPr>
                <w:sz w:val="18"/>
                <w:szCs w:val="18"/>
              </w:rPr>
              <w:t xml:space="preserve">štátny </w:t>
            </w:r>
            <w:r>
              <w:rPr>
                <w:sz w:val="18"/>
                <w:szCs w:val="18"/>
              </w:rPr>
              <w:t>podnik</w:t>
            </w:r>
          </w:p>
        </w:tc>
      </w:tr>
      <w:tr w:rsidR="007019E2" w:rsidRPr="00B52236" w14:paraId="1D7029F4" w14:textId="77777777" w:rsidTr="00EA36B5">
        <w:trPr>
          <w:trHeight w:val="228"/>
          <w:jc w:val="center"/>
        </w:trPr>
        <w:tc>
          <w:tcPr>
            <w:tcW w:w="541" w:type="pct"/>
            <w:shd w:val="clear" w:color="auto" w:fill="auto"/>
          </w:tcPr>
          <w:p w14:paraId="447150EB" w14:textId="39D6EAD0" w:rsidR="007019E2" w:rsidRPr="000353E9" w:rsidRDefault="007019E2" w:rsidP="007019E2">
            <w:pPr>
              <w:spacing w:after="0"/>
              <w:ind w:right="-81"/>
              <w:jc w:val="left"/>
              <w:rPr>
                <w:color w:val="314364" w:themeColor="text2"/>
                <w:sz w:val="18"/>
                <w:szCs w:val="18"/>
              </w:rPr>
            </w:pPr>
            <w:r w:rsidRPr="000353E9">
              <w:rPr>
                <w:color w:val="314364" w:themeColor="text2"/>
                <w:sz w:val="18"/>
                <w:szCs w:val="18"/>
              </w:rPr>
              <w:t>MH SR</w:t>
            </w:r>
          </w:p>
        </w:tc>
        <w:tc>
          <w:tcPr>
            <w:tcW w:w="2112" w:type="pct"/>
            <w:shd w:val="clear" w:color="auto" w:fill="auto"/>
          </w:tcPr>
          <w:p w14:paraId="4A3A1E5D" w14:textId="04FB04DC" w:rsidR="007019E2" w:rsidRPr="00342619" w:rsidRDefault="007019E2" w:rsidP="007019E2">
            <w:pPr>
              <w:spacing w:after="0"/>
              <w:jc w:val="left"/>
              <w:rPr>
                <w:sz w:val="18"/>
                <w:szCs w:val="18"/>
              </w:rPr>
            </w:pPr>
            <w:r w:rsidRPr="00342619">
              <w:rPr>
                <w:sz w:val="18"/>
                <w:szCs w:val="18"/>
              </w:rPr>
              <w:t xml:space="preserve">Ministerstvo hospodárstva </w:t>
            </w:r>
            <w:r>
              <w:rPr>
                <w:sz w:val="18"/>
                <w:szCs w:val="18"/>
              </w:rPr>
              <w:t>SR</w:t>
            </w:r>
          </w:p>
        </w:tc>
        <w:tc>
          <w:tcPr>
            <w:tcW w:w="569" w:type="pct"/>
          </w:tcPr>
          <w:p w14:paraId="32ABAB34" w14:textId="48FD5C61" w:rsidR="007019E2" w:rsidRPr="00342619" w:rsidRDefault="007019E2" w:rsidP="007019E2">
            <w:pPr>
              <w:spacing w:after="0"/>
              <w:ind w:right="-12"/>
              <w:jc w:val="left"/>
              <w:rPr>
                <w:sz w:val="18"/>
                <w:szCs w:val="18"/>
              </w:rPr>
            </w:pPr>
            <w:r w:rsidRPr="00342619">
              <w:rPr>
                <w:color w:val="314364" w:themeColor="text2"/>
                <w:sz w:val="18"/>
                <w:szCs w:val="18"/>
              </w:rPr>
              <w:t>ŠR</w:t>
            </w:r>
          </w:p>
        </w:tc>
        <w:tc>
          <w:tcPr>
            <w:tcW w:w="1778" w:type="pct"/>
          </w:tcPr>
          <w:p w14:paraId="7ED3C66C" w14:textId="3ACDC09E" w:rsidR="007019E2" w:rsidRPr="00342619" w:rsidRDefault="007019E2" w:rsidP="007019E2">
            <w:pPr>
              <w:spacing w:after="0"/>
              <w:jc w:val="left"/>
              <w:rPr>
                <w:sz w:val="18"/>
                <w:szCs w:val="18"/>
              </w:rPr>
            </w:pPr>
            <w:r w:rsidRPr="00342619">
              <w:rPr>
                <w:sz w:val="18"/>
                <w:szCs w:val="18"/>
              </w:rPr>
              <w:t>štátny rozpočet</w:t>
            </w:r>
          </w:p>
        </w:tc>
      </w:tr>
      <w:tr w:rsidR="007019E2" w:rsidRPr="00B52236" w14:paraId="0A699D97" w14:textId="77777777" w:rsidTr="00EA36B5">
        <w:trPr>
          <w:trHeight w:val="228"/>
          <w:jc w:val="center"/>
        </w:trPr>
        <w:tc>
          <w:tcPr>
            <w:tcW w:w="541" w:type="pct"/>
            <w:shd w:val="clear" w:color="auto" w:fill="auto"/>
          </w:tcPr>
          <w:p w14:paraId="73062DE9" w14:textId="2CF6107D" w:rsidR="007019E2" w:rsidRPr="000353E9" w:rsidRDefault="007019E2" w:rsidP="007019E2">
            <w:pPr>
              <w:spacing w:after="0"/>
              <w:ind w:right="-81"/>
              <w:jc w:val="left"/>
              <w:rPr>
                <w:color w:val="314364" w:themeColor="text2"/>
                <w:sz w:val="18"/>
                <w:szCs w:val="18"/>
              </w:rPr>
            </w:pPr>
            <w:r w:rsidRPr="000353E9">
              <w:rPr>
                <w:color w:val="314364" w:themeColor="text2"/>
                <w:sz w:val="18"/>
                <w:szCs w:val="18"/>
              </w:rPr>
              <w:t>MIRRI SR</w:t>
            </w:r>
          </w:p>
        </w:tc>
        <w:tc>
          <w:tcPr>
            <w:tcW w:w="2112" w:type="pct"/>
            <w:shd w:val="clear" w:color="auto" w:fill="auto"/>
          </w:tcPr>
          <w:p w14:paraId="4F1C2D4B" w14:textId="76E35776" w:rsidR="007019E2" w:rsidRPr="00342619" w:rsidRDefault="007019E2" w:rsidP="007019E2">
            <w:pPr>
              <w:spacing w:after="0"/>
              <w:jc w:val="left"/>
              <w:rPr>
                <w:sz w:val="18"/>
                <w:szCs w:val="18"/>
              </w:rPr>
            </w:pPr>
            <w:r w:rsidRPr="00342619">
              <w:rPr>
                <w:sz w:val="18"/>
                <w:szCs w:val="18"/>
              </w:rPr>
              <w:t xml:space="preserve">Ministerstvo investícií, regionálneho rozvoja a informatizácie </w:t>
            </w:r>
            <w:r>
              <w:rPr>
                <w:sz w:val="18"/>
                <w:szCs w:val="18"/>
              </w:rPr>
              <w:t>SR</w:t>
            </w:r>
          </w:p>
        </w:tc>
        <w:tc>
          <w:tcPr>
            <w:tcW w:w="569" w:type="pct"/>
          </w:tcPr>
          <w:p w14:paraId="07027496" w14:textId="02633CE7" w:rsidR="007019E2" w:rsidRDefault="007019E2" w:rsidP="007019E2">
            <w:pPr>
              <w:spacing w:after="0"/>
              <w:ind w:right="-12"/>
              <w:jc w:val="left"/>
              <w:rPr>
                <w:color w:val="314364" w:themeColor="text2"/>
                <w:sz w:val="18"/>
                <w:szCs w:val="18"/>
              </w:rPr>
            </w:pPr>
            <w:r w:rsidRPr="00342619">
              <w:rPr>
                <w:color w:val="314364" w:themeColor="text2"/>
                <w:sz w:val="18"/>
                <w:szCs w:val="18"/>
              </w:rPr>
              <w:t>ŠÚ SR</w:t>
            </w:r>
          </w:p>
        </w:tc>
        <w:tc>
          <w:tcPr>
            <w:tcW w:w="1778" w:type="pct"/>
          </w:tcPr>
          <w:p w14:paraId="043F45E9" w14:textId="342412AE" w:rsidR="007019E2" w:rsidRDefault="007019E2" w:rsidP="007019E2">
            <w:pPr>
              <w:spacing w:after="0"/>
              <w:jc w:val="left"/>
              <w:rPr>
                <w:sz w:val="18"/>
                <w:szCs w:val="18"/>
              </w:rPr>
            </w:pPr>
            <w:r w:rsidRPr="00342619">
              <w:rPr>
                <w:sz w:val="18"/>
                <w:szCs w:val="18"/>
              </w:rPr>
              <w:t xml:space="preserve">Štatistický úrad </w:t>
            </w:r>
            <w:r>
              <w:rPr>
                <w:sz w:val="18"/>
                <w:szCs w:val="18"/>
              </w:rPr>
              <w:t>SR</w:t>
            </w:r>
          </w:p>
        </w:tc>
      </w:tr>
      <w:tr w:rsidR="007019E2" w:rsidRPr="00B52236" w14:paraId="566C7056" w14:textId="77777777" w:rsidTr="00EA36B5">
        <w:trPr>
          <w:trHeight w:val="228"/>
          <w:jc w:val="center"/>
        </w:trPr>
        <w:tc>
          <w:tcPr>
            <w:tcW w:w="541" w:type="pct"/>
            <w:shd w:val="clear" w:color="auto" w:fill="auto"/>
          </w:tcPr>
          <w:p w14:paraId="10CF6833" w14:textId="0A9F31B9" w:rsidR="007019E2" w:rsidRPr="000353E9" w:rsidRDefault="007019E2" w:rsidP="007019E2">
            <w:pPr>
              <w:spacing w:after="0"/>
              <w:ind w:right="-81"/>
              <w:jc w:val="left"/>
              <w:rPr>
                <w:color w:val="314364" w:themeColor="text2"/>
                <w:sz w:val="18"/>
                <w:szCs w:val="18"/>
              </w:rPr>
            </w:pPr>
            <w:r w:rsidRPr="000353E9">
              <w:rPr>
                <w:color w:val="314364" w:themeColor="text2"/>
                <w:sz w:val="18"/>
                <w:szCs w:val="18"/>
              </w:rPr>
              <w:t>MO SR</w:t>
            </w:r>
          </w:p>
        </w:tc>
        <w:tc>
          <w:tcPr>
            <w:tcW w:w="2112" w:type="pct"/>
            <w:shd w:val="clear" w:color="auto" w:fill="auto"/>
          </w:tcPr>
          <w:p w14:paraId="7FDD24CC" w14:textId="18433065" w:rsidR="007019E2" w:rsidRPr="00342619" w:rsidRDefault="007019E2" w:rsidP="007019E2">
            <w:pPr>
              <w:spacing w:after="0"/>
              <w:jc w:val="left"/>
              <w:rPr>
                <w:sz w:val="18"/>
                <w:szCs w:val="18"/>
              </w:rPr>
            </w:pPr>
            <w:r w:rsidRPr="00342619">
              <w:rPr>
                <w:sz w:val="18"/>
                <w:szCs w:val="18"/>
              </w:rPr>
              <w:t xml:space="preserve">Ministerstvo obrany </w:t>
            </w:r>
            <w:r>
              <w:rPr>
                <w:sz w:val="18"/>
                <w:szCs w:val="18"/>
              </w:rPr>
              <w:t>SR</w:t>
            </w:r>
          </w:p>
        </w:tc>
        <w:tc>
          <w:tcPr>
            <w:tcW w:w="569" w:type="pct"/>
          </w:tcPr>
          <w:p w14:paraId="61D98FC2" w14:textId="66ED6FDB" w:rsidR="007019E2" w:rsidRDefault="007019E2" w:rsidP="007019E2">
            <w:pPr>
              <w:spacing w:after="0"/>
              <w:ind w:right="-12"/>
              <w:jc w:val="left"/>
              <w:rPr>
                <w:sz w:val="18"/>
                <w:szCs w:val="18"/>
              </w:rPr>
            </w:pPr>
            <w:r>
              <w:rPr>
                <w:color w:val="314364" w:themeColor="text2"/>
                <w:sz w:val="18"/>
                <w:szCs w:val="18"/>
              </w:rPr>
              <w:t>UN</w:t>
            </w:r>
          </w:p>
        </w:tc>
        <w:tc>
          <w:tcPr>
            <w:tcW w:w="1778" w:type="pct"/>
          </w:tcPr>
          <w:p w14:paraId="726CE3CF" w14:textId="3DE922D0" w:rsidR="007019E2" w:rsidRDefault="007019E2" w:rsidP="007019E2">
            <w:pPr>
              <w:spacing w:after="0"/>
              <w:ind w:right="-72"/>
              <w:jc w:val="left"/>
              <w:rPr>
                <w:sz w:val="18"/>
                <w:szCs w:val="18"/>
              </w:rPr>
            </w:pPr>
            <w:r>
              <w:rPr>
                <w:sz w:val="18"/>
                <w:szCs w:val="18"/>
              </w:rPr>
              <w:t>univerzitná nemocnica</w:t>
            </w:r>
          </w:p>
        </w:tc>
      </w:tr>
      <w:tr w:rsidR="007019E2" w:rsidRPr="00B52236" w14:paraId="451A5F29" w14:textId="77777777" w:rsidTr="00EA36B5">
        <w:trPr>
          <w:trHeight w:val="228"/>
          <w:jc w:val="center"/>
        </w:trPr>
        <w:tc>
          <w:tcPr>
            <w:tcW w:w="541" w:type="pct"/>
            <w:shd w:val="clear" w:color="auto" w:fill="auto"/>
          </w:tcPr>
          <w:p w14:paraId="191E8210" w14:textId="64A45048" w:rsidR="007019E2" w:rsidRPr="000353E9" w:rsidRDefault="007019E2" w:rsidP="007019E2">
            <w:pPr>
              <w:spacing w:after="0"/>
              <w:ind w:right="-81"/>
              <w:jc w:val="left"/>
              <w:rPr>
                <w:color w:val="314364" w:themeColor="text2"/>
                <w:sz w:val="18"/>
                <w:szCs w:val="18"/>
              </w:rPr>
            </w:pPr>
            <w:r w:rsidRPr="000353E9">
              <w:rPr>
                <w:color w:val="314364" w:themeColor="text2"/>
                <w:sz w:val="18"/>
                <w:szCs w:val="18"/>
              </w:rPr>
              <w:t>MPSVR SR</w:t>
            </w:r>
          </w:p>
        </w:tc>
        <w:tc>
          <w:tcPr>
            <w:tcW w:w="2112" w:type="pct"/>
            <w:shd w:val="clear" w:color="auto" w:fill="auto"/>
          </w:tcPr>
          <w:p w14:paraId="42706C17" w14:textId="0EA8BFD6" w:rsidR="007019E2" w:rsidRDefault="007019E2" w:rsidP="007019E2">
            <w:pPr>
              <w:tabs>
                <w:tab w:val="left" w:pos="3360"/>
              </w:tabs>
              <w:spacing w:after="0"/>
              <w:jc w:val="left"/>
              <w:rPr>
                <w:sz w:val="18"/>
                <w:szCs w:val="18"/>
              </w:rPr>
            </w:pPr>
            <w:r w:rsidRPr="00342619">
              <w:rPr>
                <w:sz w:val="18"/>
                <w:szCs w:val="18"/>
              </w:rPr>
              <w:t xml:space="preserve">Ministerstvo práce, sociálnych vecí a rodiny </w:t>
            </w:r>
            <w:r>
              <w:rPr>
                <w:sz w:val="18"/>
                <w:szCs w:val="18"/>
              </w:rPr>
              <w:t>SR</w:t>
            </w:r>
          </w:p>
        </w:tc>
        <w:tc>
          <w:tcPr>
            <w:tcW w:w="569" w:type="pct"/>
          </w:tcPr>
          <w:p w14:paraId="6DEF84BF" w14:textId="33E961E0" w:rsidR="007019E2" w:rsidRDefault="007019E2" w:rsidP="007019E2">
            <w:pPr>
              <w:tabs>
                <w:tab w:val="left" w:pos="3360"/>
              </w:tabs>
              <w:spacing w:after="0"/>
              <w:ind w:right="-12"/>
              <w:jc w:val="left"/>
              <w:rPr>
                <w:sz w:val="18"/>
                <w:szCs w:val="18"/>
              </w:rPr>
            </w:pPr>
            <w:r>
              <w:rPr>
                <w:color w:val="314364" w:themeColor="text2"/>
                <w:sz w:val="18"/>
                <w:szCs w:val="18"/>
              </w:rPr>
              <w:t>ÚDZS</w:t>
            </w:r>
          </w:p>
        </w:tc>
        <w:tc>
          <w:tcPr>
            <w:tcW w:w="1778" w:type="pct"/>
          </w:tcPr>
          <w:p w14:paraId="18C47DCA" w14:textId="1B5C9FD3" w:rsidR="007019E2" w:rsidRDefault="007019E2" w:rsidP="007019E2">
            <w:pPr>
              <w:tabs>
                <w:tab w:val="left" w:pos="3360"/>
              </w:tabs>
              <w:spacing w:after="0"/>
              <w:jc w:val="left"/>
              <w:rPr>
                <w:sz w:val="18"/>
                <w:szCs w:val="18"/>
              </w:rPr>
            </w:pPr>
            <w:r>
              <w:rPr>
                <w:sz w:val="18"/>
                <w:szCs w:val="18"/>
              </w:rPr>
              <w:t>Úrad pre dohľad nad zdravotnou starostlivosťou</w:t>
            </w:r>
          </w:p>
        </w:tc>
      </w:tr>
      <w:tr w:rsidR="007019E2" w:rsidRPr="00B52236" w14:paraId="67CCB50B" w14:textId="77777777" w:rsidTr="00EA36B5">
        <w:trPr>
          <w:trHeight w:val="228"/>
          <w:jc w:val="center"/>
        </w:trPr>
        <w:tc>
          <w:tcPr>
            <w:tcW w:w="541" w:type="pct"/>
            <w:shd w:val="clear" w:color="auto" w:fill="auto"/>
          </w:tcPr>
          <w:p w14:paraId="1FC18B40" w14:textId="7AD43ADF" w:rsidR="007019E2" w:rsidRPr="000353E9" w:rsidRDefault="007019E2" w:rsidP="007019E2">
            <w:pPr>
              <w:spacing w:after="0"/>
              <w:ind w:right="-81"/>
              <w:jc w:val="left"/>
              <w:rPr>
                <w:color w:val="314364" w:themeColor="text2"/>
                <w:sz w:val="18"/>
                <w:szCs w:val="18"/>
              </w:rPr>
            </w:pPr>
            <w:r w:rsidRPr="000353E9">
              <w:rPr>
                <w:color w:val="314364" w:themeColor="text2"/>
                <w:sz w:val="18"/>
                <w:szCs w:val="18"/>
              </w:rPr>
              <w:t>MS SR</w:t>
            </w:r>
          </w:p>
        </w:tc>
        <w:tc>
          <w:tcPr>
            <w:tcW w:w="2112" w:type="pct"/>
            <w:shd w:val="clear" w:color="auto" w:fill="auto"/>
          </w:tcPr>
          <w:p w14:paraId="5F07EA8B" w14:textId="3AE37DD0" w:rsidR="007019E2" w:rsidRPr="00342619" w:rsidRDefault="007019E2" w:rsidP="007019E2">
            <w:pPr>
              <w:spacing w:after="0"/>
              <w:jc w:val="left"/>
              <w:rPr>
                <w:sz w:val="18"/>
                <w:szCs w:val="18"/>
              </w:rPr>
            </w:pPr>
            <w:r w:rsidRPr="00342619">
              <w:rPr>
                <w:sz w:val="18"/>
                <w:szCs w:val="18"/>
              </w:rPr>
              <w:t xml:space="preserve">Ministerstvo spravodlivosti </w:t>
            </w:r>
            <w:r>
              <w:rPr>
                <w:sz w:val="18"/>
                <w:szCs w:val="18"/>
              </w:rPr>
              <w:t>SR</w:t>
            </w:r>
          </w:p>
        </w:tc>
        <w:tc>
          <w:tcPr>
            <w:tcW w:w="569" w:type="pct"/>
          </w:tcPr>
          <w:p w14:paraId="4DBDBD99" w14:textId="4B6C2623" w:rsidR="007019E2" w:rsidRPr="00342619" w:rsidRDefault="007019E2" w:rsidP="007019E2">
            <w:pPr>
              <w:spacing w:after="0"/>
              <w:ind w:right="-12"/>
              <w:jc w:val="left"/>
              <w:rPr>
                <w:sz w:val="18"/>
                <w:szCs w:val="18"/>
              </w:rPr>
            </w:pPr>
            <w:r w:rsidRPr="00342619">
              <w:rPr>
                <w:color w:val="314364" w:themeColor="text2"/>
                <w:sz w:val="18"/>
                <w:szCs w:val="18"/>
              </w:rPr>
              <w:t>ÚHP</w:t>
            </w:r>
          </w:p>
        </w:tc>
        <w:tc>
          <w:tcPr>
            <w:tcW w:w="1778" w:type="pct"/>
          </w:tcPr>
          <w:p w14:paraId="031F6E07" w14:textId="0EFFE74E" w:rsidR="007019E2" w:rsidRPr="00342619" w:rsidRDefault="007019E2" w:rsidP="007019E2">
            <w:pPr>
              <w:spacing w:after="0"/>
              <w:ind w:right="-210"/>
              <w:jc w:val="left"/>
              <w:rPr>
                <w:sz w:val="18"/>
                <w:szCs w:val="18"/>
              </w:rPr>
            </w:pPr>
            <w:r w:rsidRPr="00342619">
              <w:rPr>
                <w:sz w:val="18"/>
                <w:szCs w:val="18"/>
              </w:rPr>
              <w:t>Útvar hodnoty za peniaze</w:t>
            </w:r>
          </w:p>
        </w:tc>
      </w:tr>
      <w:tr w:rsidR="007019E2" w:rsidRPr="00B52236" w14:paraId="0F44EC1A" w14:textId="77777777" w:rsidTr="00EA36B5">
        <w:trPr>
          <w:trHeight w:val="228"/>
          <w:jc w:val="center"/>
        </w:trPr>
        <w:tc>
          <w:tcPr>
            <w:tcW w:w="541" w:type="pct"/>
            <w:shd w:val="clear" w:color="auto" w:fill="auto"/>
          </w:tcPr>
          <w:p w14:paraId="334A512C" w14:textId="445E77B1" w:rsidR="007019E2" w:rsidRPr="000353E9" w:rsidRDefault="007019E2" w:rsidP="007019E2">
            <w:pPr>
              <w:spacing w:after="0"/>
              <w:ind w:right="-81"/>
              <w:jc w:val="left"/>
              <w:rPr>
                <w:color w:val="314364" w:themeColor="text2"/>
                <w:sz w:val="18"/>
                <w:szCs w:val="18"/>
              </w:rPr>
            </w:pPr>
            <w:r>
              <w:rPr>
                <w:color w:val="314364" w:themeColor="text2"/>
                <w:sz w:val="18"/>
                <w:szCs w:val="18"/>
              </w:rPr>
              <w:t>MŠ</w:t>
            </w:r>
          </w:p>
        </w:tc>
        <w:tc>
          <w:tcPr>
            <w:tcW w:w="2112" w:type="pct"/>
            <w:shd w:val="clear" w:color="auto" w:fill="auto"/>
          </w:tcPr>
          <w:p w14:paraId="4518DE39" w14:textId="7722A70D" w:rsidR="007019E2" w:rsidRDefault="007019E2" w:rsidP="007019E2">
            <w:pPr>
              <w:spacing w:after="0"/>
              <w:jc w:val="left"/>
              <w:rPr>
                <w:sz w:val="18"/>
                <w:szCs w:val="18"/>
              </w:rPr>
            </w:pPr>
            <w:r>
              <w:rPr>
                <w:sz w:val="18"/>
                <w:szCs w:val="18"/>
              </w:rPr>
              <w:t>materské školy</w:t>
            </w:r>
          </w:p>
        </w:tc>
        <w:tc>
          <w:tcPr>
            <w:tcW w:w="569" w:type="pct"/>
          </w:tcPr>
          <w:p w14:paraId="6612175B" w14:textId="0A5965F8" w:rsidR="007019E2" w:rsidRPr="00342619" w:rsidRDefault="007019E2" w:rsidP="007019E2">
            <w:pPr>
              <w:spacing w:after="0"/>
              <w:ind w:right="-12"/>
              <w:jc w:val="left"/>
              <w:rPr>
                <w:color w:val="314364" w:themeColor="text2"/>
                <w:sz w:val="18"/>
                <w:szCs w:val="18"/>
              </w:rPr>
            </w:pPr>
            <w:r w:rsidRPr="00342619">
              <w:rPr>
                <w:color w:val="314364" w:themeColor="text2"/>
                <w:sz w:val="18"/>
                <w:szCs w:val="18"/>
              </w:rPr>
              <w:t>ÚV SR</w:t>
            </w:r>
          </w:p>
        </w:tc>
        <w:tc>
          <w:tcPr>
            <w:tcW w:w="1778" w:type="pct"/>
          </w:tcPr>
          <w:p w14:paraId="5F16F86A" w14:textId="22A98B46" w:rsidR="007019E2" w:rsidRPr="00342619" w:rsidRDefault="007019E2" w:rsidP="007019E2">
            <w:pPr>
              <w:spacing w:after="0"/>
              <w:ind w:right="-210"/>
              <w:jc w:val="left"/>
              <w:rPr>
                <w:sz w:val="18"/>
                <w:szCs w:val="18"/>
              </w:rPr>
            </w:pPr>
            <w:r w:rsidRPr="00342619">
              <w:rPr>
                <w:sz w:val="18"/>
                <w:szCs w:val="18"/>
              </w:rPr>
              <w:t xml:space="preserve">Úrad vlády </w:t>
            </w:r>
            <w:r>
              <w:rPr>
                <w:sz w:val="18"/>
                <w:szCs w:val="18"/>
              </w:rPr>
              <w:t>SR</w:t>
            </w:r>
          </w:p>
        </w:tc>
      </w:tr>
      <w:tr w:rsidR="007019E2" w:rsidRPr="00B52236" w14:paraId="2024C0BE" w14:textId="77777777" w:rsidTr="00EA36B5">
        <w:trPr>
          <w:trHeight w:val="228"/>
          <w:jc w:val="center"/>
        </w:trPr>
        <w:tc>
          <w:tcPr>
            <w:tcW w:w="541" w:type="pct"/>
            <w:shd w:val="clear" w:color="auto" w:fill="auto"/>
          </w:tcPr>
          <w:p w14:paraId="62226301" w14:textId="076F9131" w:rsidR="007019E2" w:rsidRPr="000353E9" w:rsidRDefault="007019E2" w:rsidP="007019E2">
            <w:pPr>
              <w:spacing w:after="0"/>
              <w:ind w:right="-81"/>
              <w:jc w:val="left"/>
              <w:rPr>
                <w:color w:val="314364" w:themeColor="text2"/>
                <w:sz w:val="18"/>
                <w:szCs w:val="18"/>
              </w:rPr>
            </w:pPr>
            <w:r w:rsidRPr="000353E9">
              <w:rPr>
                <w:color w:val="314364" w:themeColor="text2"/>
                <w:sz w:val="18"/>
                <w:szCs w:val="18"/>
              </w:rPr>
              <w:t>MŠVVa</w:t>
            </w:r>
            <w:r>
              <w:rPr>
                <w:color w:val="314364" w:themeColor="text2"/>
                <w:sz w:val="18"/>
                <w:szCs w:val="18"/>
              </w:rPr>
              <w:t>M</w:t>
            </w:r>
            <w:r w:rsidRPr="000353E9">
              <w:rPr>
                <w:color w:val="314364" w:themeColor="text2"/>
                <w:sz w:val="18"/>
                <w:szCs w:val="18"/>
              </w:rPr>
              <w:t xml:space="preserve"> SR</w:t>
            </w:r>
          </w:p>
        </w:tc>
        <w:tc>
          <w:tcPr>
            <w:tcW w:w="2112" w:type="pct"/>
            <w:shd w:val="clear" w:color="auto" w:fill="auto"/>
          </w:tcPr>
          <w:p w14:paraId="5C3D1B17" w14:textId="5E21B4D4" w:rsidR="007019E2" w:rsidRPr="00342619" w:rsidRDefault="007019E2" w:rsidP="007019E2">
            <w:pPr>
              <w:spacing w:after="0"/>
              <w:jc w:val="left"/>
              <w:rPr>
                <w:sz w:val="18"/>
                <w:szCs w:val="18"/>
              </w:rPr>
            </w:pPr>
            <w:r w:rsidRPr="00342619">
              <w:rPr>
                <w:sz w:val="18"/>
                <w:szCs w:val="18"/>
              </w:rPr>
              <w:t>Ministerstvo školstva, vedy, výskumu a </w:t>
            </w:r>
            <w:r>
              <w:rPr>
                <w:sz w:val="18"/>
                <w:szCs w:val="18"/>
              </w:rPr>
              <w:t>mládeže</w:t>
            </w:r>
            <w:r w:rsidRPr="00342619">
              <w:rPr>
                <w:sz w:val="18"/>
                <w:szCs w:val="18"/>
              </w:rPr>
              <w:t xml:space="preserve"> </w:t>
            </w:r>
            <w:r>
              <w:rPr>
                <w:sz w:val="18"/>
                <w:szCs w:val="18"/>
              </w:rPr>
              <w:t>SR</w:t>
            </w:r>
          </w:p>
        </w:tc>
        <w:tc>
          <w:tcPr>
            <w:tcW w:w="569" w:type="pct"/>
          </w:tcPr>
          <w:p w14:paraId="2F45399E" w14:textId="5D50CE66" w:rsidR="007019E2" w:rsidRPr="00342619" w:rsidRDefault="007019E2" w:rsidP="007019E2">
            <w:pPr>
              <w:spacing w:after="0"/>
              <w:ind w:right="-12"/>
              <w:jc w:val="left"/>
              <w:rPr>
                <w:sz w:val="18"/>
                <w:szCs w:val="18"/>
              </w:rPr>
            </w:pPr>
            <w:r w:rsidRPr="00342619">
              <w:rPr>
                <w:color w:val="314364" w:themeColor="text2"/>
                <w:sz w:val="18"/>
                <w:szCs w:val="18"/>
              </w:rPr>
              <w:t>ÚVO</w:t>
            </w:r>
          </w:p>
        </w:tc>
        <w:tc>
          <w:tcPr>
            <w:tcW w:w="1778" w:type="pct"/>
          </w:tcPr>
          <w:p w14:paraId="0DC02A55" w14:textId="000B1452" w:rsidR="007019E2" w:rsidRPr="00342619" w:rsidRDefault="007019E2" w:rsidP="007019E2">
            <w:pPr>
              <w:spacing w:after="0"/>
              <w:jc w:val="left"/>
              <w:rPr>
                <w:sz w:val="18"/>
                <w:szCs w:val="18"/>
              </w:rPr>
            </w:pPr>
            <w:r w:rsidRPr="00342619">
              <w:rPr>
                <w:sz w:val="18"/>
                <w:szCs w:val="18"/>
              </w:rPr>
              <w:t>Úrad pre verejné obstarávanie</w:t>
            </w:r>
          </w:p>
        </w:tc>
      </w:tr>
      <w:tr w:rsidR="007019E2" w:rsidRPr="00B52236" w14:paraId="33DC154A" w14:textId="77777777" w:rsidTr="00EA36B5">
        <w:trPr>
          <w:trHeight w:val="228"/>
          <w:jc w:val="center"/>
        </w:trPr>
        <w:tc>
          <w:tcPr>
            <w:tcW w:w="541" w:type="pct"/>
            <w:shd w:val="clear" w:color="auto" w:fill="auto"/>
          </w:tcPr>
          <w:p w14:paraId="3D0305E6" w14:textId="4E23136A" w:rsidR="007019E2" w:rsidRPr="000353E9" w:rsidRDefault="007019E2" w:rsidP="007019E2">
            <w:pPr>
              <w:spacing w:after="0"/>
              <w:ind w:right="-81"/>
              <w:jc w:val="left"/>
              <w:rPr>
                <w:color w:val="314364" w:themeColor="text2"/>
                <w:sz w:val="18"/>
                <w:szCs w:val="18"/>
              </w:rPr>
            </w:pPr>
            <w:r>
              <w:rPr>
                <w:color w:val="314364" w:themeColor="text2"/>
                <w:sz w:val="18"/>
                <w:szCs w:val="18"/>
              </w:rPr>
              <w:t>MTP</w:t>
            </w:r>
          </w:p>
        </w:tc>
        <w:tc>
          <w:tcPr>
            <w:tcW w:w="2112" w:type="pct"/>
            <w:shd w:val="clear" w:color="auto" w:fill="auto"/>
          </w:tcPr>
          <w:p w14:paraId="38063055" w14:textId="32ACA0A7" w:rsidR="007019E2" w:rsidRPr="00342619" w:rsidRDefault="007019E2" w:rsidP="007019E2">
            <w:pPr>
              <w:spacing w:after="0"/>
              <w:jc w:val="left"/>
              <w:rPr>
                <w:sz w:val="18"/>
                <w:szCs w:val="18"/>
              </w:rPr>
            </w:pPr>
            <w:r>
              <w:rPr>
                <w:sz w:val="18"/>
                <w:szCs w:val="18"/>
              </w:rPr>
              <w:t>Národný strednodobý fiškálno-štrukturálny plán</w:t>
            </w:r>
          </w:p>
        </w:tc>
        <w:tc>
          <w:tcPr>
            <w:tcW w:w="569" w:type="pct"/>
          </w:tcPr>
          <w:p w14:paraId="6078F64F" w14:textId="44174B88" w:rsidR="007019E2" w:rsidRDefault="007019E2" w:rsidP="007019E2">
            <w:pPr>
              <w:spacing w:after="0"/>
              <w:ind w:right="-12"/>
              <w:jc w:val="left"/>
              <w:rPr>
                <w:color w:val="314364" w:themeColor="text2"/>
                <w:sz w:val="18"/>
                <w:szCs w:val="18"/>
              </w:rPr>
            </w:pPr>
            <w:r>
              <w:rPr>
                <w:color w:val="314364" w:themeColor="text2"/>
                <w:sz w:val="18"/>
                <w:szCs w:val="18"/>
              </w:rPr>
              <w:t>VLD</w:t>
            </w:r>
          </w:p>
        </w:tc>
        <w:tc>
          <w:tcPr>
            <w:tcW w:w="1778" w:type="pct"/>
          </w:tcPr>
          <w:p w14:paraId="1B8E0ED7" w14:textId="4CB96DA9" w:rsidR="007019E2" w:rsidRDefault="007019E2" w:rsidP="007019E2">
            <w:pPr>
              <w:spacing w:after="0"/>
              <w:jc w:val="left"/>
              <w:rPr>
                <w:sz w:val="18"/>
                <w:szCs w:val="18"/>
              </w:rPr>
            </w:pPr>
            <w:r>
              <w:rPr>
                <w:sz w:val="18"/>
                <w:szCs w:val="18"/>
              </w:rPr>
              <w:t xml:space="preserve">všeobecní lekári </w:t>
            </w:r>
            <w:r w:rsidRPr="00347C08">
              <w:rPr>
                <w:sz w:val="18"/>
                <w:szCs w:val="18"/>
              </w:rPr>
              <w:t>pre dospelých</w:t>
            </w:r>
          </w:p>
        </w:tc>
      </w:tr>
      <w:tr w:rsidR="007019E2" w:rsidRPr="00B52236" w14:paraId="3A879457" w14:textId="77777777" w:rsidTr="00EA36B5">
        <w:trPr>
          <w:trHeight w:val="228"/>
          <w:jc w:val="center"/>
        </w:trPr>
        <w:tc>
          <w:tcPr>
            <w:tcW w:w="541" w:type="pct"/>
            <w:shd w:val="clear" w:color="auto" w:fill="auto"/>
          </w:tcPr>
          <w:p w14:paraId="1D2980CA" w14:textId="239BE3A9" w:rsidR="007019E2" w:rsidRPr="000353E9" w:rsidRDefault="007019E2" w:rsidP="007019E2">
            <w:pPr>
              <w:spacing w:after="0"/>
              <w:ind w:right="-81"/>
              <w:jc w:val="left"/>
              <w:rPr>
                <w:color w:val="314364" w:themeColor="text2"/>
                <w:sz w:val="18"/>
                <w:szCs w:val="18"/>
              </w:rPr>
            </w:pPr>
            <w:r w:rsidRPr="000353E9">
              <w:rPr>
                <w:color w:val="314364" w:themeColor="text2"/>
                <w:sz w:val="18"/>
                <w:szCs w:val="18"/>
              </w:rPr>
              <w:t>MV SR</w:t>
            </w:r>
          </w:p>
        </w:tc>
        <w:tc>
          <w:tcPr>
            <w:tcW w:w="2112" w:type="pct"/>
            <w:shd w:val="clear" w:color="auto" w:fill="auto"/>
          </w:tcPr>
          <w:p w14:paraId="5C3E951B" w14:textId="2E799EB1" w:rsidR="007019E2" w:rsidRPr="00342619" w:rsidRDefault="007019E2" w:rsidP="007019E2">
            <w:pPr>
              <w:spacing w:after="0"/>
              <w:jc w:val="left"/>
              <w:rPr>
                <w:sz w:val="18"/>
                <w:szCs w:val="18"/>
              </w:rPr>
            </w:pPr>
            <w:r w:rsidRPr="00342619">
              <w:rPr>
                <w:sz w:val="18"/>
                <w:szCs w:val="18"/>
              </w:rPr>
              <w:t xml:space="preserve">Ministerstvo vnútra </w:t>
            </w:r>
            <w:r>
              <w:rPr>
                <w:sz w:val="18"/>
                <w:szCs w:val="18"/>
              </w:rPr>
              <w:t>SR</w:t>
            </w:r>
          </w:p>
        </w:tc>
        <w:tc>
          <w:tcPr>
            <w:tcW w:w="569" w:type="pct"/>
          </w:tcPr>
          <w:p w14:paraId="67EB10D6" w14:textId="00B0B7ED" w:rsidR="007019E2" w:rsidRPr="00342619" w:rsidRDefault="007019E2" w:rsidP="007019E2">
            <w:pPr>
              <w:spacing w:after="0"/>
              <w:ind w:right="-12"/>
              <w:jc w:val="left"/>
              <w:rPr>
                <w:sz w:val="18"/>
                <w:szCs w:val="18"/>
              </w:rPr>
            </w:pPr>
            <w:r>
              <w:rPr>
                <w:color w:val="314364" w:themeColor="text2"/>
                <w:sz w:val="18"/>
                <w:szCs w:val="18"/>
              </w:rPr>
              <w:t>VLDD</w:t>
            </w:r>
          </w:p>
        </w:tc>
        <w:tc>
          <w:tcPr>
            <w:tcW w:w="1778" w:type="pct"/>
          </w:tcPr>
          <w:p w14:paraId="3FF1CE63" w14:textId="168CB62C" w:rsidR="007019E2" w:rsidRPr="00342619" w:rsidRDefault="007019E2" w:rsidP="007019E2">
            <w:pPr>
              <w:spacing w:after="0"/>
              <w:jc w:val="left"/>
              <w:rPr>
                <w:sz w:val="18"/>
                <w:szCs w:val="18"/>
              </w:rPr>
            </w:pPr>
            <w:r>
              <w:rPr>
                <w:sz w:val="18"/>
                <w:szCs w:val="18"/>
              </w:rPr>
              <w:t>všeobecní lekári pre deti a dorast</w:t>
            </w:r>
          </w:p>
        </w:tc>
      </w:tr>
      <w:tr w:rsidR="007019E2" w:rsidRPr="00B52236" w14:paraId="1EDF3A75" w14:textId="77777777" w:rsidTr="00EA36B5">
        <w:trPr>
          <w:trHeight w:val="228"/>
          <w:jc w:val="center"/>
        </w:trPr>
        <w:tc>
          <w:tcPr>
            <w:tcW w:w="541" w:type="pct"/>
            <w:shd w:val="clear" w:color="auto" w:fill="auto"/>
          </w:tcPr>
          <w:p w14:paraId="7E52A86A" w14:textId="0AC9AD0B" w:rsidR="007019E2" w:rsidRPr="000353E9" w:rsidRDefault="007019E2" w:rsidP="007019E2">
            <w:pPr>
              <w:spacing w:after="0"/>
              <w:ind w:right="-81"/>
              <w:jc w:val="left"/>
              <w:rPr>
                <w:color w:val="314364" w:themeColor="text2"/>
                <w:sz w:val="18"/>
                <w:szCs w:val="18"/>
              </w:rPr>
            </w:pPr>
            <w:r w:rsidRPr="000353E9">
              <w:rPr>
                <w:color w:val="314364" w:themeColor="text2"/>
                <w:sz w:val="18"/>
                <w:szCs w:val="18"/>
              </w:rPr>
              <w:t>MZ SR</w:t>
            </w:r>
          </w:p>
        </w:tc>
        <w:tc>
          <w:tcPr>
            <w:tcW w:w="2112" w:type="pct"/>
            <w:shd w:val="clear" w:color="auto" w:fill="auto"/>
          </w:tcPr>
          <w:p w14:paraId="4413F068" w14:textId="76003012" w:rsidR="007019E2" w:rsidRPr="00342619" w:rsidRDefault="007019E2" w:rsidP="007019E2">
            <w:pPr>
              <w:spacing w:after="0"/>
              <w:jc w:val="left"/>
              <w:rPr>
                <w:sz w:val="18"/>
                <w:szCs w:val="18"/>
              </w:rPr>
            </w:pPr>
            <w:r w:rsidRPr="00342619">
              <w:rPr>
                <w:sz w:val="18"/>
                <w:szCs w:val="18"/>
              </w:rPr>
              <w:t xml:space="preserve">Ministerstvo zdravotníctva </w:t>
            </w:r>
            <w:r>
              <w:rPr>
                <w:sz w:val="18"/>
                <w:szCs w:val="18"/>
              </w:rPr>
              <w:t>SR</w:t>
            </w:r>
          </w:p>
        </w:tc>
        <w:tc>
          <w:tcPr>
            <w:tcW w:w="569" w:type="pct"/>
          </w:tcPr>
          <w:p w14:paraId="4BFA9009" w14:textId="2F357CDE" w:rsidR="007019E2" w:rsidRPr="00342619" w:rsidRDefault="007019E2" w:rsidP="007019E2">
            <w:pPr>
              <w:spacing w:after="0"/>
              <w:ind w:right="-12"/>
              <w:jc w:val="left"/>
              <w:rPr>
                <w:sz w:val="18"/>
                <w:szCs w:val="18"/>
              </w:rPr>
            </w:pPr>
            <w:r>
              <w:rPr>
                <w:color w:val="314364" w:themeColor="text2"/>
                <w:sz w:val="18"/>
                <w:szCs w:val="18"/>
              </w:rPr>
              <w:t>VpDP</w:t>
            </w:r>
          </w:p>
        </w:tc>
        <w:tc>
          <w:tcPr>
            <w:tcW w:w="1778" w:type="pct"/>
          </w:tcPr>
          <w:p w14:paraId="66748355" w14:textId="32042F8C" w:rsidR="007019E2" w:rsidRPr="00342619" w:rsidRDefault="007019E2" w:rsidP="007019E2">
            <w:pPr>
              <w:spacing w:after="0"/>
              <w:jc w:val="left"/>
              <w:rPr>
                <w:sz w:val="18"/>
                <w:szCs w:val="18"/>
              </w:rPr>
            </w:pPr>
            <w:r>
              <w:rPr>
                <w:sz w:val="18"/>
                <w:szCs w:val="18"/>
              </w:rPr>
              <w:t>Výbor pre daňové prognózy</w:t>
            </w:r>
          </w:p>
        </w:tc>
      </w:tr>
      <w:tr w:rsidR="007019E2" w:rsidRPr="00B52236" w14:paraId="24CB4056" w14:textId="77777777" w:rsidTr="00EA36B5">
        <w:trPr>
          <w:trHeight w:val="228"/>
          <w:jc w:val="center"/>
        </w:trPr>
        <w:tc>
          <w:tcPr>
            <w:tcW w:w="541" w:type="pct"/>
            <w:shd w:val="clear" w:color="auto" w:fill="auto"/>
          </w:tcPr>
          <w:p w14:paraId="74D26787" w14:textId="004121C6" w:rsidR="007019E2" w:rsidRPr="000353E9" w:rsidRDefault="007019E2" w:rsidP="007019E2">
            <w:pPr>
              <w:spacing w:after="0"/>
              <w:ind w:right="-81"/>
              <w:jc w:val="left"/>
              <w:rPr>
                <w:color w:val="314364" w:themeColor="text2"/>
                <w:sz w:val="18"/>
                <w:szCs w:val="18"/>
              </w:rPr>
            </w:pPr>
            <w:r w:rsidRPr="000353E9">
              <w:rPr>
                <w:color w:val="314364" w:themeColor="text2"/>
                <w:sz w:val="18"/>
                <w:szCs w:val="18"/>
              </w:rPr>
              <w:t>MŽP SR</w:t>
            </w:r>
          </w:p>
        </w:tc>
        <w:tc>
          <w:tcPr>
            <w:tcW w:w="2112" w:type="pct"/>
            <w:shd w:val="clear" w:color="auto" w:fill="auto"/>
          </w:tcPr>
          <w:p w14:paraId="46DA9BC1" w14:textId="5DB94686" w:rsidR="007019E2" w:rsidRPr="00342619" w:rsidRDefault="007019E2" w:rsidP="007019E2">
            <w:pPr>
              <w:spacing w:after="0"/>
              <w:jc w:val="left"/>
              <w:rPr>
                <w:sz w:val="18"/>
                <w:szCs w:val="18"/>
              </w:rPr>
            </w:pPr>
            <w:r w:rsidRPr="00342619">
              <w:rPr>
                <w:sz w:val="18"/>
                <w:szCs w:val="18"/>
              </w:rPr>
              <w:t xml:space="preserve">Ministerstvo životného prostredia </w:t>
            </w:r>
            <w:r>
              <w:rPr>
                <w:sz w:val="18"/>
                <w:szCs w:val="18"/>
              </w:rPr>
              <w:t>SR</w:t>
            </w:r>
          </w:p>
        </w:tc>
        <w:tc>
          <w:tcPr>
            <w:tcW w:w="569" w:type="pct"/>
          </w:tcPr>
          <w:p w14:paraId="4B9622BD" w14:textId="65A0D65A" w:rsidR="007019E2" w:rsidRPr="00342619" w:rsidRDefault="007019E2" w:rsidP="007019E2">
            <w:pPr>
              <w:spacing w:after="0"/>
              <w:ind w:right="-12"/>
              <w:jc w:val="left"/>
              <w:rPr>
                <w:sz w:val="18"/>
                <w:szCs w:val="18"/>
              </w:rPr>
            </w:pPr>
            <w:r w:rsidRPr="00342619">
              <w:rPr>
                <w:color w:val="314364" w:themeColor="text2"/>
                <w:sz w:val="18"/>
                <w:szCs w:val="18"/>
              </w:rPr>
              <w:t>VpMP</w:t>
            </w:r>
          </w:p>
        </w:tc>
        <w:tc>
          <w:tcPr>
            <w:tcW w:w="1778" w:type="pct"/>
          </w:tcPr>
          <w:p w14:paraId="59BF8E84" w14:textId="664C1DA3" w:rsidR="007019E2" w:rsidRPr="00342619" w:rsidRDefault="007019E2" w:rsidP="007019E2">
            <w:pPr>
              <w:spacing w:after="0"/>
              <w:jc w:val="left"/>
              <w:rPr>
                <w:sz w:val="18"/>
                <w:szCs w:val="18"/>
              </w:rPr>
            </w:pPr>
            <w:r w:rsidRPr="00342619">
              <w:rPr>
                <w:sz w:val="18"/>
                <w:szCs w:val="18"/>
              </w:rPr>
              <w:t>Výbor pre makroekonomické prognózy</w:t>
            </w:r>
          </w:p>
        </w:tc>
      </w:tr>
      <w:tr w:rsidR="007019E2" w:rsidRPr="00B52236" w14:paraId="5F013B03" w14:textId="77777777" w:rsidTr="00EA36B5">
        <w:trPr>
          <w:trHeight w:val="228"/>
          <w:jc w:val="center"/>
        </w:trPr>
        <w:tc>
          <w:tcPr>
            <w:tcW w:w="541" w:type="pct"/>
            <w:shd w:val="clear" w:color="auto" w:fill="auto"/>
          </w:tcPr>
          <w:p w14:paraId="246FE9AD" w14:textId="27D37938" w:rsidR="007019E2" w:rsidRPr="000353E9" w:rsidRDefault="007019E2" w:rsidP="007019E2">
            <w:pPr>
              <w:spacing w:after="0"/>
              <w:ind w:right="-81"/>
              <w:jc w:val="left"/>
              <w:rPr>
                <w:color w:val="314364" w:themeColor="text2"/>
                <w:sz w:val="18"/>
                <w:szCs w:val="18"/>
              </w:rPr>
            </w:pPr>
            <w:r>
              <w:rPr>
                <w:color w:val="314364" w:themeColor="text2"/>
                <w:sz w:val="18"/>
                <w:szCs w:val="18"/>
              </w:rPr>
              <w:t>NATO</w:t>
            </w:r>
          </w:p>
        </w:tc>
        <w:tc>
          <w:tcPr>
            <w:tcW w:w="2112" w:type="pct"/>
            <w:shd w:val="clear" w:color="auto" w:fill="auto"/>
          </w:tcPr>
          <w:p w14:paraId="746461CB" w14:textId="76DE28D7" w:rsidR="007019E2" w:rsidRPr="00342619" w:rsidRDefault="007019E2" w:rsidP="007019E2">
            <w:pPr>
              <w:spacing w:after="0"/>
              <w:jc w:val="left"/>
              <w:rPr>
                <w:sz w:val="18"/>
                <w:szCs w:val="18"/>
              </w:rPr>
            </w:pPr>
            <w:r w:rsidRPr="00B224F9">
              <w:rPr>
                <w:sz w:val="18"/>
                <w:szCs w:val="18"/>
              </w:rPr>
              <w:t>Organizácia Severoatlantickej zmluvy</w:t>
            </w:r>
          </w:p>
        </w:tc>
        <w:tc>
          <w:tcPr>
            <w:tcW w:w="569" w:type="pct"/>
          </w:tcPr>
          <w:p w14:paraId="4A08A1AE" w14:textId="1119DDC5" w:rsidR="007019E2" w:rsidRPr="00342619" w:rsidRDefault="007019E2" w:rsidP="007019E2">
            <w:pPr>
              <w:spacing w:after="0"/>
              <w:ind w:right="-12"/>
              <w:jc w:val="left"/>
              <w:rPr>
                <w:sz w:val="18"/>
                <w:szCs w:val="18"/>
              </w:rPr>
            </w:pPr>
            <w:r w:rsidRPr="00342619">
              <w:rPr>
                <w:color w:val="314364" w:themeColor="text2"/>
                <w:sz w:val="18"/>
                <w:szCs w:val="18"/>
              </w:rPr>
              <w:t>VPS</w:t>
            </w:r>
          </w:p>
        </w:tc>
        <w:tc>
          <w:tcPr>
            <w:tcW w:w="1778" w:type="pct"/>
          </w:tcPr>
          <w:p w14:paraId="482F70A5" w14:textId="285D8318" w:rsidR="007019E2" w:rsidRPr="00342619" w:rsidRDefault="007019E2" w:rsidP="007019E2">
            <w:pPr>
              <w:spacing w:after="0"/>
              <w:jc w:val="left"/>
              <w:rPr>
                <w:sz w:val="18"/>
                <w:szCs w:val="18"/>
              </w:rPr>
            </w:pPr>
            <w:r w:rsidRPr="00342619">
              <w:rPr>
                <w:sz w:val="18"/>
                <w:szCs w:val="18"/>
              </w:rPr>
              <w:t>Všeobecná pokladničná správa</w:t>
            </w:r>
          </w:p>
        </w:tc>
      </w:tr>
      <w:tr w:rsidR="007019E2" w:rsidRPr="00B52236" w14:paraId="0284E0FB" w14:textId="77777777" w:rsidTr="00EA36B5">
        <w:trPr>
          <w:trHeight w:val="228"/>
          <w:jc w:val="center"/>
        </w:trPr>
        <w:tc>
          <w:tcPr>
            <w:tcW w:w="541" w:type="pct"/>
            <w:shd w:val="clear" w:color="auto" w:fill="auto"/>
          </w:tcPr>
          <w:p w14:paraId="4D41D075" w14:textId="43D1B598" w:rsidR="007019E2" w:rsidRPr="000353E9" w:rsidRDefault="007019E2" w:rsidP="007019E2">
            <w:pPr>
              <w:spacing w:after="0"/>
              <w:ind w:right="-81"/>
              <w:jc w:val="left"/>
              <w:rPr>
                <w:color w:val="314364" w:themeColor="text2"/>
                <w:sz w:val="18"/>
                <w:szCs w:val="18"/>
              </w:rPr>
            </w:pPr>
            <w:r w:rsidRPr="005D4F5D">
              <w:rPr>
                <w:color w:val="314364" w:themeColor="text2"/>
                <w:sz w:val="18"/>
                <w:szCs w:val="18"/>
              </w:rPr>
              <w:t>NDS, a. s.</w:t>
            </w:r>
          </w:p>
        </w:tc>
        <w:tc>
          <w:tcPr>
            <w:tcW w:w="2112" w:type="pct"/>
            <w:shd w:val="clear" w:color="auto" w:fill="auto"/>
          </w:tcPr>
          <w:p w14:paraId="70E707B2" w14:textId="5F305ADD" w:rsidR="007019E2" w:rsidRPr="00342619" w:rsidRDefault="007019E2" w:rsidP="007019E2">
            <w:pPr>
              <w:spacing w:after="0"/>
              <w:ind w:right="-73"/>
              <w:jc w:val="left"/>
              <w:rPr>
                <w:sz w:val="18"/>
                <w:szCs w:val="18"/>
              </w:rPr>
            </w:pPr>
            <w:r w:rsidRPr="005D4F5D">
              <w:rPr>
                <w:sz w:val="18"/>
                <w:szCs w:val="18"/>
              </w:rPr>
              <w:t>Národná diaľničná spoločnosť, a. s.</w:t>
            </w:r>
          </w:p>
        </w:tc>
        <w:tc>
          <w:tcPr>
            <w:tcW w:w="569" w:type="pct"/>
          </w:tcPr>
          <w:p w14:paraId="6A1F26C8" w14:textId="267AEFDC" w:rsidR="007019E2" w:rsidRPr="00342619" w:rsidRDefault="007019E2" w:rsidP="007019E2">
            <w:pPr>
              <w:spacing w:after="0"/>
              <w:ind w:right="-12"/>
              <w:jc w:val="left"/>
              <w:rPr>
                <w:sz w:val="18"/>
                <w:szCs w:val="18"/>
              </w:rPr>
            </w:pPr>
            <w:r w:rsidRPr="00342619">
              <w:rPr>
                <w:color w:val="314364" w:themeColor="text2"/>
                <w:sz w:val="18"/>
                <w:szCs w:val="18"/>
              </w:rPr>
              <w:t>VS</w:t>
            </w:r>
          </w:p>
        </w:tc>
        <w:tc>
          <w:tcPr>
            <w:tcW w:w="1778" w:type="pct"/>
          </w:tcPr>
          <w:p w14:paraId="481FAEE2" w14:textId="555090FB" w:rsidR="007019E2" w:rsidRPr="00342619" w:rsidRDefault="007019E2" w:rsidP="007019E2">
            <w:pPr>
              <w:spacing w:after="0"/>
              <w:jc w:val="left"/>
              <w:rPr>
                <w:sz w:val="18"/>
                <w:szCs w:val="18"/>
              </w:rPr>
            </w:pPr>
            <w:r w:rsidRPr="00342619">
              <w:rPr>
                <w:sz w:val="18"/>
                <w:szCs w:val="18"/>
              </w:rPr>
              <w:t>verejná správa</w:t>
            </w:r>
          </w:p>
        </w:tc>
      </w:tr>
      <w:tr w:rsidR="007019E2" w:rsidRPr="00B52236" w14:paraId="0D4CFED1" w14:textId="77777777" w:rsidTr="00EA36B5">
        <w:trPr>
          <w:trHeight w:val="228"/>
          <w:jc w:val="center"/>
        </w:trPr>
        <w:tc>
          <w:tcPr>
            <w:tcW w:w="541" w:type="pct"/>
            <w:shd w:val="clear" w:color="auto" w:fill="auto"/>
          </w:tcPr>
          <w:p w14:paraId="3EB7BE99" w14:textId="5D1AB789" w:rsidR="007019E2" w:rsidRPr="000353E9" w:rsidRDefault="007019E2" w:rsidP="007019E2">
            <w:pPr>
              <w:spacing w:after="0"/>
              <w:ind w:right="-81"/>
              <w:jc w:val="left"/>
              <w:rPr>
                <w:color w:val="314364" w:themeColor="text2"/>
                <w:sz w:val="18"/>
                <w:szCs w:val="18"/>
              </w:rPr>
            </w:pPr>
            <w:r>
              <w:rPr>
                <w:color w:val="314364" w:themeColor="text2"/>
                <w:sz w:val="18"/>
                <w:szCs w:val="18"/>
              </w:rPr>
              <w:t>NFV</w:t>
            </w:r>
          </w:p>
        </w:tc>
        <w:tc>
          <w:tcPr>
            <w:tcW w:w="2112" w:type="pct"/>
            <w:shd w:val="clear" w:color="auto" w:fill="auto"/>
          </w:tcPr>
          <w:p w14:paraId="2A17BD04" w14:textId="64FFE825" w:rsidR="007019E2" w:rsidRPr="00342619" w:rsidRDefault="007019E2" w:rsidP="007019E2">
            <w:pPr>
              <w:spacing w:after="0"/>
              <w:jc w:val="left"/>
              <w:rPr>
                <w:sz w:val="18"/>
                <w:szCs w:val="18"/>
              </w:rPr>
            </w:pPr>
            <w:r w:rsidRPr="005D4F5D">
              <w:rPr>
                <w:sz w:val="18"/>
                <w:szCs w:val="18"/>
              </w:rPr>
              <w:t>návratná finančná výpomoc</w:t>
            </w:r>
          </w:p>
        </w:tc>
        <w:tc>
          <w:tcPr>
            <w:tcW w:w="569" w:type="pct"/>
          </w:tcPr>
          <w:p w14:paraId="6BBB0D3B" w14:textId="0ED6C0A8" w:rsidR="007019E2" w:rsidRPr="00342619" w:rsidRDefault="007019E2" w:rsidP="007019E2">
            <w:pPr>
              <w:spacing w:after="0"/>
              <w:ind w:right="-12"/>
              <w:jc w:val="left"/>
              <w:rPr>
                <w:sz w:val="18"/>
                <w:szCs w:val="18"/>
              </w:rPr>
            </w:pPr>
            <w:r>
              <w:rPr>
                <w:color w:val="314364" w:themeColor="text2"/>
                <w:sz w:val="18"/>
                <w:szCs w:val="18"/>
              </w:rPr>
              <w:t xml:space="preserve">VÚB, a. s. </w:t>
            </w:r>
          </w:p>
        </w:tc>
        <w:tc>
          <w:tcPr>
            <w:tcW w:w="1778" w:type="pct"/>
          </w:tcPr>
          <w:p w14:paraId="01F774EB" w14:textId="5FA9ADD8" w:rsidR="007019E2" w:rsidRPr="00342619" w:rsidRDefault="007019E2" w:rsidP="007019E2">
            <w:pPr>
              <w:spacing w:after="0"/>
              <w:jc w:val="left"/>
              <w:rPr>
                <w:sz w:val="18"/>
                <w:szCs w:val="18"/>
              </w:rPr>
            </w:pPr>
            <w:r w:rsidRPr="00BA3752">
              <w:rPr>
                <w:sz w:val="18"/>
                <w:szCs w:val="18"/>
              </w:rPr>
              <w:t>Všeobecná úverová banka, a.</w:t>
            </w:r>
            <w:r>
              <w:rPr>
                <w:sz w:val="18"/>
                <w:szCs w:val="18"/>
              </w:rPr>
              <w:t xml:space="preserve"> </w:t>
            </w:r>
            <w:r w:rsidRPr="00BA3752">
              <w:rPr>
                <w:sz w:val="18"/>
                <w:szCs w:val="18"/>
              </w:rPr>
              <w:t>s.</w:t>
            </w:r>
          </w:p>
        </w:tc>
      </w:tr>
      <w:tr w:rsidR="007019E2" w:rsidRPr="00B52236" w14:paraId="6A5C5E6F" w14:textId="77777777" w:rsidTr="00EA36B5">
        <w:trPr>
          <w:trHeight w:val="228"/>
          <w:jc w:val="center"/>
        </w:trPr>
        <w:tc>
          <w:tcPr>
            <w:tcW w:w="541" w:type="pct"/>
            <w:shd w:val="clear" w:color="auto" w:fill="auto"/>
          </w:tcPr>
          <w:p w14:paraId="5DD8482E" w14:textId="42AB6F4B" w:rsidR="007019E2" w:rsidRPr="000353E9" w:rsidRDefault="007019E2" w:rsidP="007019E2">
            <w:pPr>
              <w:spacing w:after="0"/>
              <w:ind w:right="-81"/>
              <w:jc w:val="left"/>
              <w:rPr>
                <w:color w:val="314364" w:themeColor="text2"/>
                <w:sz w:val="18"/>
                <w:szCs w:val="18"/>
              </w:rPr>
            </w:pPr>
            <w:r>
              <w:rPr>
                <w:color w:val="314364" w:themeColor="text2"/>
                <w:sz w:val="18"/>
                <w:szCs w:val="18"/>
              </w:rPr>
              <w:t>NIKA</w:t>
            </w:r>
          </w:p>
        </w:tc>
        <w:tc>
          <w:tcPr>
            <w:tcW w:w="2112" w:type="pct"/>
            <w:shd w:val="clear" w:color="auto" w:fill="auto"/>
          </w:tcPr>
          <w:p w14:paraId="4D55FCA5" w14:textId="45D9612B" w:rsidR="007019E2" w:rsidRPr="00342619" w:rsidRDefault="007019E2" w:rsidP="007019E2">
            <w:pPr>
              <w:spacing w:after="0"/>
              <w:jc w:val="left"/>
              <w:rPr>
                <w:sz w:val="18"/>
                <w:szCs w:val="18"/>
              </w:rPr>
            </w:pPr>
            <w:r w:rsidRPr="00B37408">
              <w:rPr>
                <w:sz w:val="18"/>
                <w:szCs w:val="18"/>
              </w:rPr>
              <w:t>Národná implementačná a koordinačná autorita</w:t>
            </w:r>
          </w:p>
        </w:tc>
        <w:tc>
          <w:tcPr>
            <w:tcW w:w="569" w:type="pct"/>
          </w:tcPr>
          <w:p w14:paraId="76CA1EBA" w14:textId="0B7F15E2" w:rsidR="007019E2" w:rsidRPr="00342619" w:rsidRDefault="007019E2" w:rsidP="007019E2">
            <w:pPr>
              <w:spacing w:after="0"/>
              <w:ind w:right="-12"/>
              <w:jc w:val="left"/>
              <w:rPr>
                <w:sz w:val="18"/>
                <w:szCs w:val="18"/>
              </w:rPr>
            </w:pPr>
            <w:r>
              <w:rPr>
                <w:color w:val="314364" w:themeColor="text2"/>
                <w:sz w:val="18"/>
                <w:szCs w:val="18"/>
              </w:rPr>
              <w:t>VÚC</w:t>
            </w:r>
          </w:p>
        </w:tc>
        <w:tc>
          <w:tcPr>
            <w:tcW w:w="1778" w:type="pct"/>
          </w:tcPr>
          <w:p w14:paraId="4309CF24" w14:textId="25772D7C" w:rsidR="007019E2" w:rsidRPr="00342619" w:rsidRDefault="007019E2" w:rsidP="007019E2">
            <w:pPr>
              <w:spacing w:after="0"/>
              <w:jc w:val="left"/>
              <w:rPr>
                <w:sz w:val="18"/>
                <w:szCs w:val="18"/>
              </w:rPr>
            </w:pPr>
            <w:r>
              <w:rPr>
                <w:sz w:val="18"/>
                <w:szCs w:val="18"/>
              </w:rPr>
              <w:t>vyšší územný celok</w:t>
            </w:r>
          </w:p>
        </w:tc>
      </w:tr>
      <w:tr w:rsidR="007019E2" w:rsidRPr="00B52236" w14:paraId="37BE75C8" w14:textId="77777777" w:rsidTr="00EA36B5">
        <w:trPr>
          <w:trHeight w:val="228"/>
          <w:jc w:val="center"/>
        </w:trPr>
        <w:tc>
          <w:tcPr>
            <w:tcW w:w="541" w:type="pct"/>
            <w:shd w:val="clear" w:color="auto" w:fill="auto"/>
          </w:tcPr>
          <w:p w14:paraId="749FB7AA" w14:textId="469E0F91" w:rsidR="007019E2" w:rsidRPr="000353E9" w:rsidRDefault="007019E2" w:rsidP="007019E2">
            <w:pPr>
              <w:spacing w:after="0"/>
              <w:ind w:right="-81"/>
              <w:jc w:val="left"/>
              <w:rPr>
                <w:color w:val="314364" w:themeColor="text2"/>
                <w:sz w:val="18"/>
                <w:szCs w:val="18"/>
              </w:rPr>
            </w:pPr>
            <w:r w:rsidRPr="000353E9">
              <w:rPr>
                <w:color w:val="314364" w:themeColor="text2"/>
                <w:sz w:val="18"/>
                <w:szCs w:val="18"/>
              </w:rPr>
              <w:t>NKÚ SR</w:t>
            </w:r>
          </w:p>
        </w:tc>
        <w:tc>
          <w:tcPr>
            <w:tcW w:w="2112" w:type="pct"/>
            <w:shd w:val="clear" w:color="auto" w:fill="auto"/>
          </w:tcPr>
          <w:p w14:paraId="2E55F1D1" w14:textId="38C80126" w:rsidR="007019E2" w:rsidRPr="00342619" w:rsidRDefault="007019E2" w:rsidP="007019E2">
            <w:pPr>
              <w:spacing w:after="0"/>
              <w:jc w:val="left"/>
              <w:rPr>
                <w:sz w:val="18"/>
                <w:szCs w:val="18"/>
              </w:rPr>
            </w:pPr>
            <w:r w:rsidRPr="00342619">
              <w:rPr>
                <w:sz w:val="18"/>
                <w:szCs w:val="18"/>
              </w:rPr>
              <w:t xml:space="preserve">Najvyšší kontrolný úrad </w:t>
            </w:r>
            <w:r>
              <w:rPr>
                <w:sz w:val="18"/>
                <w:szCs w:val="18"/>
              </w:rPr>
              <w:t>SR</w:t>
            </w:r>
          </w:p>
        </w:tc>
        <w:tc>
          <w:tcPr>
            <w:tcW w:w="569" w:type="pct"/>
          </w:tcPr>
          <w:p w14:paraId="322A988C" w14:textId="6818B23B" w:rsidR="007019E2" w:rsidRPr="00342619" w:rsidRDefault="007019E2" w:rsidP="007019E2">
            <w:pPr>
              <w:spacing w:after="0"/>
              <w:ind w:right="-12"/>
              <w:jc w:val="left"/>
              <w:rPr>
                <w:sz w:val="18"/>
                <w:szCs w:val="18"/>
              </w:rPr>
            </w:pPr>
            <w:r>
              <w:rPr>
                <w:color w:val="314364" w:themeColor="text2"/>
                <w:sz w:val="18"/>
                <w:szCs w:val="18"/>
              </w:rPr>
              <w:t>VZP</w:t>
            </w:r>
          </w:p>
        </w:tc>
        <w:tc>
          <w:tcPr>
            <w:tcW w:w="1778" w:type="pct"/>
          </w:tcPr>
          <w:p w14:paraId="272B007D" w14:textId="167A6684" w:rsidR="007019E2" w:rsidRPr="00342619" w:rsidRDefault="007019E2" w:rsidP="007019E2">
            <w:pPr>
              <w:spacing w:after="0"/>
              <w:jc w:val="left"/>
              <w:rPr>
                <w:sz w:val="18"/>
                <w:szCs w:val="18"/>
              </w:rPr>
            </w:pPr>
            <w:r>
              <w:rPr>
                <w:sz w:val="18"/>
                <w:szCs w:val="18"/>
              </w:rPr>
              <w:t>verejné zdravotné poistenie</w:t>
            </w:r>
          </w:p>
        </w:tc>
      </w:tr>
      <w:tr w:rsidR="007019E2" w:rsidRPr="00B52236" w14:paraId="58215CA0" w14:textId="77777777" w:rsidTr="00EA36B5">
        <w:trPr>
          <w:trHeight w:val="228"/>
          <w:jc w:val="center"/>
        </w:trPr>
        <w:tc>
          <w:tcPr>
            <w:tcW w:w="541" w:type="pct"/>
            <w:shd w:val="clear" w:color="auto" w:fill="auto"/>
          </w:tcPr>
          <w:p w14:paraId="20B9403E" w14:textId="6BE0CF9E" w:rsidR="007019E2" w:rsidRPr="000353E9" w:rsidRDefault="007019E2" w:rsidP="007019E2">
            <w:pPr>
              <w:spacing w:after="0"/>
              <w:ind w:right="-81"/>
              <w:jc w:val="left"/>
              <w:rPr>
                <w:color w:val="314364" w:themeColor="text2"/>
                <w:sz w:val="18"/>
                <w:szCs w:val="18"/>
              </w:rPr>
            </w:pPr>
            <w:r w:rsidRPr="000353E9">
              <w:rPr>
                <w:color w:val="314364" w:themeColor="text2"/>
                <w:sz w:val="18"/>
                <w:szCs w:val="18"/>
              </w:rPr>
              <w:t>NR SR</w:t>
            </w:r>
          </w:p>
        </w:tc>
        <w:tc>
          <w:tcPr>
            <w:tcW w:w="2112" w:type="pct"/>
            <w:shd w:val="clear" w:color="auto" w:fill="auto"/>
          </w:tcPr>
          <w:p w14:paraId="7DE2420B" w14:textId="2A89BECF" w:rsidR="007019E2" w:rsidRPr="00342619" w:rsidRDefault="007019E2" w:rsidP="007019E2">
            <w:pPr>
              <w:spacing w:after="0"/>
              <w:jc w:val="left"/>
              <w:rPr>
                <w:sz w:val="18"/>
                <w:szCs w:val="18"/>
              </w:rPr>
            </w:pPr>
            <w:r w:rsidRPr="00342619">
              <w:rPr>
                <w:sz w:val="18"/>
                <w:szCs w:val="18"/>
              </w:rPr>
              <w:t xml:space="preserve">Národná rada </w:t>
            </w:r>
            <w:r>
              <w:rPr>
                <w:sz w:val="18"/>
                <w:szCs w:val="18"/>
              </w:rPr>
              <w:t>SR</w:t>
            </w:r>
          </w:p>
        </w:tc>
        <w:tc>
          <w:tcPr>
            <w:tcW w:w="569" w:type="pct"/>
          </w:tcPr>
          <w:p w14:paraId="6C0C90B0" w14:textId="70BB8AB3" w:rsidR="007019E2" w:rsidRPr="00342619" w:rsidRDefault="007019E2" w:rsidP="007019E2">
            <w:pPr>
              <w:spacing w:after="0"/>
              <w:ind w:right="-12"/>
              <w:jc w:val="left"/>
              <w:rPr>
                <w:color w:val="314364" w:themeColor="text2"/>
                <w:sz w:val="18"/>
                <w:szCs w:val="18"/>
              </w:rPr>
            </w:pPr>
            <w:r>
              <w:rPr>
                <w:color w:val="314364" w:themeColor="text2"/>
                <w:sz w:val="18"/>
                <w:szCs w:val="18"/>
              </w:rPr>
              <w:t>V4</w:t>
            </w:r>
          </w:p>
        </w:tc>
        <w:tc>
          <w:tcPr>
            <w:tcW w:w="1778" w:type="pct"/>
          </w:tcPr>
          <w:p w14:paraId="391790F8" w14:textId="65C4F06F" w:rsidR="007019E2" w:rsidRPr="00342619" w:rsidRDefault="007019E2" w:rsidP="007019E2">
            <w:pPr>
              <w:spacing w:after="0"/>
              <w:jc w:val="left"/>
              <w:rPr>
                <w:sz w:val="18"/>
                <w:szCs w:val="18"/>
              </w:rPr>
            </w:pPr>
            <w:r w:rsidRPr="00206F87">
              <w:rPr>
                <w:sz w:val="18"/>
                <w:szCs w:val="18"/>
              </w:rPr>
              <w:t>Vyšehradská skupina</w:t>
            </w:r>
          </w:p>
        </w:tc>
      </w:tr>
      <w:tr w:rsidR="007019E2" w:rsidRPr="00B52236" w14:paraId="77A27E7C" w14:textId="77777777" w:rsidTr="00EA36B5">
        <w:trPr>
          <w:trHeight w:val="228"/>
          <w:jc w:val="center"/>
        </w:trPr>
        <w:tc>
          <w:tcPr>
            <w:tcW w:w="541" w:type="pct"/>
            <w:shd w:val="clear" w:color="auto" w:fill="auto"/>
          </w:tcPr>
          <w:p w14:paraId="12EB3A7F" w14:textId="0169DFF2" w:rsidR="007019E2" w:rsidRPr="000353E9" w:rsidRDefault="007019E2" w:rsidP="007019E2">
            <w:pPr>
              <w:spacing w:after="0"/>
              <w:ind w:right="-81"/>
              <w:jc w:val="left"/>
              <w:rPr>
                <w:color w:val="314364" w:themeColor="text2"/>
                <w:sz w:val="18"/>
                <w:szCs w:val="18"/>
              </w:rPr>
            </w:pPr>
            <w:r>
              <w:rPr>
                <w:color w:val="314364" w:themeColor="text2"/>
                <w:sz w:val="18"/>
                <w:szCs w:val="18"/>
              </w:rPr>
              <w:t>NRVS</w:t>
            </w:r>
          </w:p>
        </w:tc>
        <w:tc>
          <w:tcPr>
            <w:tcW w:w="2112" w:type="pct"/>
            <w:shd w:val="clear" w:color="auto" w:fill="auto"/>
          </w:tcPr>
          <w:p w14:paraId="652FE1D7" w14:textId="55C10B19" w:rsidR="007019E2" w:rsidRPr="00342619" w:rsidRDefault="007019E2" w:rsidP="007019E2">
            <w:pPr>
              <w:spacing w:after="0"/>
              <w:jc w:val="left"/>
              <w:rPr>
                <w:sz w:val="18"/>
                <w:szCs w:val="18"/>
              </w:rPr>
            </w:pPr>
            <w:r w:rsidRPr="00342619">
              <w:rPr>
                <w:sz w:val="18"/>
                <w:szCs w:val="18"/>
              </w:rPr>
              <w:t>návrh rozpočtu</w:t>
            </w:r>
            <w:r>
              <w:rPr>
                <w:sz w:val="18"/>
                <w:szCs w:val="18"/>
              </w:rPr>
              <w:t xml:space="preserve"> verejnej správy</w:t>
            </w:r>
          </w:p>
        </w:tc>
        <w:tc>
          <w:tcPr>
            <w:tcW w:w="569" w:type="pct"/>
          </w:tcPr>
          <w:p w14:paraId="78F7EEC9" w14:textId="4F48B275" w:rsidR="007019E2" w:rsidRDefault="007019E2" w:rsidP="007019E2">
            <w:pPr>
              <w:spacing w:after="0"/>
              <w:ind w:right="-12"/>
              <w:jc w:val="left"/>
              <w:rPr>
                <w:color w:val="314364" w:themeColor="text2"/>
                <w:sz w:val="18"/>
                <w:szCs w:val="18"/>
              </w:rPr>
            </w:pPr>
            <w:r>
              <w:rPr>
                <w:color w:val="314364" w:themeColor="text2"/>
                <w:sz w:val="18"/>
                <w:szCs w:val="18"/>
              </w:rPr>
              <w:t>ZP</w:t>
            </w:r>
          </w:p>
        </w:tc>
        <w:tc>
          <w:tcPr>
            <w:tcW w:w="1778" w:type="pct"/>
          </w:tcPr>
          <w:p w14:paraId="5A90949F" w14:textId="32F30E11" w:rsidR="007019E2" w:rsidRPr="00206F87" w:rsidRDefault="007019E2" w:rsidP="007019E2">
            <w:pPr>
              <w:spacing w:after="0"/>
              <w:jc w:val="left"/>
              <w:rPr>
                <w:sz w:val="18"/>
                <w:szCs w:val="18"/>
              </w:rPr>
            </w:pPr>
            <w:r w:rsidRPr="00206F87">
              <w:rPr>
                <w:sz w:val="18"/>
                <w:szCs w:val="18"/>
              </w:rPr>
              <w:t>zdravotná poisťovňa</w:t>
            </w:r>
          </w:p>
        </w:tc>
      </w:tr>
      <w:tr w:rsidR="007019E2" w:rsidRPr="00B52236" w14:paraId="6625CCE3" w14:textId="77777777" w:rsidTr="00EA36B5">
        <w:trPr>
          <w:trHeight w:val="228"/>
          <w:jc w:val="center"/>
        </w:trPr>
        <w:tc>
          <w:tcPr>
            <w:tcW w:w="541" w:type="pct"/>
            <w:shd w:val="clear" w:color="auto" w:fill="auto"/>
          </w:tcPr>
          <w:p w14:paraId="2FDB5C60" w14:textId="69D3A329" w:rsidR="007019E2" w:rsidRPr="000353E9" w:rsidRDefault="007019E2" w:rsidP="007019E2">
            <w:pPr>
              <w:spacing w:after="0"/>
              <w:ind w:right="-81"/>
              <w:jc w:val="left"/>
              <w:rPr>
                <w:color w:val="314364" w:themeColor="text2"/>
                <w:sz w:val="18"/>
                <w:szCs w:val="18"/>
              </w:rPr>
            </w:pPr>
            <w:r w:rsidRPr="000353E9">
              <w:rPr>
                <w:color w:val="314364" w:themeColor="text2"/>
                <w:sz w:val="18"/>
                <w:szCs w:val="18"/>
              </w:rPr>
              <w:t>OECD</w:t>
            </w:r>
          </w:p>
        </w:tc>
        <w:tc>
          <w:tcPr>
            <w:tcW w:w="2112" w:type="pct"/>
            <w:shd w:val="clear" w:color="auto" w:fill="auto"/>
          </w:tcPr>
          <w:p w14:paraId="0D739623" w14:textId="77274278" w:rsidR="007019E2" w:rsidRPr="00342619" w:rsidRDefault="007019E2" w:rsidP="007019E2">
            <w:pPr>
              <w:spacing w:after="0"/>
              <w:jc w:val="left"/>
              <w:rPr>
                <w:sz w:val="18"/>
                <w:szCs w:val="18"/>
              </w:rPr>
            </w:pPr>
            <w:r>
              <w:rPr>
                <w:sz w:val="18"/>
                <w:szCs w:val="18"/>
              </w:rPr>
              <w:t>Organizácia pre hospodársku spoluprácu a rozvoj</w:t>
            </w:r>
          </w:p>
        </w:tc>
        <w:tc>
          <w:tcPr>
            <w:tcW w:w="569" w:type="pct"/>
          </w:tcPr>
          <w:p w14:paraId="2653663A" w14:textId="316F7AAB" w:rsidR="007019E2" w:rsidRPr="00342619" w:rsidRDefault="007019E2" w:rsidP="007019E2">
            <w:pPr>
              <w:spacing w:after="0"/>
              <w:ind w:right="-12"/>
              <w:jc w:val="left"/>
              <w:rPr>
                <w:sz w:val="18"/>
                <w:szCs w:val="18"/>
              </w:rPr>
            </w:pPr>
            <w:r>
              <w:rPr>
                <w:color w:val="314364" w:themeColor="text2"/>
                <w:sz w:val="18"/>
                <w:szCs w:val="18"/>
              </w:rPr>
              <w:t>ZZ</w:t>
            </w:r>
          </w:p>
        </w:tc>
        <w:tc>
          <w:tcPr>
            <w:tcW w:w="1778" w:type="pct"/>
          </w:tcPr>
          <w:p w14:paraId="68858AAC" w14:textId="1CC1B975" w:rsidR="007019E2" w:rsidRPr="00342619" w:rsidRDefault="007019E2" w:rsidP="007019E2">
            <w:pPr>
              <w:spacing w:after="0"/>
              <w:jc w:val="left"/>
              <w:rPr>
                <w:sz w:val="18"/>
                <w:szCs w:val="18"/>
              </w:rPr>
            </w:pPr>
            <w:r w:rsidRPr="00206F87">
              <w:rPr>
                <w:sz w:val="18"/>
                <w:szCs w:val="18"/>
              </w:rPr>
              <w:t>zdravotnícke zariadenia</w:t>
            </w:r>
          </w:p>
        </w:tc>
      </w:tr>
      <w:tr w:rsidR="007019E2" w:rsidRPr="00B52236" w14:paraId="6FA4F3FE" w14:textId="77777777" w:rsidTr="00EA36B5">
        <w:trPr>
          <w:trHeight w:val="228"/>
          <w:jc w:val="center"/>
        </w:trPr>
        <w:tc>
          <w:tcPr>
            <w:tcW w:w="541" w:type="pct"/>
            <w:shd w:val="clear" w:color="auto" w:fill="auto"/>
          </w:tcPr>
          <w:p w14:paraId="283676DE" w14:textId="3CDDF656" w:rsidR="007019E2" w:rsidRDefault="007019E2" w:rsidP="007019E2">
            <w:pPr>
              <w:spacing w:after="0"/>
              <w:ind w:right="-81"/>
              <w:jc w:val="left"/>
              <w:rPr>
                <w:color w:val="314364" w:themeColor="text2"/>
                <w:sz w:val="18"/>
                <w:szCs w:val="18"/>
              </w:rPr>
            </w:pPr>
            <w:r>
              <w:rPr>
                <w:color w:val="314364" w:themeColor="text2"/>
                <w:sz w:val="18"/>
                <w:szCs w:val="18"/>
              </w:rPr>
              <w:t>OP</w:t>
            </w:r>
          </w:p>
        </w:tc>
        <w:tc>
          <w:tcPr>
            <w:tcW w:w="2112" w:type="pct"/>
            <w:shd w:val="clear" w:color="auto" w:fill="auto"/>
          </w:tcPr>
          <w:p w14:paraId="4C7AE58F" w14:textId="00D45B56" w:rsidR="007019E2" w:rsidRPr="00B37408" w:rsidRDefault="007019E2" w:rsidP="007019E2">
            <w:pPr>
              <w:spacing w:after="0"/>
              <w:jc w:val="left"/>
              <w:rPr>
                <w:sz w:val="18"/>
                <w:szCs w:val="18"/>
              </w:rPr>
            </w:pPr>
            <w:r>
              <w:rPr>
                <w:sz w:val="18"/>
                <w:szCs w:val="18"/>
              </w:rPr>
              <w:t>operačný program</w:t>
            </w:r>
          </w:p>
        </w:tc>
        <w:tc>
          <w:tcPr>
            <w:tcW w:w="569" w:type="pct"/>
          </w:tcPr>
          <w:p w14:paraId="21C580A8" w14:textId="77777777" w:rsidR="007019E2" w:rsidRDefault="007019E2" w:rsidP="007019E2">
            <w:pPr>
              <w:spacing w:after="0"/>
              <w:ind w:right="-12"/>
              <w:jc w:val="left"/>
              <w:rPr>
                <w:color w:val="314364" w:themeColor="text2"/>
                <w:sz w:val="18"/>
                <w:szCs w:val="18"/>
              </w:rPr>
            </w:pPr>
          </w:p>
        </w:tc>
        <w:tc>
          <w:tcPr>
            <w:tcW w:w="1778" w:type="pct"/>
          </w:tcPr>
          <w:p w14:paraId="30E5817A" w14:textId="77777777" w:rsidR="007019E2" w:rsidRPr="00206F87" w:rsidRDefault="007019E2" w:rsidP="007019E2">
            <w:pPr>
              <w:spacing w:after="0"/>
              <w:jc w:val="left"/>
              <w:rPr>
                <w:sz w:val="18"/>
                <w:szCs w:val="18"/>
              </w:rPr>
            </w:pPr>
          </w:p>
        </w:tc>
      </w:tr>
    </w:tbl>
    <w:p w14:paraId="03AADF1D" w14:textId="59205E8C" w:rsidR="001609D9" w:rsidRDefault="001609D9" w:rsidP="00277C8B">
      <w:pPr>
        <w:pStyle w:val="vodZverZhrnutie"/>
      </w:pPr>
      <w:bookmarkStart w:id="2" w:name="_Toc182559171"/>
      <w:r>
        <w:lastRenderedPageBreak/>
        <w:t>Zhrnutie</w:t>
      </w:r>
      <w:bookmarkEnd w:id="0"/>
      <w:bookmarkEnd w:id="2"/>
    </w:p>
    <w:p w14:paraId="45F26C59" w14:textId="1583E4C2" w:rsidR="00E921B5" w:rsidRDefault="00294101" w:rsidP="00E921B5">
      <w:r w:rsidRPr="00294101">
        <w:t xml:space="preserve">NKÚ </w:t>
      </w:r>
      <w:r>
        <w:t xml:space="preserve">SR </w:t>
      </w:r>
      <w:r w:rsidRPr="00294101">
        <w:t xml:space="preserve">na základe preskúmania návrhu </w:t>
      </w:r>
      <w:r w:rsidR="00E449CB">
        <w:t xml:space="preserve">štátneho </w:t>
      </w:r>
      <w:r>
        <w:t xml:space="preserve">rozpočtu </w:t>
      </w:r>
      <w:r w:rsidR="00E449CB">
        <w:t xml:space="preserve">a rozpočtu </w:t>
      </w:r>
      <w:r>
        <w:t>verejnej správy na rok 2025</w:t>
      </w:r>
      <w:r w:rsidR="00E449CB">
        <w:t xml:space="preserve"> až 2027 nezistil významné nezrovnalosti a</w:t>
      </w:r>
      <w:r>
        <w:t xml:space="preserve"> </w:t>
      </w:r>
      <w:r w:rsidR="00221A4B">
        <w:t>konštatuje</w:t>
      </w:r>
      <w:r>
        <w:t>,</w:t>
      </w:r>
      <w:r w:rsidRPr="00294101">
        <w:t xml:space="preserve"> že </w:t>
      </w:r>
      <w:r w:rsidR="00E449CB">
        <w:t>sú</w:t>
      </w:r>
      <w:r w:rsidRPr="00294101">
        <w:t xml:space="preserve"> zostaven</w:t>
      </w:r>
      <w:r w:rsidR="00E449CB">
        <w:t>é</w:t>
      </w:r>
      <w:r w:rsidRPr="00294101">
        <w:t xml:space="preserve"> v súlade </w:t>
      </w:r>
      <w:r w:rsidR="00221A4B">
        <w:t>so všetkými národnými a európskymi právnymi normami súvisiacimi s tvorbou štátneho rozpočtu.</w:t>
      </w:r>
    </w:p>
    <w:p w14:paraId="38486442" w14:textId="123F3CC6" w:rsidR="00E449CB" w:rsidRPr="00EA58FA" w:rsidRDefault="008764FC" w:rsidP="00E449CB">
      <w:r>
        <w:t>Návrh r</w:t>
      </w:r>
      <w:r w:rsidR="00E449CB">
        <w:t>ozpočt</w:t>
      </w:r>
      <w:r>
        <w:t>u</w:t>
      </w:r>
      <w:r w:rsidR="00E449CB">
        <w:t xml:space="preserve"> vznikal v prostredí noveli</w:t>
      </w:r>
      <w:r w:rsidR="005D1FF1">
        <w:t>zovaných rozpočtových pravidiel, ktoré zaviedli</w:t>
      </w:r>
      <w:r w:rsidR="00E449CB">
        <w:t xml:space="preserve"> systém založen</w:t>
      </w:r>
      <w:r w:rsidR="005D1FF1">
        <w:t>ý</w:t>
      </w:r>
      <w:r w:rsidR="00E449CB">
        <w:t xml:space="preserve"> na limite verejných výdavkov</w:t>
      </w:r>
      <w:r w:rsidR="00D5616D">
        <w:t xml:space="preserve"> a</w:t>
      </w:r>
      <w:r w:rsidR="005D1FF1">
        <w:t xml:space="preserve"> upravili </w:t>
      </w:r>
      <w:r w:rsidR="000F16E2">
        <w:t>jeho výpoč</w:t>
      </w:r>
      <w:r w:rsidR="005D1FF1">
        <w:t>e</w:t>
      </w:r>
      <w:r w:rsidR="000F16E2">
        <w:t>t</w:t>
      </w:r>
      <w:r w:rsidR="00AF0505">
        <w:t xml:space="preserve"> a súčasne</w:t>
      </w:r>
      <w:r w:rsidR="00D5616D">
        <w:t xml:space="preserve"> </w:t>
      </w:r>
      <w:r w:rsidR="008D1B17">
        <w:t xml:space="preserve">upravili </w:t>
      </w:r>
      <w:r w:rsidR="00D5616D">
        <w:t xml:space="preserve">aj </w:t>
      </w:r>
      <w:r w:rsidR="005D1FF1">
        <w:t>rozpočtovanie rezerv a</w:t>
      </w:r>
      <w:r w:rsidR="00A550E4">
        <w:t xml:space="preserve"> lehoty použitia bežných a </w:t>
      </w:r>
      <w:r w:rsidR="005D1FF1">
        <w:t>kapitálových výdavkov</w:t>
      </w:r>
      <w:r w:rsidR="000F16E2">
        <w:t>.</w:t>
      </w:r>
    </w:p>
    <w:p w14:paraId="2BE53A89" w14:textId="2EE94F50" w:rsidR="000C763A" w:rsidRPr="00EA58FA" w:rsidRDefault="00301E7D" w:rsidP="00A9226D">
      <w:pPr>
        <w:pStyle w:val="Textpoznmkypodiarou"/>
        <w:spacing w:after="120" w:line="276" w:lineRule="auto"/>
        <w:rPr>
          <w:sz w:val="20"/>
        </w:rPr>
      </w:pPr>
      <w:r w:rsidRPr="00EA58FA">
        <w:rPr>
          <w:sz w:val="20"/>
        </w:rPr>
        <w:t>NKÚ SR oceňuje, že výdavky sú rozpočtované podľa oblas</w:t>
      </w:r>
      <w:r w:rsidR="005C21AB">
        <w:rPr>
          <w:sz w:val="20"/>
        </w:rPr>
        <w:t xml:space="preserve">tí verejných politík a obsahujú aj </w:t>
      </w:r>
      <w:r w:rsidR="00EA58FA" w:rsidRPr="00EA58FA">
        <w:rPr>
          <w:sz w:val="20"/>
        </w:rPr>
        <w:t xml:space="preserve">očakávané hodnoty </w:t>
      </w:r>
      <w:r w:rsidRPr="00EA58FA">
        <w:rPr>
          <w:sz w:val="20"/>
        </w:rPr>
        <w:t>kľúčov</w:t>
      </w:r>
      <w:r w:rsidR="00EA58FA" w:rsidRPr="00EA58FA">
        <w:rPr>
          <w:sz w:val="20"/>
        </w:rPr>
        <w:t>ých</w:t>
      </w:r>
      <w:r w:rsidR="000C763A" w:rsidRPr="00EA58FA">
        <w:rPr>
          <w:sz w:val="20"/>
        </w:rPr>
        <w:t xml:space="preserve"> ukazovate</w:t>
      </w:r>
      <w:r w:rsidR="00EA58FA" w:rsidRPr="00EA58FA">
        <w:rPr>
          <w:sz w:val="20"/>
        </w:rPr>
        <w:t xml:space="preserve">ľov, ktoré chce vláda rozpočtom dosiahnuť. </w:t>
      </w:r>
      <w:r w:rsidR="00294101" w:rsidRPr="00294101">
        <w:rPr>
          <w:sz w:val="20"/>
        </w:rPr>
        <w:t xml:space="preserve">Riziko NKÚ </w:t>
      </w:r>
      <w:r w:rsidR="00294101">
        <w:rPr>
          <w:sz w:val="20"/>
        </w:rPr>
        <w:t xml:space="preserve">SR </w:t>
      </w:r>
      <w:r w:rsidR="00294101" w:rsidRPr="00294101">
        <w:rPr>
          <w:sz w:val="20"/>
        </w:rPr>
        <w:t xml:space="preserve">vidí vo vyhodnocovaní týchto ukazovateľov najmä z dôvodu, že </w:t>
      </w:r>
      <w:r w:rsidR="00294101">
        <w:rPr>
          <w:sz w:val="20"/>
        </w:rPr>
        <w:t xml:space="preserve">viaceré </w:t>
      </w:r>
      <w:r w:rsidR="00294101" w:rsidRPr="00294101">
        <w:rPr>
          <w:sz w:val="20"/>
        </w:rPr>
        <w:t xml:space="preserve">rezorty zrušili </w:t>
      </w:r>
      <w:r w:rsidR="00294101">
        <w:rPr>
          <w:sz w:val="20"/>
        </w:rPr>
        <w:t xml:space="preserve">svoje </w:t>
      </w:r>
      <w:r w:rsidR="00294101" w:rsidRPr="00294101">
        <w:rPr>
          <w:sz w:val="20"/>
        </w:rPr>
        <w:t>analytické jednotky</w:t>
      </w:r>
      <w:r w:rsidR="00E449CB" w:rsidRPr="00E449CB">
        <w:rPr>
          <w:sz w:val="20"/>
        </w:rPr>
        <w:t xml:space="preserve"> </w:t>
      </w:r>
      <w:r w:rsidR="00E449CB">
        <w:rPr>
          <w:sz w:val="20"/>
        </w:rPr>
        <w:t>a zároveň bude náročnejšie splniť povinnosť spracovať revízie 50 % výdavkov počas volebného obdobia.</w:t>
      </w:r>
    </w:p>
    <w:p w14:paraId="59CCE9F6" w14:textId="5435E852" w:rsidR="00E921B5" w:rsidRDefault="00041F52" w:rsidP="00E921B5">
      <w:r>
        <w:t>Rozpočet</w:t>
      </w:r>
      <w:r w:rsidR="00EA58FA" w:rsidRPr="00EA58FA">
        <w:t xml:space="preserve"> bol zostavovan</w:t>
      </w:r>
      <w:r>
        <w:t>ý</w:t>
      </w:r>
      <w:r w:rsidR="00EA58FA" w:rsidRPr="00EA58FA">
        <w:t xml:space="preserve"> v komplikovaných podmienkach procesu finalizáci</w:t>
      </w:r>
      <w:r>
        <w:t>e</w:t>
      </w:r>
      <w:r w:rsidR="00EA58FA" w:rsidRPr="00EA58FA">
        <w:t xml:space="preserve"> konsolidačných opatrení. NKÚ SR </w:t>
      </w:r>
      <w:r w:rsidR="00392B0F">
        <w:t>hodnotí pozitívne</w:t>
      </w:r>
      <w:r w:rsidR="00EA58FA" w:rsidRPr="00EA58FA">
        <w:t xml:space="preserve"> vysokú </w:t>
      </w:r>
      <w:r w:rsidR="002344E2" w:rsidRPr="00EA58FA">
        <w:t xml:space="preserve">transparentnosť </w:t>
      </w:r>
      <w:r w:rsidR="00EA58FA" w:rsidRPr="00EA58FA">
        <w:t xml:space="preserve">procesu </w:t>
      </w:r>
      <w:r w:rsidR="00301E7D" w:rsidRPr="00EA58FA">
        <w:t>zostavovania daňov</w:t>
      </w:r>
      <w:r w:rsidR="00E85485">
        <w:t>o</w:t>
      </w:r>
      <w:r w:rsidR="00EA58FA" w:rsidRPr="00EA58FA">
        <w:t>-odvodovej</w:t>
      </w:r>
      <w:r w:rsidR="00301E7D" w:rsidRPr="00EA58FA">
        <w:t xml:space="preserve"> </w:t>
      </w:r>
      <w:r w:rsidR="002344E2" w:rsidRPr="00EA58FA">
        <w:t>prognózy</w:t>
      </w:r>
      <w:r w:rsidR="00294101">
        <w:t xml:space="preserve"> aj v týchto podmienkach</w:t>
      </w:r>
      <w:r w:rsidR="00EA58FA" w:rsidRPr="00EA58FA">
        <w:t>.</w:t>
      </w:r>
      <w:r w:rsidR="00065556">
        <w:t xml:space="preserve"> </w:t>
      </w:r>
      <w:r w:rsidR="00E921B5">
        <w:t xml:space="preserve">V tejto súvislosti </w:t>
      </w:r>
      <w:r w:rsidR="00065556">
        <w:t xml:space="preserve">však </w:t>
      </w:r>
      <w:r w:rsidR="00A76674">
        <w:t xml:space="preserve">NKÚ SR </w:t>
      </w:r>
      <w:r w:rsidR="00294945">
        <w:t>upozorňuje, že</w:t>
      </w:r>
      <w:r w:rsidR="00E921B5" w:rsidRPr="00391329">
        <w:t xml:space="preserve"> schválenie konsolidačného balíka </w:t>
      </w:r>
      <w:r w:rsidR="00294945">
        <w:t>v skrátenom konaní vytvára legislatívnu neistotu</w:t>
      </w:r>
      <w:r w:rsidR="00E921B5" w:rsidRPr="00391329">
        <w:t>.</w:t>
      </w:r>
    </w:p>
    <w:p w14:paraId="50B9088D" w14:textId="6E81B55B" w:rsidR="001F6E5A" w:rsidRDefault="00BC1677" w:rsidP="00E449CB">
      <w:pPr>
        <w:pStyle w:val="Textpoznmkypodiarou"/>
        <w:spacing w:after="120" w:line="276" w:lineRule="auto"/>
        <w:rPr>
          <w:sz w:val="20"/>
        </w:rPr>
      </w:pPr>
      <w:r w:rsidRPr="00114BB2">
        <w:rPr>
          <w:sz w:val="20"/>
        </w:rPr>
        <w:t>V</w:t>
      </w:r>
      <w:r w:rsidR="00D5616D">
        <w:rPr>
          <w:sz w:val="20"/>
        </w:rPr>
        <w:t>zhľadom na vývoj fiškálnej politiky pristúpila v</w:t>
      </w:r>
      <w:r w:rsidRPr="00114BB2">
        <w:rPr>
          <w:sz w:val="20"/>
        </w:rPr>
        <w:t>láda SR druhý rok po sebe ku</w:t>
      </w:r>
      <w:r w:rsidR="008D1B17">
        <w:rPr>
          <w:sz w:val="20"/>
        </w:rPr>
        <w:t xml:space="preserve"> konsolidácii verejných financií</w:t>
      </w:r>
      <w:r w:rsidR="00D5616D">
        <w:rPr>
          <w:sz w:val="20"/>
        </w:rPr>
        <w:t>, a to</w:t>
      </w:r>
      <w:r w:rsidRPr="00114BB2">
        <w:rPr>
          <w:sz w:val="20"/>
        </w:rPr>
        <w:t xml:space="preserve"> najmä na príjmovej strane rozpočtu.</w:t>
      </w:r>
      <w:r w:rsidR="001F6E5A">
        <w:rPr>
          <w:sz w:val="20"/>
        </w:rPr>
        <w:t xml:space="preserve"> </w:t>
      </w:r>
      <w:r w:rsidR="001F6E5A" w:rsidRPr="008F2824">
        <w:rPr>
          <w:sz w:val="20"/>
        </w:rPr>
        <w:t xml:space="preserve">Konsolidačné opatrenia by mali do rozpočtu priniesť 2,7 mld. eur, </w:t>
      </w:r>
      <w:r w:rsidR="001F6E5A" w:rsidRPr="008D39FA">
        <w:rPr>
          <w:sz w:val="20"/>
        </w:rPr>
        <w:t>z čoho opatrenia na príjmovej strane majú zabezpečiť viac ako 80 %</w:t>
      </w:r>
      <w:r w:rsidR="001F6E5A" w:rsidRPr="008F2824">
        <w:rPr>
          <w:sz w:val="20"/>
        </w:rPr>
        <w:t xml:space="preserve">. </w:t>
      </w:r>
    </w:p>
    <w:p w14:paraId="71EA3695" w14:textId="1DE1E03C" w:rsidR="00E449CB" w:rsidRDefault="00E449CB" w:rsidP="00E449CB">
      <w:pPr>
        <w:pStyle w:val="Textpoznmkypodiarou"/>
        <w:spacing w:after="120" w:line="276" w:lineRule="auto"/>
        <w:rPr>
          <w:sz w:val="20"/>
        </w:rPr>
      </w:pPr>
      <w:r w:rsidRPr="008F2824">
        <w:rPr>
          <w:sz w:val="20"/>
        </w:rPr>
        <w:t>Plnenie príjmovej</w:t>
      </w:r>
      <w:r w:rsidR="001F6E5A">
        <w:rPr>
          <w:sz w:val="20"/>
        </w:rPr>
        <w:t xml:space="preserve">, ale </w:t>
      </w:r>
      <w:r w:rsidRPr="008F2824">
        <w:rPr>
          <w:sz w:val="20"/>
        </w:rPr>
        <w:t xml:space="preserve">aj výdavkovej časti </w:t>
      </w:r>
      <w:r>
        <w:rPr>
          <w:sz w:val="20"/>
        </w:rPr>
        <w:t>štátneho rozpočtu</w:t>
      </w:r>
      <w:r w:rsidRPr="008F2824">
        <w:rPr>
          <w:sz w:val="20"/>
        </w:rPr>
        <w:t xml:space="preserve"> bude v roku 2025 ovplyvnené viacerými rizikami spojenými ako s prebiehajúcou konsolidáciou, tak s makroekonomic</w:t>
      </w:r>
      <w:r>
        <w:rPr>
          <w:sz w:val="20"/>
        </w:rPr>
        <w:t xml:space="preserve">kým vývojom </w:t>
      </w:r>
      <w:r w:rsidR="008D1B17">
        <w:rPr>
          <w:sz w:val="20"/>
        </w:rPr>
        <w:t xml:space="preserve">vo väzbe na zhoršujúci sa </w:t>
      </w:r>
      <w:r w:rsidR="001F6E5A">
        <w:rPr>
          <w:sz w:val="20"/>
        </w:rPr>
        <w:t xml:space="preserve">ekonomický </w:t>
      </w:r>
      <w:r w:rsidR="008D1B17">
        <w:rPr>
          <w:sz w:val="20"/>
        </w:rPr>
        <w:t xml:space="preserve">výhľad externého prostredia, ako </w:t>
      </w:r>
      <w:r>
        <w:rPr>
          <w:sz w:val="20"/>
        </w:rPr>
        <w:t>a</w:t>
      </w:r>
      <w:r w:rsidR="008D1B17">
        <w:rPr>
          <w:sz w:val="20"/>
        </w:rPr>
        <w:t>j</w:t>
      </w:r>
      <w:r>
        <w:rPr>
          <w:sz w:val="20"/>
        </w:rPr>
        <w:t xml:space="preserve"> ďalšími faktormi.</w:t>
      </w:r>
      <w:r w:rsidRPr="008D39FA">
        <w:rPr>
          <w:sz w:val="20"/>
        </w:rPr>
        <w:t xml:space="preserve"> </w:t>
      </w:r>
      <w:r w:rsidRPr="008F2824">
        <w:rPr>
          <w:sz w:val="20"/>
        </w:rPr>
        <w:t>NKÚ SR upozorňuje aj na riziká v podobe navýšení rozpočtov niektorých kapitol.</w:t>
      </w:r>
    </w:p>
    <w:p w14:paraId="3C1C3694" w14:textId="2AEF5293" w:rsidR="00E449CB" w:rsidRDefault="00E449CB" w:rsidP="00E449CB">
      <w:pPr>
        <w:pStyle w:val="Textpoznmkypodiarou"/>
        <w:spacing w:after="120" w:line="276" w:lineRule="auto"/>
        <w:rPr>
          <w:sz w:val="20"/>
        </w:rPr>
      </w:pPr>
      <w:r w:rsidRPr="008F2824">
        <w:rPr>
          <w:sz w:val="20"/>
        </w:rPr>
        <w:t>Na príjmovej strane je riziko</w:t>
      </w:r>
      <w:r w:rsidR="001F6E5A">
        <w:rPr>
          <w:sz w:val="20"/>
        </w:rPr>
        <w:t>m</w:t>
      </w:r>
      <w:r w:rsidRPr="008F2824">
        <w:rPr>
          <w:sz w:val="20"/>
        </w:rPr>
        <w:t xml:space="preserve"> úspešnosť výberu daňového mixu zavedeného v rámci konsolidácie. Najväčši</w:t>
      </w:r>
      <w:r w:rsidR="000A5D4B">
        <w:rPr>
          <w:sz w:val="20"/>
        </w:rPr>
        <w:t>u neistotu</w:t>
      </w:r>
      <w:r w:rsidRPr="008F2824">
        <w:rPr>
          <w:sz w:val="20"/>
        </w:rPr>
        <w:t xml:space="preserve"> prináša nová daň z finančných transakcií</w:t>
      </w:r>
      <w:r w:rsidR="00221A4B">
        <w:rPr>
          <w:sz w:val="20"/>
        </w:rPr>
        <w:t xml:space="preserve"> pre právnické osoby</w:t>
      </w:r>
      <w:r w:rsidR="001C2034">
        <w:rPr>
          <w:sz w:val="20"/>
        </w:rPr>
        <w:t xml:space="preserve">, ktorej </w:t>
      </w:r>
      <w:r w:rsidR="001F6E5A">
        <w:rPr>
          <w:sz w:val="20"/>
        </w:rPr>
        <w:t xml:space="preserve">dopady </w:t>
      </w:r>
      <w:r w:rsidR="00221A4B">
        <w:rPr>
          <w:sz w:val="20"/>
        </w:rPr>
        <w:t xml:space="preserve">na podnikateľské prostredie </w:t>
      </w:r>
      <w:r w:rsidR="001F6E5A">
        <w:rPr>
          <w:sz w:val="20"/>
        </w:rPr>
        <w:t>nie sú známe</w:t>
      </w:r>
      <w:r w:rsidR="001C2034">
        <w:rPr>
          <w:sz w:val="20"/>
        </w:rPr>
        <w:t>.</w:t>
      </w:r>
    </w:p>
    <w:p w14:paraId="6866E8EB" w14:textId="556895CA" w:rsidR="00E449CB" w:rsidRDefault="00E449CB" w:rsidP="00E449CB">
      <w:r w:rsidRPr="00F444C0">
        <w:t xml:space="preserve">Prijatím konsolidačných opatrení získala vláda </w:t>
      </w:r>
      <w:r w:rsidR="001F6E5A">
        <w:t>ďalšie</w:t>
      </w:r>
      <w:r w:rsidRPr="00F444C0">
        <w:t xml:space="preserve"> prostriedky na dôchodky a na </w:t>
      </w:r>
      <w:r w:rsidR="00221A4B">
        <w:t>výdavky</w:t>
      </w:r>
      <w:r w:rsidRPr="00F444C0">
        <w:t xml:space="preserve"> rodinnej politiky, ktoré </w:t>
      </w:r>
      <w:r w:rsidRPr="00886A48">
        <w:t>pomáhajú znížiť negatívn</w:t>
      </w:r>
      <w:r w:rsidR="001F6E5A">
        <w:t>y</w:t>
      </w:r>
      <w:r w:rsidRPr="00886A48">
        <w:t xml:space="preserve"> vplyv </w:t>
      </w:r>
      <w:r w:rsidR="00221A4B">
        <w:t xml:space="preserve">ekonomického vývoja </w:t>
      </w:r>
      <w:r w:rsidRPr="00886A48">
        <w:t>na príjmy vybraných skupín obyvateľov</w:t>
      </w:r>
      <w:r>
        <w:t>. NKÚ SR upozorňuje, že takmer š</w:t>
      </w:r>
      <w:r w:rsidRPr="00655B10">
        <w:t>tvrtina</w:t>
      </w:r>
      <w:r>
        <w:t xml:space="preserve"> (24,1 %)</w:t>
      </w:r>
      <w:r w:rsidRPr="00655B10">
        <w:t xml:space="preserve"> celkových výdavkov spadajúcich pod </w:t>
      </w:r>
      <w:r>
        <w:t>limit verejných výdavkov</w:t>
      </w:r>
      <w:r w:rsidRPr="00655B10">
        <w:t xml:space="preserve"> </w:t>
      </w:r>
      <w:r>
        <w:t>má ísť</w:t>
      </w:r>
      <w:r w:rsidRPr="00655B10">
        <w:t xml:space="preserve"> na výplatu dávok, najmä dôchodkov</w:t>
      </w:r>
      <w:r>
        <w:t xml:space="preserve"> (21,1 %)</w:t>
      </w:r>
      <w:r w:rsidRPr="00655B10">
        <w:t xml:space="preserve"> zo Sociálne</w:t>
      </w:r>
      <w:r>
        <w:t>j</w:t>
      </w:r>
      <w:r w:rsidRPr="00655B10">
        <w:t xml:space="preserve"> poisťovne.</w:t>
      </w:r>
    </w:p>
    <w:p w14:paraId="1E7BE94D" w14:textId="0CFE52F7" w:rsidR="008F7A52" w:rsidRDefault="008F7A52" w:rsidP="008F7A52">
      <w:pPr>
        <w:pStyle w:val="Textpoznmkypodiarou"/>
        <w:spacing w:after="120" w:line="276" w:lineRule="auto"/>
        <w:rPr>
          <w:sz w:val="20"/>
        </w:rPr>
      </w:pPr>
      <w:r w:rsidRPr="008F2824">
        <w:rPr>
          <w:sz w:val="20"/>
        </w:rPr>
        <w:t xml:space="preserve">V súvislosti s udržateľnosťou verejných financií v dlhodobom horizonte </w:t>
      </w:r>
      <w:r w:rsidR="00221A4B">
        <w:rPr>
          <w:sz w:val="20"/>
        </w:rPr>
        <w:t>j</w:t>
      </w:r>
      <w:r w:rsidRPr="008F2824">
        <w:rPr>
          <w:sz w:val="20"/>
        </w:rPr>
        <w:t>e najväčšou výzvou starnutie obyvateľstva</w:t>
      </w:r>
      <w:r>
        <w:rPr>
          <w:sz w:val="20"/>
        </w:rPr>
        <w:t xml:space="preserve">. Jeho dôsledkom je aj deficitné hospodárenie </w:t>
      </w:r>
      <w:r w:rsidR="00221A4B">
        <w:rPr>
          <w:sz w:val="20"/>
        </w:rPr>
        <w:t>Sociálnej poisťovne</w:t>
      </w:r>
      <w:r>
        <w:rPr>
          <w:sz w:val="20"/>
        </w:rPr>
        <w:t xml:space="preserve">, ktoré bude v roku 2025 kryté transferom zo </w:t>
      </w:r>
      <w:r w:rsidR="00221A4B">
        <w:rPr>
          <w:sz w:val="20"/>
        </w:rPr>
        <w:t>štátneho rozpočtu</w:t>
      </w:r>
      <w:r>
        <w:rPr>
          <w:sz w:val="20"/>
        </w:rPr>
        <w:t xml:space="preserve"> vo výške 2,75 mld. eur</w:t>
      </w:r>
      <w:r w:rsidRPr="00391D10">
        <w:rPr>
          <w:sz w:val="20"/>
        </w:rPr>
        <w:t xml:space="preserve"> </w:t>
      </w:r>
      <w:r>
        <w:rPr>
          <w:sz w:val="20"/>
        </w:rPr>
        <w:t>a podobne vysoké transfery sú plánované aj na ďalšie roky</w:t>
      </w:r>
      <w:r w:rsidRPr="008F2824">
        <w:rPr>
          <w:sz w:val="20"/>
        </w:rPr>
        <w:t>. V rozpočte na rok 2025 starobné dôchodky predstavujú viac ako 10 mld. eur</w:t>
      </w:r>
      <w:r w:rsidR="00221A4B">
        <w:rPr>
          <w:sz w:val="20"/>
        </w:rPr>
        <w:t>.</w:t>
      </w:r>
      <w:r>
        <w:rPr>
          <w:sz w:val="20"/>
        </w:rPr>
        <w:t xml:space="preserve"> NKÚ SR odporúča prehodnotiť </w:t>
      </w:r>
      <w:r w:rsidRPr="00F5438D">
        <w:rPr>
          <w:sz w:val="20"/>
        </w:rPr>
        <w:t>dlhodob</w:t>
      </w:r>
      <w:r>
        <w:rPr>
          <w:sz w:val="20"/>
        </w:rPr>
        <w:t>ú</w:t>
      </w:r>
      <w:r w:rsidRPr="00F5438D">
        <w:rPr>
          <w:sz w:val="20"/>
        </w:rPr>
        <w:t xml:space="preserve"> stratégiu vyplácania dôchodkov</w:t>
      </w:r>
      <w:r w:rsidR="00221A4B">
        <w:rPr>
          <w:sz w:val="20"/>
        </w:rPr>
        <w:t xml:space="preserve">, keďže takto nastavený dôchodkový systém je </w:t>
      </w:r>
      <w:r w:rsidR="00221A4B" w:rsidRPr="00F5438D">
        <w:rPr>
          <w:sz w:val="20"/>
        </w:rPr>
        <w:t>z dlhodobého hľadiska problematický.</w:t>
      </w:r>
    </w:p>
    <w:p w14:paraId="40FEEA83" w14:textId="70ACB6A6" w:rsidR="00EF5ABD" w:rsidRDefault="00EF5ABD" w:rsidP="00A9226D">
      <w:pPr>
        <w:pStyle w:val="Textpoznmkypodiarou"/>
        <w:spacing w:after="120" w:line="276" w:lineRule="auto"/>
        <w:rPr>
          <w:sz w:val="20"/>
        </w:rPr>
      </w:pPr>
      <w:r w:rsidRPr="00EF5ABD">
        <w:rPr>
          <w:sz w:val="20"/>
        </w:rPr>
        <w:t xml:space="preserve">Rovnako ako v rozpočte na rok 2024 ani v tomto návrhu rozpočtu nie je zverejnený zoznam najväčších investičných projektov, ktoré sa budú financovať v budúcom roku. NKÚ SR odporúča vypracovať </w:t>
      </w:r>
      <w:r w:rsidR="004C0FDC">
        <w:rPr>
          <w:sz w:val="20"/>
        </w:rPr>
        <w:t xml:space="preserve">tento </w:t>
      </w:r>
      <w:r w:rsidRPr="00EF5ABD">
        <w:rPr>
          <w:sz w:val="20"/>
        </w:rPr>
        <w:t xml:space="preserve">zoznam a doplniť aj všetky investičné projekty, ktoré sa majú </w:t>
      </w:r>
      <w:r w:rsidR="00CC5E93">
        <w:rPr>
          <w:sz w:val="20"/>
        </w:rPr>
        <w:t>naďalej realizovať</w:t>
      </w:r>
      <w:r w:rsidRPr="00EF5ABD">
        <w:rPr>
          <w:sz w:val="20"/>
        </w:rPr>
        <w:t>.</w:t>
      </w:r>
    </w:p>
    <w:p w14:paraId="1FC219B6" w14:textId="53B79C0C" w:rsidR="004C0FDC" w:rsidRDefault="004C0FDC" w:rsidP="00A9226D">
      <w:pPr>
        <w:pStyle w:val="Textpoznmkypodiarou"/>
        <w:spacing w:after="120" w:line="276" w:lineRule="auto"/>
        <w:rPr>
          <w:sz w:val="20"/>
        </w:rPr>
      </w:pPr>
      <w:r>
        <w:rPr>
          <w:sz w:val="20"/>
        </w:rPr>
        <w:t xml:space="preserve">Na </w:t>
      </w:r>
      <w:r w:rsidR="00261D0B">
        <w:rPr>
          <w:sz w:val="20"/>
        </w:rPr>
        <w:t>oblasť</w:t>
      </w:r>
      <w:r>
        <w:rPr>
          <w:sz w:val="20"/>
        </w:rPr>
        <w:t xml:space="preserve"> zd</w:t>
      </w:r>
      <w:r w:rsidRPr="004C0FDC">
        <w:rPr>
          <w:sz w:val="20"/>
        </w:rPr>
        <w:t>ravotníctv</w:t>
      </w:r>
      <w:r>
        <w:rPr>
          <w:sz w:val="20"/>
        </w:rPr>
        <w:t>a</w:t>
      </w:r>
      <w:r w:rsidRPr="004C0FDC">
        <w:rPr>
          <w:sz w:val="20"/>
        </w:rPr>
        <w:t>, vzdelávani</w:t>
      </w:r>
      <w:r>
        <w:rPr>
          <w:sz w:val="20"/>
        </w:rPr>
        <w:t>a</w:t>
      </w:r>
      <w:r w:rsidRPr="004C0FDC">
        <w:rPr>
          <w:sz w:val="20"/>
        </w:rPr>
        <w:t xml:space="preserve"> a životné</w:t>
      </w:r>
      <w:r>
        <w:rPr>
          <w:sz w:val="20"/>
        </w:rPr>
        <w:t>ho</w:t>
      </w:r>
      <w:r w:rsidRPr="004C0FDC">
        <w:rPr>
          <w:sz w:val="20"/>
        </w:rPr>
        <w:t xml:space="preserve"> prostredi</w:t>
      </w:r>
      <w:r>
        <w:rPr>
          <w:sz w:val="20"/>
        </w:rPr>
        <w:t>a</w:t>
      </w:r>
      <w:r w:rsidRPr="004C0FDC">
        <w:rPr>
          <w:sz w:val="20"/>
        </w:rPr>
        <w:t xml:space="preserve"> sú vyčlenené prostriedky v </w:t>
      </w:r>
      <w:r w:rsidR="008F7A52">
        <w:rPr>
          <w:sz w:val="20"/>
        </w:rPr>
        <w:t>sume</w:t>
      </w:r>
      <w:r w:rsidRPr="004C0FDC">
        <w:rPr>
          <w:sz w:val="20"/>
        </w:rPr>
        <w:t xml:space="preserve"> 16,8 mld. eur, čo predstavuje viac ako štvrtinu celkových verejných výdavkov rozpočtovaných na rok 2025.</w:t>
      </w:r>
    </w:p>
    <w:p w14:paraId="5E34092F" w14:textId="48D71538" w:rsidR="00E653FC" w:rsidRDefault="00E653FC" w:rsidP="00A9226D">
      <w:pPr>
        <w:pStyle w:val="Textpoznmkypodiarou"/>
        <w:spacing w:after="120" w:line="276" w:lineRule="auto"/>
        <w:rPr>
          <w:sz w:val="20"/>
        </w:rPr>
      </w:pPr>
      <w:r w:rsidRPr="00E653FC">
        <w:rPr>
          <w:sz w:val="20"/>
        </w:rPr>
        <w:lastRenderedPageBreak/>
        <w:t xml:space="preserve">Pre oblasť zdravotníctva je </w:t>
      </w:r>
      <w:r w:rsidR="00DC5C39">
        <w:rPr>
          <w:sz w:val="20"/>
        </w:rPr>
        <w:t>vyčlenených</w:t>
      </w:r>
      <w:r w:rsidRPr="00E653FC">
        <w:rPr>
          <w:sz w:val="20"/>
        </w:rPr>
        <w:t xml:space="preserve"> takmer 9,6 mld. eur, čo je oproti rozpočtu </w:t>
      </w:r>
      <w:r w:rsidR="007045DF">
        <w:rPr>
          <w:sz w:val="20"/>
        </w:rPr>
        <w:t xml:space="preserve">na 2024 </w:t>
      </w:r>
      <w:r w:rsidR="004C0FDC">
        <w:rPr>
          <w:sz w:val="20"/>
        </w:rPr>
        <w:t>viac</w:t>
      </w:r>
      <w:r w:rsidRPr="00E653FC">
        <w:rPr>
          <w:sz w:val="20"/>
        </w:rPr>
        <w:t xml:space="preserve"> o 7,8 %. V slovenskom zdravotníctve sú </w:t>
      </w:r>
      <w:r w:rsidR="004C0FDC">
        <w:rPr>
          <w:sz w:val="20"/>
        </w:rPr>
        <w:t xml:space="preserve">však </w:t>
      </w:r>
      <w:r w:rsidRPr="00E653FC">
        <w:rPr>
          <w:sz w:val="20"/>
        </w:rPr>
        <w:t>systémové a dlhodob</w:t>
      </w:r>
      <w:r w:rsidR="007045DF">
        <w:rPr>
          <w:sz w:val="20"/>
        </w:rPr>
        <w:t>é</w:t>
      </w:r>
      <w:r w:rsidRPr="00E653FC">
        <w:rPr>
          <w:sz w:val="20"/>
        </w:rPr>
        <w:t xml:space="preserve"> problémy, k riešeniu ktorých </w:t>
      </w:r>
      <w:r w:rsidR="007045DF">
        <w:rPr>
          <w:sz w:val="20"/>
        </w:rPr>
        <w:t xml:space="preserve">samotné </w:t>
      </w:r>
      <w:r w:rsidRPr="00E653FC">
        <w:rPr>
          <w:sz w:val="20"/>
        </w:rPr>
        <w:t>navyšovanie zdrojov</w:t>
      </w:r>
      <w:r w:rsidR="007045DF">
        <w:rPr>
          <w:sz w:val="20"/>
        </w:rPr>
        <w:t xml:space="preserve"> n</w:t>
      </w:r>
      <w:r w:rsidRPr="00E653FC">
        <w:rPr>
          <w:sz w:val="20"/>
        </w:rPr>
        <w:t xml:space="preserve">estačí. </w:t>
      </w:r>
      <w:r w:rsidR="00466B0F">
        <w:rPr>
          <w:sz w:val="20"/>
        </w:rPr>
        <w:t>Pretrvávajúcim</w:t>
      </w:r>
      <w:r w:rsidRPr="00E653FC">
        <w:rPr>
          <w:sz w:val="20"/>
        </w:rPr>
        <w:t xml:space="preserve"> problém</w:t>
      </w:r>
      <w:r w:rsidR="004C0FDC">
        <w:rPr>
          <w:sz w:val="20"/>
        </w:rPr>
        <w:t>om je</w:t>
      </w:r>
      <w:r w:rsidRPr="00E653FC">
        <w:rPr>
          <w:sz w:val="20"/>
        </w:rPr>
        <w:t xml:space="preserve"> nedostato</w:t>
      </w:r>
      <w:r w:rsidR="004C0FDC">
        <w:rPr>
          <w:sz w:val="20"/>
        </w:rPr>
        <w:t>k</w:t>
      </w:r>
      <w:r w:rsidRPr="00E653FC">
        <w:rPr>
          <w:sz w:val="20"/>
        </w:rPr>
        <w:t xml:space="preserve"> zdravotníckych pracovníkov. </w:t>
      </w:r>
      <w:r w:rsidR="008F7A52">
        <w:rPr>
          <w:sz w:val="20"/>
        </w:rPr>
        <w:t>V</w:t>
      </w:r>
      <w:r w:rsidR="008F7A52" w:rsidRPr="008F2824">
        <w:rPr>
          <w:sz w:val="20"/>
        </w:rPr>
        <w:t>ýdavkovú stranu rozpočtu zaťažuje aj pokračujúce zadlžovanie</w:t>
      </w:r>
      <w:r w:rsidR="00CC5E93">
        <w:rPr>
          <w:sz w:val="20"/>
        </w:rPr>
        <w:t xml:space="preserve"> najväčších</w:t>
      </w:r>
      <w:r w:rsidR="008F7A52" w:rsidRPr="008F2824">
        <w:rPr>
          <w:sz w:val="20"/>
        </w:rPr>
        <w:t xml:space="preserve"> zdravotníckych zariadení, ktorých záväzky sú </w:t>
      </w:r>
      <w:r w:rsidR="00B90837">
        <w:rPr>
          <w:sz w:val="20"/>
        </w:rPr>
        <w:t xml:space="preserve">k augustu 2024 </w:t>
      </w:r>
      <w:r w:rsidR="008F7A52" w:rsidRPr="008F2824">
        <w:rPr>
          <w:sz w:val="20"/>
        </w:rPr>
        <w:t>už vyššie ako 1 mld. eur</w:t>
      </w:r>
      <w:r w:rsidR="00B90837">
        <w:rPr>
          <w:sz w:val="20"/>
        </w:rPr>
        <w:t>, z čoho 70 % tvoria záväzky po lehote splatnosti</w:t>
      </w:r>
      <w:r w:rsidR="008F7A52" w:rsidRPr="008F2824">
        <w:rPr>
          <w:sz w:val="20"/>
        </w:rPr>
        <w:t xml:space="preserve">. </w:t>
      </w:r>
      <w:r w:rsidRPr="00E653FC">
        <w:rPr>
          <w:sz w:val="20"/>
        </w:rPr>
        <w:t xml:space="preserve">Podľa rozhodnutia </w:t>
      </w:r>
      <w:r w:rsidR="008F7A52">
        <w:rPr>
          <w:sz w:val="20"/>
        </w:rPr>
        <w:t xml:space="preserve">Súdneho dvora EÚ </w:t>
      </w:r>
      <w:r w:rsidRPr="00E653FC">
        <w:rPr>
          <w:sz w:val="20"/>
        </w:rPr>
        <w:t xml:space="preserve">musí SR pristúpiť k </w:t>
      </w:r>
      <w:r w:rsidR="008F7A52">
        <w:rPr>
          <w:sz w:val="20"/>
        </w:rPr>
        <w:t> </w:t>
      </w:r>
      <w:r w:rsidRPr="00E653FC">
        <w:rPr>
          <w:sz w:val="20"/>
        </w:rPr>
        <w:t>vyrovnaniu záväzkov</w:t>
      </w:r>
      <w:r w:rsidR="004C0FDC">
        <w:rPr>
          <w:sz w:val="20"/>
        </w:rPr>
        <w:t xml:space="preserve"> nemocníc</w:t>
      </w:r>
      <w:r w:rsidRPr="00E653FC">
        <w:rPr>
          <w:sz w:val="20"/>
        </w:rPr>
        <w:t>, no z n</w:t>
      </w:r>
      <w:r w:rsidR="004C0FDC">
        <w:rPr>
          <w:sz w:val="20"/>
        </w:rPr>
        <w:t>ávrhu</w:t>
      </w:r>
      <w:r w:rsidRPr="00E653FC">
        <w:rPr>
          <w:sz w:val="20"/>
        </w:rPr>
        <w:t xml:space="preserve"> rozpočtu nie je jasné, akými </w:t>
      </w:r>
      <w:r w:rsidR="004C0FDC">
        <w:rPr>
          <w:sz w:val="20"/>
        </w:rPr>
        <w:t>zdrojmi</w:t>
      </w:r>
      <w:r w:rsidRPr="00E653FC">
        <w:rPr>
          <w:sz w:val="20"/>
        </w:rPr>
        <w:t xml:space="preserve"> bude kryté. </w:t>
      </w:r>
      <w:r w:rsidR="00DC5C39">
        <w:rPr>
          <w:sz w:val="20"/>
        </w:rPr>
        <w:t>Veľkým</w:t>
      </w:r>
      <w:r w:rsidRPr="00E653FC">
        <w:rPr>
          <w:sz w:val="20"/>
        </w:rPr>
        <w:t xml:space="preserve"> problémom je aj enormný nárast výdavkov na lieky, či riziko nerealizovania úsporných opatrení v liekovej politik</w:t>
      </w:r>
      <w:r w:rsidR="004C0FDC">
        <w:rPr>
          <w:sz w:val="20"/>
        </w:rPr>
        <w:t>e</w:t>
      </w:r>
      <w:r w:rsidRPr="00E653FC">
        <w:rPr>
          <w:sz w:val="20"/>
        </w:rPr>
        <w:t>.</w:t>
      </w:r>
    </w:p>
    <w:p w14:paraId="723BF0F1" w14:textId="55254F39" w:rsidR="000E24D7" w:rsidRDefault="009427CC" w:rsidP="000E24D7">
      <w:pPr>
        <w:rPr>
          <w:rFonts w:cs="Segoe UI"/>
          <w:szCs w:val="20"/>
        </w:rPr>
      </w:pPr>
      <w:r>
        <w:rPr>
          <w:rFonts w:cs="Segoe UI"/>
          <w:szCs w:val="20"/>
        </w:rPr>
        <w:t>Výdavky na vzdelávanie, vedu a výskum by oproti minuloročnému rozpočtu mali vzrásť o 1,2 mld. eur. NKÚ SR upozorňuje, že nejde o priame navýšenie prostriedkov, keďže približne polovica tejto sumy sa týka presunu normatívneho financovania materských škôl zo samospráv pod ministerstvo školstva. V rozpore s programovým vyhlásením vlády sa p</w:t>
      </w:r>
      <w:r w:rsidR="000E24D7">
        <w:rPr>
          <w:rFonts w:cs="Segoe UI"/>
          <w:szCs w:val="20"/>
        </w:rPr>
        <w:t>laty v školstve ani v roku 2025 nebudú valorizovať</w:t>
      </w:r>
      <w:r>
        <w:rPr>
          <w:rFonts w:cs="Segoe UI"/>
          <w:szCs w:val="20"/>
        </w:rPr>
        <w:t>.</w:t>
      </w:r>
      <w:r w:rsidR="000E24D7">
        <w:rPr>
          <w:rFonts w:cs="Segoe UI"/>
          <w:szCs w:val="20"/>
        </w:rPr>
        <w:t xml:space="preserve"> NKÚ </w:t>
      </w:r>
      <w:r w:rsidR="00DC5C39">
        <w:rPr>
          <w:rFonts w:cs="Segoe UI"/>
          <w:szCs w:val="20"/>
        </w:rPr>
        <w:t> </w:t>
      </w:r>
      <w:r w:rsidR="000E24D7">
        <w:rPr>
          <w:rFonts w:cs="Segoe UI"/>
          <w:szCs w:val="20"/>
        </w:rPr>
        <w:t>SR upozorňuje, že klesajúce reálne príjmy pedagogických zamestnancov môžu mať negatívny vplyv nielen na kvantitu, ale a</w:t>
      </w:r>
      <w:r w:rsidR="004C0FDC">
        <w:rPr>
          <w:rFonts w:cs="Segoe UI"/>
          <w:szCs w:val="20"/>
        </w:rPr>
        <w:t>j na kvalitu budúcich učiteľov.</w:t>
      </w:r>
    </w:p>
    <w:p w14:paraId="7E214356" w14:textId="24370985" w:rsidR="00AB6FD9" w:rsidRDefault="00AB6FD9" w:rsidP="000E24D7">
      <w:pPr>
        <w:rPr>
          <w:rFonts w:cs="Segoe UI"/>
          <w:szCs w:val="20"/>
        </w:rPr>
      </w:pPr>
      <w:r w:rsidRPr="00AB6FD9">
        <w:rPr>
          <w:rFonts w:cs="Segoe UI"/>
          <w:szCs w:val="20"/>
        </w:rPr>
        <w:t xml:space="preserve">V rozpočte na rok 2025 nie sú vyčlenené výdavky na riadenie rizík a mimoriadnych udalostí v súvislosti so zmenou klímy. </w:t>
      </w:r>
      <w:r w:rsidR="006D0FAD">
        <w:rPr>
          <w:rFonts w:cs="Segoe UI"/>
          <w:szCs w:val="20"/>
        </w:rPr>
        <w:t>N</w:t>
      </w:r>
      <w:r w:rsidRPr="00AB6FD9">
        <w:rPr>
          <w:rFonts w:cs="Segoe UI"/>
          <w:szCs w:val="20"/>
        </w:rPr>
        <w:t xml:space="preserve">ie sú rozpočtované </w:t>
      </w:r>
      <w:r w:rsidR="006D0FAD">
        <w:rPr>
          <w:rFonts w:cs="Segoe UI"/>
          <w:szCs w:val="20"/>
        </w:rPr>
        <w:t xml:space="preserve">ani </w:t>
      </w:r>
      <w:r w:rsidRPr="00AB6FD9">
        <w:rPr>
          <w:rFonts w:cs="Segoe UI"/>
          <w:szCs w:val="20"/>
        </w:rPr>
        <w:t>nové výdavky na podporu nízkouhlíkového hospodárstva, pričom sa dočerpávajú prostriedky z minulých období. Absencia výdavkov orientovaných na podporu zeleného hospodárstva môže vyvolať pochybnosti o dlhodobej environmentálnej stratégii SR.</w:t>
      </w:r>
    </w:p>
    <w:p w14:paraId="1034656E" w14:textId="7161CE4F" w:rsidR="005D1FF1" w:rsidRPr="003B2906" w:rsidRDefault="005D1FF1" w:rsidP="005D1FF1">
      <w:pPr>
        <w:pStyle w:val="Textpoznmkypodiarou"/>
        <w:spacing w:after="120" w:line="276" w:lineRule="auto"/>
        <w:rPr>
          <w:sz w:val="20"/>
        </w:rPr>
      </w:pPr>
      <w:r w:rsidRPr="003B2906">
        <w:rPr>
          <w:sz w:val="20"/>
        </w:rPr>
        <w:t xml:space="preserve">Aj napriek zjednodušeniam v rámci </w:t>
      </w:r>
      <w:r>
        <w:rPr>
          <w:sz w:val="20"/>
        </w:rPr>
        <w:t xml:space="preserve">štvrtého </w:t>
      </w:r>
      <w:r w:rsidRPr="003B2906">
        <w:rPr>
          <w:sz w:val="20"/>
        </w:rPr>
        <w:t xml:space="preserve">programového obdobia </w:t>
      </w:r>
      <w:r>
        <w:rPr>
          <w:sz w:val="20"/>
        </w:rPr>
        <w:t>je</w:t>
      </w:r>
      <w:r w:rsidRPr="003B2906">
        <w:rPr>
          <w:sz w:val="20"/>
        </w:rPr>
        <w:t xml:space="preserve"> čerpanie prostriedkov </w:t>
      </w:r>
      <w:r>
        <w:rPr>
          <w:sz w:val="20"/>
        </w:rPr>
        <w:t xml:space="preserve">z fondov EÚ </w:t>
      </w:r>
      <w:r w:rsidRPr="003B2906">
        <w:rPr>
          <w:sz w:val="20"/>
        </w:rPr>
        <w:t xml:space="preserve">ešte pomalšie, ako bolo v </w:t>
      </w:r>
      <w:r>
        <w:rPr>
          <w:sz w:val="20"/>
        </w:rPr>
        <w:t>treťom</w:t>
      </w:r>
      <w:r w:rsidRPr="003B2906">
        <w:rPr>
          <w:sz w:val="20"/>
        </w:rPr>
        <w:t xml:space="preserve"> programovom období. </w:t>
      </w:r>
      <w:r>
        <w:rPr>
          <w:sz w:val="20"/>
        </w:rPr>
        <w:t>NKÚ SR upozorňuje, že v</w:t>
      </w:r>
      <w:r w:rsidRPr="003B2906">
        <w:rPr>
          <w:sz w:val="20"/>
        </w:rPr>
        <w:t xml:space="preserve"> rámci Programu Slovensko je potrebné </w:t>
      </w:r>
      <w:r w:rsidRPr="009427CC">
        <w:rPr>
          <w:sz w:val="20"/>
        </w:rPr>
        <w:t>do konca roka 2025 vyčerpať takmer desaťnásobok doteraz vyčerpaných prostriedkov. Nedostatočná pripravenosť územia v regiónoch v súvislosti s Integrovanými územnými investíciami, do ktorých je pridelených takmer 20 % alokácie Programu Slovensko, môže viesť k prepadu časti alokácie.</w:t>
      </w:r>
      <w:r w:rsidRPr="003B2906">
        <w:rPr>
          <w:sz w:val="20"/>
        </w:rPr>
        <w:t xml:space="preserve"> </w:t>
      </w:r>
      <w:r w:rsidR="00945D8A">
        <w:rPr>
          <w:sz w:val="20"/>
        </w:rPr>
        <w:t xml:space="preserve">NKÚ SR upozorňuje, že práve tieto zdroje by mohli samospráve kompenzovať </w:t>
      </w:r>
      <w:r w:rsidR="00945D8A" w:rsidRPr="00945D8A">
        <w:rPr>
          <w:sz w:val="20"/>
        </w:rPr>
        <w:t>prijaté konsolidačné opatrenia.</w:t>
      </w:r>
    </w:p>
    <w:p w14:paraId="4523E1A3" w14:textId="26AC08EA" w:rsidR="005D1FF1" w:rsidRDefault="005D1FF1" w:rsidP="005D1FF1">
      <w:pPr>
        <w:pStyle w:val="Textpoznmkypodiarou"/>
        <w:spacing w:after="120" w:line="276" w:lineRule="auto"/>
        <w:rPr>
          <w:sz w:val="20"/>
        </w:rPr>
      </w:pPr>
      <w:r w:rsidRPr="003B2906">
        <w:rPr>
          <w:sz w:val="20"/>
        </w:rPr>
        <w:t xml:space="preserve">Predloženie meškajúcej piatej žiadosti o platbu </w:t>
      </w:r>
      <w:r>
        <w:rPr>
          <w:sz w:val="20"/>
        </w:rPr>
        <w:t xml:space="preserve">z Plánu obnovy a odolnosti </w:t>
      </w:r>
      <w:r w:rsidRPr="003B2906">
        <w:rPr>
          <w:sz w:val="20"/>
        </w:rPr>
        <w:t>v objeme 597,8 mil. eur do konca decembra 2024 je ohrozené vzhľadom na štyri problematické míľniky a ciele. Ak sa</w:t>
      </w:r>
      <w:r>
        <w:rPr>
          <w:sz w:val="20"/>
        </w:rPr>
        <w:t xml:space="preserve"> chce </w:t>
      </w:r>
      <w:r w:rsidRPr="003B2906">
        <w:rPr>
          <w:sz w:val="20"/>
        </w:rPr>
        <w:t xml:space="preserve"> Slovensko vyhnúť kráteniu prostriedkov piatej platby, bude nevyhnutné s</w:t>
      </w:r>
      <w:r w:rsidR="005D0DAE">
        <w:rPr>
          <w:sz w:val="20"/>
        </w:rPr>
        <w:t> </w:t>
      </w:r>
      <w:r w:rsidRPr="003B2906">
        <w:rPr>
          <w:sz w:val="20"/>
        </w:rPr>
        <w:t>E</w:t>
      </w:r>
      <w:r w:rsidR="005D0DAE">
        <w:rPr>
          <w:sz w:val="20"/>
        </w:rPr>
        <w:t>urópskou komisiou</w:t>
      </w:r>
      <w:r w:rsidRPr="003B2906">
        <w:rPr>
          <w:sz w:val="20"/>
        </w:rPr>
        <w:t xml:space="preserve"> vyrokovať revíziu </w:t>
      </w:r>
      <w:r w:rsidR="005D0DAE">
        <w:rPr>
          <w:sz w:val="20"/>
        </w:rPr>
        <w:t>plánu</w:t>
      </w:r>
      <w:r w:rsidRPr="003B2906">
        <w:rPr>
          <w:sz w:val="20"/>
        </w:rPr>
        <w:t xml:space="preserve">, s </w:t>
      </w:r>
      <w:r>
        <w:rPr>
          <w:sz w:val="20"/>
        </w:rPr>
        <w:t> </w:t>
      </w:r>
      <w:r w:rsidRPr="003B2906">
        <w:rPr>
          <w:sz w:val="20"/>
        </w:rPr>
        <w:t>čím súvisí aj presun termínu predloženia piatej žiadosti do roku 2025.</w:t>
      </w:r>
    </w:p>
    <w:p w14:paraId="32EF30DF" w14:textId="6A78D9B0" w:rsidR="008D1B17" w:rsidRDefault="00821FBA" w:rsidP="00A9226D">
      <w:pPr>
        <w:pStyle w:val="Textpoznmkypodiarou"/>
        <w:spacing w:after="120" w:line="276" w:lineRule="auto"/>
        <w:rPr>
          <w:sz w:val="20"/>
        </w:rPr>
      </w:pPr>
      <w:r w:rsidRPr="00821FBA">
        <w:rPr>
          <w:sz w:val="20"/>
        </w:rPr>
        <w:t>Jedn</w:t>
      </w:r>
      <w:r w:rsidR="00466B0F">
        <w:rPr>
          <w:sz w:val="20"/>
        </w:rPr>
        <w:t>ou z</w:t>
      </w:r>
      <w:r w:rsidRPr="00821FBA">
        <w:rPr>
          <w:sz w:val="20"/>
        </w:rPr>
        <w:t xml:space="preserve"> najvýznamnejších </w:t>
      </w:r>
      <w:r w:rsidR="00466B0F">
        <w:rPr>
          <w:sz w:val="20"/>
        </w:rPr>
        <w:t>zmien pre</w:t>
      </w:r>
      <w:r w:rsidRPr="00821FBA">
        <w:rPr>
          <w:sz w:val="20"/>
        </w:rPr>
        <w:t xml:space="preserve"> samosprávy je zníženie podielu obcí a vyšších územných celkov na výnose </w:t>
      </w:r>
      <w:r w:rsidR="00525675">
        <w:rPr>
          <w:sz w:val="20"/>
        </w:rPr>
        <w:t>dane z príjmov fyzických osôb</w:t>
      </w:r>
      <w:r w:rsidRPr="00821FBA">
        <w:rPr>
          <w:sz w:val="20"/>
        </w:rPr>
        <w:t xml:space="preserve">. </w:t>
      </w:r>
      <w:r w:rsidR="003F5C82">
        <w:rPr>
          <w:sz w:val="20"/>
        </w:rPr>
        <w:t>Zmena p</w:t>
      </w:r>
      <w:r w:rsidRPr="00821FBA">
        <w:rPr>
          <w:sz w:val="20"/>
        </w:rPr>
        <w:t>odiel</w:t>
      </w:r>
      <w:r w:rsidR="003F5C82">
        <w:rPr>
          <w:sz w:val="20"/>
        </w:rPr>
        <w:t>u</w:t>
      </w:r>
      <w:r w:rsidRPr="00821FBA">
        <w:rPr>
          <w:sz w:val="20"/>
        </w:rPr>
        <w:t xml:space="preserve"> obcí na výnose </w:t>
      </w:r>
      <w:r w:rsidR="00E76A71">
        <w:rPr>
          <w:sz w:val="20"/>
        </w:rPr>
        <w:t xml:space="preserve">tejto dane </w:t>
      </w:r>
      <w:r w:rsidRPr="00821FBA">
        <w:rPr>
          <w:sz w:val="20"/>
        </w:rPr>
        <w:t xml:space="preserve">zo 70 % na 55,1 % súvisí </w:t>
      </w:r>
      <w:r w:rsidR="00E76A71">
        <w:rPr>
          <w:sz w:val="20"/>
        </w:rPr>
        <w:t xml:space="preserve">najmä </w:t>
      </w:r>
      <w:r w:rsidRPr="00821FBA">
        <w:rPr>
          <w:sz w:val="20"/>
        </w:rPr>
        <w:t>s úpravo</w:t>
      </w:r>
      <w:r w:rsidR="006052DE">
        <w:rPr>
          <w:sz w:val="20"/>
        </w:rPr>
        <w:t>u financovania materských škôl</w:t>
      </w:r>
      <w:r w:rsidR="003F5C82">
        <w:rPr>
          <w:sz w:val="20"/>
        </w:rPr>
        <w:t>, ktorá zníži originálne kompetencie</w:t>
      </w:r>
      <w:r w:rsidR="00E76A71">
        <w:rPr>
          <w:sz w:val="20"/>
        </w:rPr>
        <w:t xml:space="preserve"> obcí</w:t>
      </w:r>
      <w:r w:rsidR="003F5C82">
        <w:rPr>
          <w:sz w:val="20"/>
        </w:rPr>
        <w:t xml:space="preserve">. Nové percentá podielov obcí a VÚC </w:t>
      </w:r>
      <w:r w:rsidR="00E76A71">
        <w:rPr>
          <w:sz w:val="20"/>
        </w:rPr>
        <w:t xml:space="preserve">na výnose tejto dane </w:t>
      </w:r>
      <w:r w:rsidR="003F5C82">
        <w:rPr>
          <w:sz w:val="20"/>
        </w:rPr>
        <w:t xml:space="preserve">by však mali </w:t>
      </w:r>
      <w:r w:rsidR="00E76A71">
        <w:rPr>
          <w:sz w:val="20"/>
        </w:rPr>
        <w:t>aj napriek konsolidačným opatreniam vytvára</w:t>
      </w:r>
      <w:r w:rsidR="000B3402">
        <w:rPr>
          <w:sz w:val="20"/>
        </w:rPr>
        <w:t xml:space="preserve">ť </w:t>
      </w:r>
      <w:r w:rsidR="00E76A71">
        <w:rPr>
          <w:sz w:val="20"/>
        </w:rPr>
        <w:t xml:space="preserve">predpoklady na </w:t>
      </w:r>
      <w:r w:rsidR="000B3402">
        <w:rPr>
          <w:sz w:val="20"/>
        </w:rPr>
        <w:t xml:space="preserve">plynulé </w:t>
      </w:r>
      <w:r w:rsidR="00E76A71">
        <w:rPr>
          <w:sz w:val="20"/>
        </w:rPr>
        <w:t xml:space="preserve">plnenie </w:t>
      </w:r>
      <w:r w:rsidR="00E76A71" w:rsidRPr="00EB3F29">
        <w:rPr>
          <w:sz w:val="20"/>
        </w:rPr>
        <w:t>samosprávnych kompetencií.</w:t>
      </w:r>
      <w:r w:rsidR="00EB3F29" w:rsidRPr="00EB3F29">
        <w:rPr>
          <w:sz w:val="20"/>
        </w:rPr>
        <w:t xml:space="preserve"> V tejto súvislosti NKÚ SR opakovane upozorňuje, že je potrebné </w:t>
      </w:r>
      <w:r w:rsidR="00913EB0">
        <w:rPr>
          <w:sz w:val="20"/>
        </w:rPr>
        <w:t>realizovať komplexnú reformu</w:t>
      </w:r>
      <w:r w:rsidR="00EB3F29" w:rsidRPr="00EB3F29">
        <w:rPr>
          <w:sz w:val="20"/>
        </w:rPr>
        <w:t xml:space="preserve"> v oblasti územnej samosprávy.</w:t>
      </w:r>
    </w:p>
    <w:p w14:paraId="0DD858EC" w14:textId="1488ECA2" w:rsidR="008D1B17" w:rsidRDefault="008D1B17" w:rsidP="008D1B17">
      <w:pPr>
        <w:pStyle w:val="Textpoznmkypodiarou"/>
        <w:spacing w:after="120" w:line="276" w:lineRule="auto"/>
        <w:rPr>
          <w:sz w:val="20"/>
        </w:rPr>
      </w:pPr>
      <w:r w:rsidRPr="00772CF4">
        <w:rPr>
          <w:sz w:val="20"/>
        </w:rPr>
        <w:t xml:space="preserve">NKÚ SR </w:t>
      </w:r>
      <w:r w:rsidR="00392B0F">
        <w:rPr>
          <w:sz w:val="20"/>
        </w:rPr>
        <w:t xml:space="preserve">hodnotí </w:t>
      </w:r>
      <w:r w:rsidRPr="00772CF4">
        <w:rPr>
          <w:sz w:val="20"/>
        </w:rPr>
        <w:t>pozitívne, že</w:t>
      </w:r>
      <w:r>
        <w:rPr>
          <w:sz w:val="20"/>
        </w:rPr>
        <w:t xml:space="preserve"> sa</w:t>
      </w:r>
      <w:r w:rsidRPr="00772CF4">
        <w:rPr>
          <w:sz w:val="20"/>
        </w:rPr>
        <w:t xml:space="preserve"> vláda zaoberá riešením ozdravenia verejných financií. </w:t>
      </w:r>
      <w:r>
        <w:rPr>
          <w:sz w:val="20"/>
        </w:rPr>
        <w:t>Avšak aj keď</w:t>
      </w:r>
      <w:r w:rsidRPr="00266EF7">
        <w:rPr>
          <w:sz w:val="20"/>
        </w:rPr>
        <w:t xml:space="preserve"> návrh </w:t>
      </w:r>
      <w:r>
        <w:rPr>
          <w:sz w:val="20"/>
        </w:rPr>
        <w:t>rozpočtu</w:t>
      </w:r>
      <w:r w:rsidRPr="00266EF7">
        <w:rPr>
          <w:sz w:val="20"/>
        </w:rPr>
        <w:t xml:space="preserve"> počíta s poklesom deficitu k 3 % HDP do roku 2027, vláda </w:t>
      </w:r>
      <w:r>
        <w:rPr>
          <w:sz w:val="20"/>
        </w:rPr>
        <w:t xml:space="preserve">zatiaľ </w:t>
      </w:r>
      <w:r w:rsidRPr="00266EF7">
        <w:rPr>
          <w:sz w:val="20"/>
        </w:rPr>
        <w:t xml:space="preserve">neuvádza </w:t>
      </w:r>
      <w:r w:rsidR="00AF0505">
        <w:rPr>
          <w:sz w:val="20"/>
        </w:rPr>
        <w:t>konkrétne</w:t>
      </w:r>
      <w:r>
        <w:rPr>
          <w:sz w:val="20"/>
        </w:rPr>
        <w:t xml:space="preserve"> opatrenia potrebné na dosiahnutie tohto</w:t>
      </w:r>
      <w:r w:rsidR="005D0DAE">
        <w:rPr>
          <w:sz w:val="20"/>
        </w:rPr>
        <w:t xml:space="preserve"> strednodobého</w:t>
      </w:r>
      <w:r>
        <w:rPr>
          <w:sz w:val="20"/>
        </w:rPr>
        <w:t xml:space="preserve"> cieľa</w:t>
      </w:r>
      <w:r w:rsidRPr="00266EF7">
        <w:rPr>
          <w:sz w:val="20"/>
        </w:rPr>
        <w:t>.</w:t>
      </w:r>
    </w:p>
    <w:p w14:paraId="188A4A24" w14:textId="782D8E5C" w:rsidR="0066520B" w:rsidRPr="00391329" w:rsidRDefault="008D1B17" w:rsidP="00A9226D">
      <w:pPr>
        <w:pStyle w:val="Textpoznmkypodiarou"/>
        <w:spacing w:after="120" w:line="276" w:lineRule="auto"/>
        <w:rPr>
          <w:sz w:val="24"/>
        </w:rPr>
      </w:pPr>
      <w:r w:rsidRPr="00114BB2">
        <w:rPr>
          <w:sz w:val="20"/>
        </w:rPr>
        <w:t xml:space="preserve">Hrubý dlh sa nachádza nad najvyšším sankčným pásmom ústavného zákona o rozpočtovej zodpovednosti, ale bez najprísnejších sankcií. Budúci rok v novembri uplynie výnimka pre uplatňovanie sankcií od 3. pásma. </w:t>
      </w:r>
      <w:r>
        <w:rPr>
          <w:sz w:val="20"/>
        </w:rPr>
        <w:t>NKÚ SR upozorňuje, že p</w:t>
      </w:r>
      <w:r w:rsidRPr="00114BB2">
        <w:rPr>
          <w:sz w:val="20"/>
        </w:rPr>
        <w:t xml:space="preserve">o ukončení výnimky by mala vláda požiadať NR SR o </w:t>
      </w:r>
      <w:r>
        <w:rPr>
          <w:sz w:val="20"/>
        </w:rPr>
        <w:t> </w:t>
      </w:r>
      <w:r w:rsidRPr="00114BB2">
        <w:rPr>
          <w:sz w:val="20"/>
        </w:rPr>
        <w:t xml:space="preserve">vyslovenie dôvery, viazať 3 % výdavkov ŠR a pripraviť návrh </w:t>
      </w:r>
      <w:r>
        <w:rPr>
          <w:sz w:val="20"/>
        </w:rPr>
        <w:t>rozpočtu</w:t>
      </w:r>
      <w:r w:rsidRPr="00114BB2">
        <w:rPr>
          <w:sz w:val="20"/>
        </w:rPr>
        <w:t xml:space="preserve"> s nerastúcimi výdavkami a vyrovnaným hospodárením.</w:t>
      </w:r>
      <w:r w:rsidR="0066520B" w:rsidRPr="00391329">
        <w:rPr>
          <w:sz w:val="20"/>
        </w:rPr>
        <w:br w:type="page"/>
      </w:r>
    </w:p>
    <w:p w14:paraId="6932155B" w14:textId="1C21E2BA" w:rsidR="00441315" w:rsidRPr="003514B9" w:rsidRDefault="00B943C6" w:rsidP="00701274">
      <w:pPr>
        <w:pStyle w:val="Textpoznmkypodiarou"/>
        <w:spacing w:after="120" w:line="276" w:lineRule="auto"/>
        <w:jc w:val="center"/>
        <w:rPr>
          <w:sz w:val="20"/>
        </w:rPr>
      </w:pPr>
      <w:r>
        <w:rPr>
          <w:noProof/>
          <w:lang w:eastAsia="sk-SK"/>
        </w:rPr>
        <w:lastRenderedPageBreak/>
        <w:drawing>
          <wp:inline distT="0" distB="0" distL="0" distR="0" wp14:anchorId="5B03C133" wp14:editId="611DDFC7">
            <wp:extent cx="6020284" cy="8515350"/>
            <wp:effectExtent l="0" t="0" r="0" b="0"/>
            <wp:docPr id="52"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tanovisko k ŠR 202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21516" cy="8517093"/>
                    </a:xfrm>
                    <a:prstGeom prst="rect">
                      <a:avLst/>
                    </a:prstGeom>
                  </pic:spPr>
                </pic:pic>
              </a:graphicData>
            </a:graphic>
          </wp:inline>
        </w:drawing>
      </w:r>
      <w:r w:rsidR="00441315">
        <w:br w:type="page"/>
      </w:r>
    </w:p>
    <w:p w14:paraId="1C6F03E5" w14:textId="578F17BF" w:rsidR="00B10EC5" w:rsidRDefault="00092577" w:rsidP="0011737A">
      <w:pPr>
        <w:pStyle w:val="Nadpis1"/>
      </w:pPr>
      <w:bookmarkStart w:id="3" w:name="_Toc86396372"/>
      <w:bookmarkStart w:id="4" w:name="_Toc53475707"/>
      <w:bookmarkStart w:id="5" w:name="_Toc182559172"/>
      <w:bookmarkEnd w:id="1"/>
      <w:r>
        <w:lastRenderedPageBreak/>
        <w:t>Makroekonomick</w:t>
      </w:r>
      <w:r w:rsidR="00F36F51">
        <w:t>é predpoklady rozpočtu</w:t>
      </w:r>
      <w:bookmarkEnd w:id="3"/>
      <w:bookmarkEnd w:id="5"/>
    </w:p>
    <w:p w14:paraId="48E8BE6C" w14:textId="2CA82B88" w:rsidR="002D2AEA" w:rsidRPr="00627604" w:rsidRDefault="002D2AEA" w:rsidP="002D2AEA">
      <w:r>
        <w:rPr>
          <w:b/>
        </w:rPr>
        <w:t>Slovenská e</w:t>
      </w:r>
      <w:r w:rsidRPr="00135FF7">
        <w:rPr>
          <w:b/>
        </w:rPr>
        <w:t xml:space="preserve">konomika </w:t>
      </w:r>
      <w:r>
        <w:rPr>
          <w:b/>
        </w:rPr>
        <w:t>má</w:t>
      </w:r>
      <w:r w:rsidRPr="00135FF7">
        <w:rPr>
          <w:b/>
        </w:rPr>
        <w:t> </w:t>
      </w:r>
      <w:r w:rsidR="00233B6C">
        <w:rPr>
          <w:b/>
        </w:rPr>
        <w:t xml:space="preserve">podľa MF SR </w:t>
      </w:r>
      <w:r>
        <w:rPr>
          <w:b/>
        </w:rPr>
        <w:t xml:space="preserve">v </w:t>
      </w:r>
      <w:r w:rsidRPr="00135FF7">
        <w:rPr>
          <w:b/>
        </w:rPr>
        <w:t xml:space="preserve">tomto roku </w:t>
      </w:r>
      <w:r>
        <w:rPr>
          <w:b/>
        </w:rPr>
        <w:t>skončiť s medziročným rastom</w:t>
      </w:r>
      <w:r w:rsidRPr="00135FF7">
        <w:rPr>
          <w:b/>
        </w:rPr>
        <w:t xml:space="preserve"> 2,3 %</w:t>
      </w:r>
      <w:r w:rsidR="008D5146">
        <w:rPr>
          <w:b/>
        </w:rPr>
        <w:t>, čo je oproti pôvodnej prognóze z rozpočtu nižšie o 0,4 p. b.</w:t>
      </w:r>
      <w:r w:rsidRPr="00135FF7">
        <w:rPr>
          <w:b/>
        </w:rPr>
        <w:t xml:space="preserve"> </w:t>
      </w:r>
      <w:r w:rsidR="008D5146" w:rsidRPr="008D5146">
        <w:t>Nižší rast HDP</w:t>
      </w:r>
      <w:r>
        <w:t xml:space="preserve"> je spôsobený najmä nižším zahraničným dopytom.</w:t>
      </w:r>
      <w:r>
        <w:rPr>
          <w:b/>
        </w:rPr>
        <w:t xml:space="preserve"> </w:t>
      </w:r>
      <w:r>
        <w:t xml:space="preserve">Na druhej strane, zamestnanosť v roku 2024 klesne o 0,1 %, čo predstavuje úbytok na úrovni zhruba 3-tisíc pracovných miest. Miera nezamestnanosti </w:t>
      </w:r>
      <w:r w:rsidR="00D41BA4">
        <w:t>podľa V</w:t>
      </w:r>
      <w:r w:rsidR="002E16B1">
        <w:t>ýboru pre makroekonomické prognózy (V</w:t>
      </w:r>
      <w:r w:rsidR="00D41BA4">
        <w:t>pMP</w:t>
      </w:r>
      <w:r w:rsidR="002E16B1">
        <w:t>)</w:t>
      </w:r>
      <w:r w:rsidR="00D41BA4">
        <w:t xml:space="preserve"> </w:t>
      </w:r>
      <w:r>
        <w:t xml:space="preserve">dosiahne historicky najnižšiu úroveň 5,4 %, čo </w:t>
      </w:r>
      <w:r w:rsidR="0056104D">
        <w:t>je v súlade s očakávaniami</w:t>
      </w:r>
      <w:r>
        <w:t xml:space="preserve"> rozpočt</w:t>
      </w:r>
      <w:r w:rsidR="0056104D">
        <w:t>u</w:t>
      </w:r>
      <w:r>
        <w:t xml:space="preserve">. </w:t>
      </w:r>
      <w:r w:rsidR="0056104D">
        <w:t>T</w:t>
      </w:r>
      <w:r>
        <w:t xml:space="preserve">rh práce </w:t>
      </w:r>
      <w:r w:rsidR="00387EF3">
        <w:t>aj napriek ekonomickým výzvam</w:t>
      </w:r>
      <w:r w:rsidR="0056104D">
        <w:t xml:space="preserve"> </w:t>
      </w:r>
      <w:r>
        <w:t xml:space="preserve">zostal relatívne odolný. Inflácia v </w:t>
      </w:r>
      <w:r w:rsidR="00114BB2">
        <w:t> </w:t>
      </w:r>
      <w:r>
        <w:t xml:space="preserve">lete tohto roku dosiahla </w:t>
      </w:r>
      <w:r w:rsidR="00D41BA4">
        <w:t>najnižšiu úroveň od apríla 2021</w:t>
      </w:r>
      <w:r>
        <w:t xml:space="preserve"> a priblížila sa tak k inflačnému cieľu ECB. Avšak vyššie ceny služieb a potravín vyústia do koncoročnej inflácie vyššej ako 3 % a priemerný ročný rast cien má dosiahnuť 2,8 </w:t>
      </w:r>
      <w:r w:rsidR="00114BB2">
        <w:t> </w:t>
      </w:r>
      <w:r>
        <w:t xml:space="preserve">%. </w:t>
      </w:r>
      <w:r w:rsidR="00387EF3">
        <w:t>Oča</w:t>
      </w:r>
      <w:r>
        <w:t xml:space="preserve">kávaná inflácia </w:t>
      </w:r>
      <w:r w:rsidR="00387EF3">
        <w:t xml:space="preserve">bude aj napriek tomu </w:t>
      </w:r>
      <w:r>
        <w:t xml:space="preserve">oproti prognózovanej nižšia o 0,4 p. b. Reálne mzdy rastú najrýchlejšie za posledné štyri roky, pričom rast miezd sa ukázal byť oproti rozpočtu vyšší najmä vo verejnom sektore, kde </w:t>
      </w:r>
      <w:r w:rsidR="00E82B4A">
        <w:t>rástli v </w:t>
      </w:r>
      <w:r>
        <w:t>priemer</w:t>
      </w:r>
      <w:r w:rsidR="00E82B4A">
        <w:t>e o</w:t>
      </w:r>
      <w:r>
        <w:t xml:space="preserve"> 8 %. To je spôsobené hlavne dynamikou z roku 2023, kedy sa valorizovali mzdy vo </w:t>
      </w:r>
      <w:r w:rsidR="00AB2FCD">
        <w:t>verejnej správe (</w:t>
      </w:r>
      <w:r w:rsidR="008D5146">
        <w:t>VS</w:t>
      </w:r>
      <w:r w:rsidR="00AB2FCD">
        <w:t>)</w:t>
      </w:r>
      <w:r>
        <w:t xml:space="preserve">. </w:t>
      </w:r>
      <w:r w:rsidR="00627604">
        <w:t>Predikcie rozpočtu na rok</w:t>
      </w:r>
      <w:r w:rsidRPr="0056104D">
        <w:rPr>
          <w:b/>
        </w:rPr>
        <w:t xml:space="preserve"> </w:t>
      </w:r>
      <w:r w:rsidRPr="00627604">
        <w:t xml:space="preserve">2024 </w:t>
      </w:r>
      <w:r w:rsidR="00627604" w:rsidRPr="00627604">
        <w:t xml:space="preserve">sa tak </w:t>
      </w:r>
      <w:r w:rsidRPr="00627604">
        <w:t>vo veľkej miere nap</w:t>
      </w:r>
      <w:r w:rsidR="005C557C" w:rsidRPr="00627604">
        <w:t>ĺňajú</w:t>
      </w:r>
      <w:r w:rsidRPr="00627604">
        <w:t>.</w:t>
      </w:r>
    </w:p>
    <w:p w14:paraId="16497CA6" w14:textId="43C2DD1A" w:rsidR="004E70E3" w:rsidRDefault="002D2AEA" w:rsidP="004E70E3">
      <w:pPr>
        <w:spacing w:before="120"/>
      </w:pPr>
      <w:r w:rsidRPr="00AA0FC4">
        <w:rPr>
          <w:b/>
        </w:rPr>
        <w:t xml:space="preserve">V roku 2025 </w:t>
      </w:r>
      <w:r>
        <w:rPr>
          <w:b/>
        </w:rPr>
        <w:t xml:space="preserve">očakáva MF SR rast HDP o 2,2 %, pričom významný faktor tohto rastu predstavujú zdroje z </w:t>
      </w:r>
      <w:r w:rsidR="000A1B67">
        <w:rPr>
          <w:b/>
        </w:rPr>
        <w:t>P</w:t>
      </w:r>
      <w:r>
        <w:rPr>
          <w:b/>
        </w:rPr>
        <w:t>lánu obnovy a odolnosti.</w:t>
      </w:r>
      <w:r w:rsidRPr="001463D9">
        <w:t xml:space="preserve"> </w:t>
      </w:r>
      <w:r>
        <w:t>Pôvodná prognóza z júna 2024 bola revidovaná smerom nadol (graf</w:t>
      </w:r>
      <w:r w:rsidR="005C557C">
        <w:t xml:space="preserve"> </w:t>
      </w:r>
      <w:r>
        <w:t>1), pričom</w:t>
      </w:r>
      <w:r w:rsidR="005C557C">
        <w:t xml:space="preserve"> dôležitým</w:t>
      </w:r>
      <w:r>
        <w:t xml:space="preserve"> faktorom </w:t>
      </w:r>
      <w:r w:rsidR="005C557C">
        <w:t xml:space="preserve">tejto úpravy </w:t>
      </w:r>
      <w:r>
        <w:t xml:space="preserve">je slabší zahraničný dopyt, </w:t>
      </w:r>
      <w:r w:rsidR="004B62D6">
        <w:t xml:space="preserve">a to </w:t>
      </w:r>
      <w:r>
        <w:t xml:space="preserve">najmä </w:t>
      </w:r>
      <w:r w:rsidR="005C557C">
        <w:t>u</w:t>
      </w:r>
      <w:r>
        <w:t xml:space="preserve"> hlavných </w:t>
      </w:r>
      <w:r w:rsidR="004B62D6">
        <w:t>zahranično</w:t>
      </w:r>
      <w:r>
        <w:t>obchodných partnerov Slovenska. MF SR očakáva rast i</w:t>
      </w:r>
      <w:r w:rsidRPr="001463D9">
        <w:t>nvestíci</w:t>
      </w:r>
      <w:r>
        <w:t>í</w:t>
      </w:r>
      <w:r w:rsidRPr="001463D9">
        <w:t xml:space="preserve"> </w:t>
      </w:r>
      <w:r>
        <w:t xml:space="preserve">dvojciferným tempom, a to predovšetkým vďaka projektom modernizácie infraštruktúry, ako aj nákupu vojenskej techniky. Zamestnanosť by </w:t>
      </w:r>
      <w:r w:rsidR="00B7480F">
        <w:t xml:space="preserve">sa </w:t>
      </w:r>
      <w:r>
        <w:t xml:space="preserve">mala </w:t>
      </w:r>
      <w:r w:rsidR="00B7480F">
        <w:t xml:space="preserve">v budúcom roku zvýšiť </w:t>
      </w:r>
      <w:r>
        <w:t xml:space="preserve">iba mierne, o 0,4 %, čo </w:t>
      </w:r>
      <w:r w:rsidR="00BA3865">
        <w:t>má</w:t>
      </w:r>
      <w:r>
        <w:t xml:space="preserve"> viesť k poklesu nezamestnanosti na 5,3 %. Príčinou môže byť nižší dopyt po pracovnej sile v dôsledku nižšieho hospodárskeho rastu ako aj vysokých nákladov pre podniky, ktoré sa budú musieť vysporiadať so zvyšujúcou sa minimálnou mzdou, </w:t>
      </w:r>
      <w:r w:rsidR="004E70E3">
        <w:t xml:space="preserve">vyššou sadzbou </w:t>
      </w:r>
      <w:r>
        <w:t xml:space="preserve">DPPO či zavedením novej dane z finančných transakcií (viac v kapitole 2.1). </w:t>
      </w:r>
      <w:r w:rsidR="00B571E8">
        <w:t xml:space="preserve">Dôležitým faktorom je aj nižší počet disponibilných zamestnancov, a to z dôvodu </w:t>
      </w:r>
      <w:r w:rsidR="00BA3865">
        <w:t xml:space="preserve">ich </w:t>
      </w:r>
      <w:r w:rsidR="00B571E8">
        <w:t xml:space="preserve">odchodov do predčasných dôchodkov. </w:t>
      </w:r>
      <w:r w:rsidR="00E82B4A">
        <w:t>I</w:t>
      </w:r>
      <w:r>
        <w:t>nfláci</w:t>
      </w:r>
      <w:r w:rsidR="00F3666D">
        <w:t>a</w:t>
      </w:r>
      <w:r>
        <w:t xml:space="preserve"> sa predpokladá na úrovni 5,4 %, a to najmä v dôsledku plánovaného zvýšenia </w:t>
      </w:r>
      <w:r w:rsidR="00AB2FCD">
        <w:t>dane z pridanej hodnoty (</w:t>
      </w:r>
      <w:r>
        <w:t>DPH</w:t>
      </w:r>
      <w:r w:rsidR="00AB2FCD">
        <w:t>)</w:t>
      </w:r>
      <w:r>
        <w:t xml:space="preserve"> </w:t>
      </w:r>
      <w:r w:rsidR="00B7480F">
        <w:t>(1,5 p. b.</w:t>
      </w:r>
      <w:r w:rsidR="00952260">
        <w:t xml:space="preserve"> inflácie</w:t>
      </w:r>
      <w:r w:rsidR="00B7480F">
        <w:t xml:space="preserve">) </w:t>
      </w:r>
      <w:r>
        <w:t>a vyšších cien energií</w:t>
      </w:r>
      <w:r w:rsidR="00B7480F">
        <w:t xml:space="preserve"> (1 p. b.</w:t>
      </w:r>
      <w:r w:rsidR="00952260">
        <w:t xml:space="preserve"> inflácie</w:t>
      </w:r>
      <w:r w:rsidR="00B7480F">
        <w:t>)</w:t>
      </w:r>
      <w:r>
        <w:t>. Tieto faktory môžu negatívne ovplyvniť kúpnu silu obyvateľstva a</w:t>
      </w:r>
      <w:r w:rsidR="004E70E3">
        <w:t> tlačiť na</w:t>
      </w:r>
      <w:r>
        <w:t xml:space="preserve"> vyššie životné náklady. Nižší disponibilný príjem domácností bude mať vplyv na ich spotrebu, ktorá sa očakáva na nižšej úrovni než v tomto roku</w:t>
      </w:r>
      <w:r w:rsidR="00233B6C">
        <w:t xml:space="preserve"> a môže znížiť ich sociálny štandard</w:t>
      </w:r>
      <w:r>
        <w:t>.</w:t>
      </w:r>
    </w:p>
    <w:p w14:paraId="19317ADC" w14:textId="0BCD53F0" w:rsidR="002D2AEA" w:rsidRPr="00987D5D" w:rsidRDefault="002D2AEA" w:rsidP="002D2AEA">
      <w:pPr>
        <w:pStyle w:val="Popis"/>
        <w:keepNext/>
        <w:rPr>
          <w:color w:val="314364"/>
        </w:rPr>
      </w:pPr>
      <w:r w:rsidRPr="00987D5D">
        <w:rPr>
          <w:color w:val="314364"/>
        </w:rPr>
        <w:t>Graf 1: Porovnanie prog</w:t>
      </w:r>
      <w:r>
        <w:rPr>
          <w:color w:val="314364"/>
        </w:rPr>
        <w:t>nóz vývoja ekonomiky v roku 2025</w:t>
      </w:r>
      <w:r w:rsidRPr="00987D5D">
        <w:rPr>
          <w:color w:val="314364"/>
        </w:rPr>
        <w:t xml:space="preserve"> (medziročná zmena, </w:t>
      </w:r>
      <w:r w:rsidR="0023270F">
        <w:rPr>
          <w:color w:val="314364"/>
        </w:rPr>
        <w:t xml:space="preserve">v </w:t>
      </w:r>
      <w:r w:rsidRPr="00987D5D">
        <w:rPr>
          <w:color w:val="314364"/>
        </w:rPr>
        <w:t>%)</w:t>
      </w: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70"/>
      </w:tblGrid>
      <w:tr w:rsidR="002D2AEA" w:rsidRPr="000F43AE" w14:paraId="1B35F33B" w14:textId="77777777" w:rsidTr="002D2AEA">
        <w:trPr>
          <w:trHeight w:val="3969"/>
        </w:trPr>
        <w:tc>
          <w:tcPr>
            <w:tcW w:w="9070" w:type="dxa"/>
            <w:tcBorders>
              <w:top w:val="single" w:sz="4" w:space="0" w:color="314364"/>
              <w:bottom w:val="single" w:sz="4" w:space="0" w:color="314364"/>
            </w:tcBorders>
            <w:vAlign w:val="center"/>
          </w:tcPr>
          <w:p w14:paraId="1A431980" w14:textId="77777777" w:rsidR="002D2AEA" w:rsidRPr="000F43AE" w:rsidRDefault="002D2AEA" w:rsidP="002D2AEA">
            <w:pPr>
              <w:spacing w:after="0"/>
              <w:rPr>
                <w:b/>
                <w:color w:val="576431"/>
                <w:highlight w:val="yellow"/>
              </w:rPr>
            </w:pPr>
            <w:r>
              <w:rPr>
                <w:noProof/>
                <w:lang w:eastAsia="sk-SK"/>
              </w:rPr>
              <w:drawing>
                <wp:inline distT="0" distB="0" distL="0" distR="0" wp14:anchorId="2125A721" wp14:editId="3C8968AB">
                  <wp:extent cx="5705475" cy="2476500"/>
                  <wp:effectExtent l="0" t="0" r="0" b="0"/>
                  <wp:docPr id="33" name="Graf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14:paraId="7FC0ECF4" w14:textId="57462CCD" w:rsidR="002D2AEA" w:rsidRDefault="002D2AEA" w:rsidP="002D2AEA">
      <w:pPr>
        <w:pStyle w:val="Zdroj"/>
        <w:rPr>
          <w:highlight w:val="yellow"/>
        </w:rPr>
      </w:pPr>
      <w:r>
        <w:t>Zdroj: MF SR</w:t>
      </w:r>
      <w:r w:rsidR="0023270F">
        <w:t>.</w:t>
      </w:r>
    </w:p>
    <w:p w14:paraId="31CACAD4" w14:textId="54330AA9" w:rsidR="00F32162" w:rsidRPr="00F32162" w:rsidRDefault="00F32162" w:rsidP="00233B6C">
      <w:pPr>
        <w:rPr>
          <w:b/>
        </w:rPr>
      </w:pPr>
      <w:r w:rsidRPr="00F32162">
        <w:rPr>
          <w:b/>
        </w:rPr>
        <w:lastRenderedPageBreak/>
        <w:t>Kľúčovým rizikom v</w:t>
      </w:r>
      <w:r w:rsidR="002D2AEA" w:rsidRPr="00F32162">
        <w:rPr>
          <w:b/>
        </w:rPr>
        <w:t> rámci makroekonomických predpokladov rozpočtu</w:t>
      </w:r>
      <w:r w:rsidR="002D2AEA" w:rsidRPr="00F32162">
        <w:t>,</w:t>
      </w:r>
      <w:r w:rsidR="002D2AEA" w:rsidRPr="00F32162">
        <w:rPr>
          <w:b/>
        </w:rPr>
        <w:t xml:space="preserve"> </w:t>
      </w:r>
      <w:r w:rsidR="002D2AEA" w:rsidRPr="00F32162">
        <w:t>ktoré by mohl</w:t>
      </w:r>
      <w:r w:rsidRPr="00F32162">
        <w:t>o</w:t>
      </w:r>
      <w:r w:rsidR="002D2AEA" w:rsidRPr="00F32162">
        <w:t xml:space="preserve"> v budúcom roku negatívne ovplyvniť vývoj ekonomiky</w:t>
      </w:r>
      <w:r w:rsidRPr="00F32162">
        <w:t>,</w:t>
      </w:r>
      <w:r w:rsidRPr="00F32162">
        <w:rPr>
          <w:b/>
        </w:rPr>
        <w:t xml:space="preserve"> </w:t>
      </w:r>
      <w:r w:rsidR="00233B6C" w:rsidRPr="00F32162">
        <w:rPr>
          <w:b/>
        </w:rPr>
        <w:t>je možný pokles dopytu u zahraničnoobchodných partnerov SR.</w:t>
      </w:r>
    </w:p>
    <w:p w14:paraId="5C322581" w14:textId="094E205A" w:rsidR="00233B6C" w:rsidRPr="0087188A" w:rsidRDefault="00233B6C" w:rsidP="00233B6C">
      <w:r w:rsidRPr="00F32162">
        <w:rPr>
          <w:b/>
        </w:rPr>
        <w:t>Ďalším z</w:t>
      </w:r>
      <w:r w:rsidR="002D2AEA" w:rsidRPr="00F32162">
        <w:rPr>
          <w:b/>
        </w:rPr>
        <w:t xml:space="preserve"> rizík je neistota ohľadom výdavkov na kompenzačné opatrenia súvisiace s rastom cien energií</w:t>
      </w:r>
      <w:r w:rsidR="002D2AEA">
        <w:t>. V kapitole V</w:t>
      </w:r>
      <w:r w:rsidR="00AB2FCD">
        <w:t>šeobecná pokladničná správa (V</w:t>
      </w:r>
      <w:r w:rsidR="002D2AEA">
        <w:t>PS</w:t>
      </w:r>
      <w:r w:rsidR="00AB2FCD">
        <w:t>)</w:t>
      </w:r>
      <w:r w:rsidR="002D2AEA">
        <w:t xml:space="preserve"> sú na budúci rok rozpočtované tieto výdavky na úrovni 235 mil. eur. </w:t>
      </w:r>
      <w:r w:rsidR="00215A2E">
        <w:t xml:space="preserve">Súčasťou predpokladov na VpMP bolo aj </w:t>
      </w:r>
      <w:r w:rsidR="002D2AEA">
        <w:t>ukončenie dotovani</w:t>
      </w:r>
      <w:r w:rsidR="00E82B4A">
        <w:t>a</w:t>
      </w:r>
      <w:r w:rsidR="002D2AEA">
        <w:t xml:space="preserve"> cien plynu a návrat jeho ceny na trhové úrovne, čo by spôsobilo medziročný nárast ceny plynu o 30 %. Ak by vláda pokračovala v plošných dotáciách plynu</w:t>
      </w:r>
      <w:r w:rsidR="005C557C">
        <w:t>,</w:t>
      </w:r>
      <w:r w:rsidR="002D2AEA">
        <w:t xml:space="preserve"> zvýšilo by sa riziko rastu výdavkov, čo </w:t>
      </w:r>
      <w:r w:rsidR="00E82B4A">
        <w:t>by mohlo</w:t>
      </w:r>
      <w:r w:rsidR="002D2AEA">
        <w:t xml:space="preserve"> zaťažiť verejné financie a skomplikovať konsolidačné snahy. </w:t>
      </w:r>
      <w:r w:rsidRPr="005C557C">
        <w:rPr>
          <w:b/>
        </w:rPr>
        <w:t>NKÚ SR už v minuloročnom stanovisku odporúčal vláde zamerať podporu adresne na najzraniteľnejšie skupiny.</w:t>
      </w:r>
      <w:r>
        <w:t xml:space="preserve"> </w:t>
      </w:r>
    </w:p>
    <w:p w14:paraId="0E9A5639" w14:textId="1C0BDC96" w:rsidR="002D2AEA" w:rsidRDefault="002D2AEA" w:rsidP="002D2AEA">
      <w:r w:rsidRPr="0087188A">
        <w:rPr>
          <w:b/>
        </w:rPr>
        <w:t xml:space="preserve">Ďalšie riziko predstavuje </w:t>
      </w:r>
      <w:r w:rsidR="00387EF3">
        <w:rPr>
          <w:b/>
        </w:rPr>
        <w:t xml:space="preserve">nepriaznivý </w:t>
      </w:r>
      <w:r w:rsidRPr="0087188A">
        <w:rPr>
          <w:b/>
        </w:rPr>
        <w:t>demografický vývoj, ako aj odchod pracujúcich do predčasných dôchodkov.</w:t>
      </w:r>
      <w:r>
        <w:t xml:space="preserve"> Tento vývoj môže z veľkej časti obmedziť dostupnosť pracovnej sily a môže vyvolať tlak na zvyšovanie miezd, čo by malo nepriaznivý dopad na infláciu </w:t>
      </w:r>
      <w:r w:rsidR="00F0689C">
        <w:t xml:space="preserve">a </w:t>
      </w:r>
      <w:r>
        <w:t xml:space="preserve">aj </w:t>
      </w:r>
      <w:r w:rsidR="005C557C">
        <w:t xml:space="preserve">na </w:t>
      </w:r>
      <w:r>
        <w:t xml:space="preserve">celkové náklady podnikov. Nižší dopyt po pracovnej sile by mohol </w:t>
      </w:r>
      <w:r w:rsidR="00065556">
        <w:t xml:space="preserve">negatívne </w:t>
      </w:r>
      <w:r>
        <w:t>ovplyvniť mieru nezamestnanosti a celkovú výkonnosť ekonomiky.</w:t>
      </w:r>
    </w:p>
    <w:p w14:paraId="51EA8B05" w14:textId="0D6B02D3" w:rsidR="002D2AEA" w:rsidRDefault="005C557C" w:rsidP="002D2AEA">
      <w:r>
        <w:rPr>
          <w:b/>
        </w:rPr>
        <w:t>Medzi</w:t>
      </w:r>
      <w:r w:rsidR="002D2AEA" w:rsidRPr="0087188A">
        <w:rPr>
          <w:b/>
        </w:rPr>
        <w:t xml:space="preserve"> významn</w:t>
      </w:r>
      <w:r>
        <w:rPr>
          <w:b/>
        </w:rPr>
        <w:t>é</w:t>
      </w:r>
      <w:r w:rsidR="002D2AEA" w:rsidRPr="0087188A">
        <w:rPr>
          <w:b/>
        </w:rPr>
        <w:t xml:space="preserve"> riz</w:t>
      </w:r>
      <w:r>
        <w:rPr>
          <w:b/>
        </w:rPr>
        <w:t>i</w:t>
      </w:r>
      <w:r w:rsidR="002D2AEA" w:rsidRPr="0087188A">
        <w:rPr>
          <w:b/>
        </w:rPr>
        <w:t>k</w:t>
      </w:r>
      <w:r>
        <w:rPr>
          <w:b/>
        </w:rPr>
        <w:t>á</w:t>
      </w:r>
      <w:r w:rsidR="002D2AEA" w:rsidRPr="0087188A">
        <w:rPr>
          <w:b/>
        </w:rPr>
        <w:t xml:space="preserve"> patrí aj neistota súvisiaca s dodatočnými výdavkami, ktoré neboli explicitne zahrnuté v návrhu </w:t>
      </w:r>
      <w:r w:rsidR="00A23D74">
        <w:rPr>
          <w:b/>
        </w:rPr>
        <w:t>RVS</w:t>
      </w:r>
      <w:r w:rsidR="002D2AEA" w:rsidRPr="0087188A">
        <w:rPr>
          <w:b/>
        </w:rPr>
        <w:t xml:space="preserve"> na roky 2025 až 2027.</w:t>
      </w:r>
      <w:r w:rsidR="002D2AEA">
        <w:t xml:space="preserve"> </w:t>
      </w:r>
      <w:r w:rsidR="00065556">
        <w:t xml:space="preserve">Napríklad </w:t>
      </w:r>
      <w:r w:rsidR="002D2AEA">
        <w:t>M</w:t>
      </w:r>
      <w:r w:rsidR="006A1006">
        <w:t>D</w:t>
      </w:r>
      <w:r w:rsidR="002D2AEA">
        <w:t xml:space="preserve"> SR zvažuje zriadenie štátom dotovanej leteckej linky medzi Bratislavou a Košicami</w:t>
      </w:r>
      <w:r w:rsidR="002D2AEA">
        <w:rPr>
          <w:rStyle w:val="Odkaznapoznmkupodiarou"/>
        </w:rPr>
        <w:footnoteReference w:id="1"/>
      </w:r>
      <w:r w:rsidR="002D2AEA">
        <w:t>, čo je krok, ktorý ide proti deklarovanej konsolidácii verejných financií. Navyše, tento projekt nie je zahrnutý v</w:t>
      </w:r>
      <w:r w:rsidR="00065556">
        <w:t> návrhu RVS</w:t>
      </w:r>
      <w:r w:rsidR="002D2AEA">
        <w:t xml:space="preserve"> na rok 2025, takže jeho náklady nie sú známe a môž</w:t>
      </w:r>
      <w:r w:rsidR="001D5BF7">
        <w:t>e</w:t>
      </w:r>
      <w:r w:rsidR="002D2AEA">
        <w:t xml:space="preserve"> predstavovať </w:t>
      </w:r>
      <w:r w:rsidR="00065556">
        <w:t>aj</w:t>
      </w:r>
      <w:r w:rsidR="002D2AEA">
        <w:t xml:space="preserve"> ďalšie výdavky pre štát v</w:t>
      </w:r>
      <w:r w:rsidR="001D5BF7">
        <w:t xml:space="preserve"> nasledujúcich</w:t>
      </w:r>
      <w:r w:rsidR="002D2AEA">
        <w:t xml:space="preserve"> rokoch.</w:t>
      </w:r>
    </w:p>
    <w:p w14:paraId="75D0BD21" w14:textId="70C15183" w:rsidR="000E5B51" w:rsidRPr="004E70E3" w:rsidRDefault="002D2AEA" w:rsidP="00065556">
      <w:r w:rsidRPr="0087188A">
        <w:rPr>
          <w:b/>
        </w:rPr>
        <w:t xml:space="preserve">NKÚ SR </w:t>
      </w:r>
      <w:r w:rsidR="00E95E41">
        <w:rPr>
          <w:b/>
        </w:rPr>
        <w:t>upozorňuje na</w:t>
      </w:r>
      <w:r w:rsidRPr="0087188A">
        <w:rPr>
          <w:b/>
        </w:rPr>
        <w:t xml:space="preserve"> </w:t>
      </w:r>
      <w:r w:rsidR="00E82B4A">
        <w:rPr>
          <w:b/>
        </w:rPr>
        <w:t>to, že</w:t>
      </w:r>
      <w:r w:rsidRPr="0087188A">
        <w:rPr>
          <w:b/>
        </w:rPr>
        <w:t xml:space="preserve"> konsolidačn</w:t>
      </w:r>
      <w:r w:rsidR="00E82B4A">
        <w:rPr>
          <w:b/>
        </w:rPr>
        <w:t>ý</w:t>
      </w:r>
      <w:r w:rsidRPr="0087188A">
        <w:rPr>
          <w:b/>
        </w:rPr>
        <w:t xml:space="preserve"> balík</w:t>
      </w:r>
      <w:r w:rsidR="00E82B4A">
        <w:rPr>
          <w:b/>
        </w:rPr>
        <w:t xml:space="preserve"> bol schválený</w:t>
      </w:r>
      <w:r w:rsidRPr="0087188A">
        <w:rPr>
          <w:b/>
        </w:rPr>
        <w:t xml:space="preserve"> v skrátenom legislatívnom konaní bez potrebnej diskusie s odbornou verejnosťou.</w:t>
      </w:r>
      <w:r>
        <w:rPr>
          <w:b/>
        </w:rPr>
        <w:t xml:space="preserve"> </w:t>
      </w:r>
      <w:r>
        <w:t>V dôsledku toho sa objavuj</w:t>
      </w:r>
      <w:r w:rsidR="006A1006">
        <w:t>e</w:t>
      </w:r>
      <w:r>
        <w:t xml:space="preserve"> potreb</w:t>
      </w:r>
      <w:r w:rsidR="006A1006">
        <w:t>a</w:t>
      </w:r>
      <w:r>
        <w:t xml:space="preserve"> novelizovať zákony, čo môže vytvárať nové rizika v rámci návrhu </w:t>
      </w:r>
      <w:r w:rsidR="006A1006">
        <w:t>RVS</w:t>
      </w:r>
      <w:r>
        <w:t xml:space="preserve"> na roky 2025 až 2027</w:t>
      </w:r>
      <w:r w:rsidR="001D5BF7">
        <w:t xml:space="preserve"> a jeho následného plnenia</w:t>
      </w:r>
      <w:r>
        <w:t xml:space="preserve">. </w:t>
      </w:r>
      <w:r w:rsidR="00215A2E">
        <w:t xml:space="preserve">Tieto dodatočné úpravy zákonov nie sú zapracované do rozpočtu, čím vzniká riziko, že príjmové opatrenia neprinesú očakávaný výnos, plánované úspory sa nepodarí dosiahnuť v plnom rozsahu alebo že sa výdavky štátu môžu nepredvídane zvýšiť. </w:t>
      </w:r>
      <w:r w:rsidR="00186781">
        <w:t xml:space="preserve">Zároveň nie sú známe ďalšie konsolidačné opatrenia potrebné na dosiahnutie fiškálnych cieľov pre deficit a dlh po roku 2025. </w:t>
      </w:r>
      <w:r w:rsidR="000E5B51" w:rsidRPr="000C724E">
        <w:rPr>
          <w:rFonts w:eastAsiaTheme="majorEastAsia" w:cstheme="majorBidi"/>
          <w:b/>
          <w:color w:val="314364"/>
          <w:position w:val="10"/>
          <w:sz w:val="32"/>
          <w:szCs w:val="32"/>
        </w:rPr>
        <w:br w:type="page"/>
      </w:r>
    </w:p>
    <w:p w14:paraId="59F546D8" w14:textId="5FF04EA7" w:rsidR="00BD3507" w:rsidRDefault="00092577" w:rsidP="00BF2818">
      <w:pPr>
        <w:pStyle w:val="Nadpis1"/>
      </w:pPr>
      <w:bookmarkStart w:id="6" w:name="_Toc86396373"/>
      <w:bookmarkStart w:id="7" w:name="_Toc182559173"/>
      <w:bookmarkEnd w:id="4"/>
      <w:r>
        <w:lastRenderedPageBreak/>
        <w:t>Východiskový rámec návrhu RVS</w:t>
      </w:r>
      <w:bookmarkEnd w:id="6"/>
      <w:bookmarkEnd w:id="7"/>
    </w:p>
    <w:p w14:paraId="781D873C" w14:textId="7A205A33" w:rsidR="00C15618" w:rsidRDefault="00C15618" w:rsidP="00C15618">
      <w:pPr>
        <w:rPr>
          <w:rFonts w:cs="Segoe UI"/>
          <w:szCs w:val="20"/>
          <w:lang w:eastAsia="sk-SK"/>
        </w:rPr>
      </w:pPr>
      <w:r w:rsidRPr="00AD2A04">
        <w:rPr>
          <w:rFonts w:cs="Segoe UI"/>
          <w:b/>
          <w:szCs w:val="20"/>
          <w:lang w:eastAsia="sk-SK"/>
        </w:rPr>
        <w:t xml:space="preserve">Počas </w:t>
      </w:r>
      <w:r w:rsidR="00E95E41">
        <w:rPr>
          <w:rFonts w:cs="Segoe UI"/>
          <w:b/>
          <w:szCs w:val="20"/>
          <w:lang w:eastAsia="sk-SK"/>
        </w:rPr>
        <w:t>prvej</w:t>
      </w:r>
      <w:r>
        <w:rPr>
          <w:rFonts w:cs="Segoe UI"/>
          <w:b/>
          <w:szCs w:val="20"/>
          <w:lang w:eastAsia="sk-SK"/>
        </w:rPr>
        <w:t xml:space="preserve"> polovice </w:t>
      </w:r>
      <w:r w:rsidRPr="00AD2A04">
        <w:rPr>
          <w:rFonts w:cs="Segoe UI"/>
          <w:b/>
          <w:szCs w:val="20"/>
          <w:lang w:eastAsia="sk-SK"/>
        </w:rPr>
        <w:t xml:space="preserve">roka 2024 nastali dve významné zmeny v právnom rámci upravujúcom rozpočtové riadenie </w:t>
      </w:r>
      <w:r w:rsidRPr="00C40315">
        <w:rPr>
          <w:rFonts w:cs="Segoe UI"/>
          <w:szCs w:val="20"/>
          <w:lang w:eastAsia="sk-SK"/>
        </w:rPr>
        <w:t>(fiškálnu politiku)</w:t>
      </w:r>
      <w:r w:rsidRPr="00AD2A04">
        <w:rPr>
          <w:rFonts w:cs="Segoe UI"/>
          <w:b/>
          <w:szCs w:val="20"/>
          <w:lang w:eastAsia="sk-SK"/>
        </w:rPr>
        <w:t xml:space="preserve"> na národnej úrovni aj na úrovni EÚ.</w:t>
      </w:r>
      <w:r>
        <w:rPr>
          <w:rFonts w:cs="Segoe UI"/>
          <w:szCs w:val="20"/>
          <w:lang w:eastAsia="sk-SK"/>
        </w:rPr>
        <w:t xml:space="preserve"> Európsky parlament a Rada EÚ schválili nariadenie </w:t>
      </w:r>
      <w:r w:rsidRPr="002F6EC3">
        <w:rPr>
          <w:rFonts w:cs="Segoe UI"/>
          <w:szCs w:val="20"/>
          <w:lang w:eastAsia="sk-SK"/>
        </w:rPr>
        <w:t>o</w:t>
      </w:r>
      <w:r>
        <w:rPr>
          <w:rFonts w:cs="Segoe UI"/>
          <w:szCs w:val="20"/>
          <w:lang w:eastAsia="sk-SK"/>
        </w:rPr>
        <w:t> </w:t>
      </w:r>
      <w:r w:rsidRPr="002F6EC3">
        <w:rPr>
          <w:rFonts w:cs="Segoe UI"/>
          <w:szCs w:val="20"/>
          <w:lang w:eastAsia="sk-SK"/>
        </w:rPr>
        <w:t>účinnej koordinácii hospodárskych politík a</w:t>
      </w:r>
      <w:r>
        <w:rPr>
          <w:rFonts w:cs="Segoe UI"/>
          <w:szCs w:val="20"/>
          <w:lang w:eastAsia="sk-SK"/>
        </w:rPr>
        <w:t> </w:t>
      </w:r>
      <w:r w:rsidRPr="002F6EC3">
        <w:rPr>
          <w:rFonts w:cs="Segoe UI"/>
          <w:szCs w:val="20"/>
          <w:lang w:eastAsia="sk-SK"/>
        </w:rPr>
        <w:t>mn</w:t>
      </w:r>
      <w:r>
        <w:rPr>
          <w:rFonts w:cs="Segoe UI"/>
          <w:szCs w:val="20"/>
          <w:lang w:eastAsia="sk-SK"/>
        </w:rPr>
        <w:t>ohostrannom rozpočtovom dohľade</w:t>
      </w:r>
      <w:r>
        <w:rPr>
          <w:rStyle w:val="Odkaznapoznmkupodiarou"/>
          <w:rFonts w:cs="Segoe UI"/>
          <w:szCs w:val="20"/>
          <w:lang w:eastAsia="sk-SK"/>
        </w:rPr>
        <w:footnoteReference w:id="2"/>
      </w:r>
      <w:r>
        <w:rPr>
          <w:rFonts w:cs="Segoe UI"/>
          <w:szCs w:val="20"/>
          <w:lang w:eastAsia="sk-SK"/>
        </w:rPr>
        <w:t>. Niektoré časti tohto nariadenia bolo potrebné upraviť na národnej úrovni prostredníctvom novely zákona o rozpočtových pravidlách VS</w:t>
      </w:r>
      <w:r w:rsidR="002B7F25">
        <w:rPr>
          <w:rFonts w:cs="Segoe UI"/>
          <w:szCs w:val="20"/>
          <w:lang w:eastAsia="sk-SK"/>
        </w:rPr>
        <w:t xml:space="preserve"> (RPVS)</w:t>
      </w:r>
      <w:r>
        <w:rPr>
          <w:rStyle w:val="Odkaznapoznmkupodiarou"/>
          <w:rFonts w:cs="Segoe UI"/>
          <w:szCs w:val="20"/>
          <w:lang w:eastAsia="sk-SK"/>
        </w:rPr>
        <w:footnoteReference w:id="3"/>
      </w:r>
      <w:r w:rsidR="001401BC">
        <w:rPr>
          <w:rFonts w:cs="Segoe UI"/>
          <w:szCs w:val="20"/>
          <w:lang w:eastAsia="sk-SK"/>
        </w:rPr>
        <w:t>.</w:t>
      </w:r>
    </w:p>
    <w:p w14:paraId="1FD9FFCA" w14:textId="1652D06C" w:rsidR="00C15618" w:rsidRDefault="00C15618" w:rsidP="00C15618">
      <w:pPr>
        <w:rPr>
          <w:rFonts w:cs="Segoe UI"/>
          <w:szCs w:val="20"/>
          <w:lang w:eastAsia="sk-SK"/>
        </w:rPr>
      </w:pPr>
      <w:r w:rsidRPr="00AD2A04">
        <w:rPr>
          <w:rFonts w:cs="Segoe UI"/>
          <w:b/>
          <w:szCs w:val="20"/>
          <w:lang w:eastAsia="sk-SK"/>
        </w:rPr>
        <w:t xml:space="preserve">Nové pravidlá na </w:t>
      </w:r>
      <w:r>
        <w:rPr>
          <w:rFonts w:cs="Segoe UI"/>
          <w:b/>
          <w:szCs w:val="20"/>
          <w:lang w:eastAsia="sk-SK"/>
        </w:rPr>
        <w:t>e</w:t>
      </w:r>
      <w:r w:rsidRPr="00AD2A04">
        <w:rPr>
          <w:rFonts w:cs="Segoe UI"/>
          <w:b/>
          <w:szCs w:val="20"/>
          <w:lang w:eastAsia="sk-SK"/>
        </w:rPr>
        <w:t xml:space="preserve">urópskej úrovni upravujú </w:t>
      </w:r>
      <w:r>
        <w:rPr>
          <w:rFonts w:cs="Segoe UI"/>
          <w:b/>
          <w:szCs w:val="20"/>
          <w:lang w:eastAsia="sk-SK"/>
        </w:rPr>
        <w:t>aj</w:t>
      </w:r>
      <w:r w:rsidRPr="00AD2A04">
        <w:rPr>
          <w:rFonts w:cs="Segoe UI"/>
          <w:b/>
          <w:szCs w:val="20"/>
          <w:lang w:eastAsia="sk-SK"/>
        </w:rPr>
        <w:t xml:space="preserve"> tzv. Európsky semester</w:t>
      </w:r>
      <w:r>
        <w:rPr>
          <w:rStyle w:val="Odkaznapoznmkupodiarou"/>
          <w:rFonts w:cs="Segoe UI"/>
          <w:szCs w:val="20"/>
          <w:lang w:eastAsia="sk-SK"/>
        </w:rPr>
        <w:footnoteReference w:id="4"/>
      </w:r>
      <w:r w:rsidRPr="00AD2A04">
        <w:rPr>
          <w:rFonts w:cs="Segoe UI"/>
          <w:b/>
          <w:szCs w:val="20"/>
          <w:lang w:eastAsia="sk-SK"/>
        </w:rPr>
        <w:t>, v rámci ktorého sa predkladal Národný program reforiem a Program stability.</w:t>
      </w:r>
      <w:r>
        <w:rPr>
          <w:rFonts w:cs="Segoe UI"/>
          <w:szCs w:val="20"/>
          <w:lang w:eastAsia="sk-SK"/>
        </w:rPr>
        <w:t xml:space="preserve"> </w:t>
      </w:r>
      <w:r w:rsidRPr="00CD3054">
        <w:rPr>
          <w:rFonts w:cs="Segoe UI"/>
          <w:b/>
          <w:szCs w:val="20"/>
          <w:lang w:eastAsia="sk-SK"/>
        </w:rPr>
        <w:t>Podľa nových pravidiel</w:t>
      </w:r>
      <w:r w:rsidRPr="003E3BCC">
        <w:rPr>
          <w:rFonts w:cs="Segoe UI"/>
          <w:szCs w:val="20"/>
          <w:lang w:eastAsia="sk-SK"/>
        </w:rPr>
        <w:t xml:space="preserve">, ktoré </w:t>
      </w:r>
      <w:r>
        <w:rPr>
          <w:rFonts w:cs="Segoe UI"/>
          <w:szCs w:val="20"/>
          <w:lang w:eastAsia="sk-SK"/>
        </w:rPr>
        <w:t>platia</w:t>
      </w:r>
      <w:r w:rsidRPr="003E3BCC">
        <w:rPr>
          <w:rFonts w:cs="Segoe UI"/>
          <w:szCs w:val="20"/>
          <w:lang w:eastAsia="sk-SK"/>
        </w:rPr>
        <w:t xml:space="preserve"> od 30. apríla</w:t>
      </w:r>
      <w:r>
        <w:rPr>
          <w:rFonts w:cs="Segoe UI"/>
          <w:szCs w:val="20"/>
          <w:lang w:eastAsia="sk-SK"/>
        </w:rPr>
        <w:t xml:space="preserve"> 2024</w:t>
      </w:r>
      <w:r w:rsidRPr="003E3BCC">
        <w:rPr>
          <w:rFonts w:cs="Segoe UI"/>
          <w:szCs w:val="20"/>
          <w:lang w:eastAsia="sk-SK"/>
        </w:rPr>
        <w:t xml:space="preserve">, </w:t>
      </w:r>
      <w:r w:rsidRPr="00CD3054">
        <w:rPr>
          <w:rFonts w:cs="Segoe UI"/>
          <w:b/>
          <w:szCs w:val="20"/>
          <w:lang w:eastAsia="sk-SK"/>
        </w:rPr>
        <w:t>ich</w:t>
      </w:r>
      <w:r>
        <w:rPr>
          <w:rFonts w:cs="Segoe UI"/>
          <w:szCs w:val="20"/>
          <w:lang w:eastAsia="sk-SK"/>
        </w:rPr>
        <w:t xml:space="preserve"> </w:t>
      </w:r>
      <w:r w:rsidRPr="00AD2A04">
        <w:rPr>
          <w:rFonts w:cs="Segoe UI"/>
          <w:b/>
          <w:szCs w:val="20"/>
          <w:lang w:eastAsia="sk-SK"/>
        </w:rPr>
        <w:t>nahrádzajú</w:t>
      </w:r>
      <w:r>
        <w:rPr>
          <w:rFonts w:cs="Segoe UI"/>
          <w:szCs w:val="20"/>
          <w:lang w:eastAsia="sk-SK"/>
        </w:rPr>
        <w:t xml:space="preserve"> </w:t>
      </w:r>
      <w:r w:rsidR="00294F1F" w:rsidRPr="00294F1F">
        <w:rPr>
          <w:rFonts w:cs="Segoe UI"/>
          <w:b/>
          <w:szCs w:val="20"/>
          <w:lang w:eastAsia="sk-SK"/>
        </w:rPr>
        <w:t>národné</w:t>
      </w:r>
      <w:r w:rsidR="00294F1F">
        <w:rPr>
          <w:rFonts w:cs="Segoe UI"/>
          <w:szCs w:val="20"/>
          <w:lang w:eastAsia="sk-SK"/>
        </w:rPr>
        <w:t xml:space="preserve"> </w:t>
      </w:r>
      <w:r w:rsidRPr="003E3BCC">
        <w:rPr>
          <w:rFonts w:cs="Segoe UI"/>
          <w:b/>
          <w:szCs w:val="20"/>
          <w:lang w:eastAsia="sk-SK"/>
        </w:rPr>
        <w:t>strednodobé fiškálno-štrukturálne plány</w:t>
      </w:r>
      <w:r w:rsidR="001D5BF7">
        <w:rPr>
          <w:rFonts w:cs="Segoe UI"/>
          <w:szCs w:val="20"/>
          <w:lang w:eastAsia="sk-SK"/>
        </w:rPr>
        <w:t xml:space="preserve"> (MTP)</w:t>
      </w:r>
      <w:r w:rsidRPr="001D5BF7">
        <w:rPr>
          <w:rStyle w:val="Odkaznapoznmkupodiarou"/>
          <w:rFonts w:cs="Segoe UI"/>
          <w:szCs w:val="20"/>
          <w:lang w:eastAsia="sk-SK"/>
        </w:rPr>
        <w:footnoteReference w:id="5"/>
      </w:r>
      <w:r w:rsidRPr="001D5BF7">
        <w:rPr>
          <w:rFonts w:cs="Segoe UI"/>
          <w:szCs w:val="20"/>
          <w:lang w:eastAsia="sk-SK"/>
        </w:rPr>
        <w:t>,</w:t>
      </w:r>
      <w:r>
        <w:rPr>
          <w:rFonts w:cs="Segoe UI"/>
          <w:szCs w:val="20"/>
          <w:lang w:eastAsia="sk-SK"/>
        </w:rPr>
        <w:t xml:space="preserve"> ktoré </w:t>
      </w:r>
      <w:r w:rsidRPr="003E3BCC">
        <w:rPr>
          <w:rFonts w:cs="Segoe UI"/>
          <w:szCs w:val="20"/>
          <w:lang w:eastAsia="sk-SK"/>
        </w:rPr>
        <w:t>členské štáty vyprac</w:t>
      </w:r>
      <w:r>
        <w:rPr>
          <w:rFonts w:cs="Segoe UI"/>
          <w:szCs w:val="20"/>
          <w:lang w:eastAsia="sk-SK"/>
        </w:rPr>
        <w:t>úva</w:t>
      </w:r>
      <w:r w:rsidRPr="003E3BCC">
        <w:rPr>
          <w:rFonts w:cs="Segoe UI"/>
          <w:szCs w:val="20"/>
          <w:lang w:eastAsia="sk-SK"/>
        </w:rPr>
        <w:t>jú na jeseň</w:t>
      </w:r>
      <w:r>
        <w:rPr>
          <w:rFonts w:cs="Segoe UI"/>
          <w:szCs w:val="20"/>
          <w:lang w:eastAsia="sk-SK"/>
        </w:rPr>
        <w:t xml:space="preserve"> a </w:t>
      </w:r>
      <w:r w:rsidRPr="003E3BCC">
        <w:rPr>
          <w:rFonts w:cs="Segoe UI"/>
          <w:szCs w:val="20"/>
          <w:lang w:eastAsia="sk-SK"/>
        </w:rPr>
        <w:t>v</w:t>
      </w:r>
      <w:r>
        <w:rPr>
          <w:rFonts w:cs="Segoe UI"/>
          <w:szCs w:val="20"/>
          <w:lang w:eastAsia="sk-SK"/>
        </w:rPr>
        <w:t> </w:t>
      </w:r>
      <w:r w:rsidRPr="003E3BCC">
        <w:rPr>
          <w:rFonts w:cs="Segoe UI"/>
          <w:szCs w:val="20"/>
          <w:lang w:eastAsia="sk-SK"/>
        </w:rPr>
        <w:t>ktorých stanovia vývoj svojich výdavkov a</w:t>
      </w:r>
      <w:r>
        <w:rPr>
          <w:rFonts w:cs="Segoe UI"/>
          <w:szCs w:val="20"/>
          <w:lang w:eastAsia="sk-SK"/>
        </w:rPr>
        <w:t> </w:t>
      </w:r>
      <w:r w:rsidRPr="003E3BCC">
        <w:rPr>
          <w:rFonts w:cs="Segoe UI"/>
          <w:szCs w:val="20"/>
          <w:lang w:eastAsia="sk-SK"/>
        </w:rPr>
        <w:t>svoje prioritné reformy a</w:t>
      </w:r>
      <w:r>
        <w:rPr>
          <w:rFonts w:cs="Segoe UI"/>
          <w:szCs w:val="20"/>
          <w:lang w:eastAsia="sk-SK"/>
        </w:rPr>
        <w:t> </w:t>
      </w:r>
      <w:r w:rsidRPr="003E3BCC">
        <w:rPr>
          <w:rFonts w:cs="Segoe UI"/>
          <w:szCs w:val="20"/>
          <w:lang w:eastAsia="sk-SK"/>
        </w:rPr>
        <w:t>invest</w:t>
      </w:r>
      <w:r>
        <w:rPr>
          <w:rFonts w:cs="Segoe UI"/>
          <w:szCs w:val="20"/>
          <w:lang w:eastAsia="sk-SK"/>
        </w:rPr>
        <w:t xml:space="preserve">ície. </w:t>
      </w:r>
      <w:r w:rsidRPr="003E3BCC">
        <w:rPr>
          <w:rFonts w:cs="Segoe UI"/>
          <w:szCs w:val="20"/>
          <w:lang w:eastAsia="sk-SK"/>
        </w:rPr>
        <w:t>Plány sa vzťahujú na obdobie najmenej štyroch rokov, a to v závislosti od dĺžky funkčného obdobia vnútroštátneho zákonodarcu.</w:t>
      </w:r>
      <w:r>
        <w:rPr>
          <w:rFonts w:cs="Segoe UI"/>
          <w:szCs w:val="20"/>
          <w:lang w:eastAsia="sk-SK"/>
        </w:rPr>
        <w:t xml:space="preserve"> Obdobie úprav v rámci plánu trvá spravidla </w:t>
      </w:r>
      <w:r w:rsidR="0043575B">
        <w:rPr>
          <w:rFonts w:cs="Segoe UI"/>
          <w:szCs w:val="20"/>
          <w:lang w:eastAsia="sk-SK"/>
        </w:rPr>
        <w:t xml:space="preserve">štyri roky s možnosťou predĺženia </w:t>
      </w:r>
      <w:r>
        <w:rPr>
          <w:rFonts w:cs="Segoe UI"/>
          <w:szCs w:val="20"/>
          <w:lang w:eastAsia="sk-SK"/>
        </w:rPr>
        <w:t>na sedem</w:t>
      </w:r>
      <w:r w:rsidR="00585F1C">
        <w:rPr>
          <w:rFonts w:cs="Segoe UI"/>
          <w:szCs w:val="20"/>
          <w:lang w:eastAsia="sk-SK"/>
        </w:rPr>
        <w:t xml:space="preserve"> rokov</w:t>
      </w:r>
      <w:r w:rsidR="002B7F25">
        <w:rPr>
          <w:rFonts w:cs="Segoe UI"/>
          <w:szCs w:val="20"/>
          <w:lang w:eastAsia="sk-SK"/>
        </w:rPr>
        <w:t xml:space="preserve"> za cenu vyššej záväznosti.</w:t>
      </w:r>
    </w:p>
    <w:p w14:paraId="39A24DA0" w14:textId="77777777" w:rsidR="00810195" w:rsidRDefault="00810195" w:rsidP="00810195">
      <w:pPr>
        <w:rPr>
          <w:rFonts w:cs="Segoe UI"/>
          <w:szCs w:val="20"/>
          <w:lang w:eastAsia="sk-SK"/>
        </w:rPr>
      </w:pPr>
      <w:r w:rsidRPr="00AD2A04">
        <w:rPr>
          <w:rFonts w:cs="Segoe UI"/>
          <w:b/>
          <w:szCs w:val="20"/>
          <w:lang w:eastAsia="sk-SK"/>
        </w:rPr>
        <w:t xml:space="preserve">MF SR pri navrhovaní úprav </w:t>
      </w:r>
      <w:r>
        <w:rPr>
          <w:rFonts w:cs="Segoe UI"/>
          <w:b/>
          <w:szCs w:val="20"/>
          <w:lang w:eastAsia="sk-SK"/>
        </w:rPr>
        <w:t>RPVS</w:t>
      </w:r>
      <w:r w:rsidRPr="00AD2A04">
        <w:rPr>
          <w:rFonts w:cs="Segoe UI"/>
          <w:b/>
          <w:szCs w:val="20"/>
          <w:lang w:eastAsia="sk-SK"/>
        </w:rPr>
        <w:t xml:space="preserve"> argumentovalo prekrývaním sa princípov </w:t>
      </w:r>
      <w:r>
        <w:rPr>
          <w:rFonts w:cs="Segoe UI"/>
          <w:b/>
          <w:szCs w:val="20"/>
          <w:lang w:eastAsia="sk-SK"/>
        </w:rPr>
        <w:t>MTP</w:t>
      </w:r>
      <w:r w:rsidRPr="00AD2A04">
        <w:rPr>
          <w:rFonts w:cs="Segoe UI"/>
          <w:b/>
          <w:szCs w:val="20"/>
          <w:lang w:eastAsia="sk-SK"/>
        </w:rPr>
        <w:t xml:space="preserve"> na nadnárodnej úrovni a nastavením limitov verejných výdavkov </w:t>
      </w:r>
      <w:r w:rsidRPr="0043575B">
        <w:rPr>
          <w:rFonts w:cs="Segoe UI"/>
          <w:szCs w:val="20"/>
          <w:lang w:eastAsia="sk-SK"/>
        </w:rPr>
        <w:t>(LVV)</w:t>
      </w:r>
      <w:r w:rsidRPr="00AD2A04">
        <w:rPr>
          <w:rFonts w:cs="Segoe UI"/>
          <w:b/>
          <w:szCs w:val="20"/>
          <w:lang w:eastAsia="sk-SK"/>
        </w:rPr>
        <w:t xml:space="preserve"> na národnej úrovni.</w:t>
      </w:r>
      <w:r>
        <w:rPr>
          <w:rFonts w:cs="Segoe UI"/>
          <w:szCs w:val="20"/>
          <w:lang w:eastAsia="sk-SK"/>
        </w:rPr>
        <w:t xml:space="preserve"> Novelou prešla zodpovednosť za stanovenie LVV z RRZ na MF SR, pričom LVV má byť v súlade s trajektóriou vývoja čistých výdavkov v MTP a RRZ vypracúva hodnotenie k výročnej správe o pokroku pri vykonávaní MTP. Vybrané zmeny v rozpočtových pravidlách sumarizuje box 1.</w:t>
      </w:r>
    </w:p>
    <w:tbl>
      <w:tblPr>
        <w:tblStyle w:val="Mriekatabuky1"/>
        <w:tblW w:w="0" w:type="auto"/>
        <w:tblBorders>
          <w:top w:val="single" w:sz="4" w:space="0" w:color="314364"/>
          <w:left w:val="single" w:sz="4" w:space="0" w:color="314364"/>
          <w:bottom w:val="single" w:sz="4" w:space="0" w:color="314364"/>
          <w:right w:val="single" w:sz="4" w:space="0" w:color="314364"/>
          <w:insideH w:val="none" w:sz="0" w:space="0" w:color="auto"/>
          <w:insideV w:val="none" w:sz="0" w:space="0" w:color="auto"/>
        </w:tblBorders>
        <w:shd w:val="clear" w:color="auto" w:fill="EBF0FB"/>
        <w:tblLook w:val="04A0" w:firstRow="1" w:lastRow="0" w:firstColumn="1" w:lastColumn="0" w:noHBand="0" w:noVBand="1"/>
      </w:tblPr>
      <w:tblGrid>
        <w:gridCol w:w="9060"/>
      </w:tblGrid>
      <w:tr w:rsidR="0061190B" w:rsidRPr="002772DE" w14:paraId="3993476D" w14:textId="77777777" w:rsidTr="006257C9">
        <w:tc>
          <w:tcPr>
            <w:tcW w:w="9060" w:type="dxa"/>
            <w:shd w:val="clear" w:color="auto" w:fill="EBF0FB"/>
          </w:tcPr>
          <w:p w14:paraId="153ECBA2" w14:textId="77777777" w:rsidR="0061190B" w:rsidRPr="002772DE" w:rsidRDefault="0061190B" w:rsidP="006257C9">
            <w:pPr>
              <w:spacing w:before="120"/>
              <w:ind w:right="163"/>
              <w:rPr>
                <w:rFonts w:cs="Times New Roman"/>
                <w:b/>
              </w:rPr>
            </w:pPr>
            <w:r>
              <w:rPr>
                <w:rFonts w:cs="Times New Roman"/>
                <w:b/>
              </w:rPr>
              <w:t>Box 1</w:t>
            </w:r>
            <w:r w:rsidRPr="002772DE">
              <w:rPr>
                <w:rFonts w:cs="Times New Roman"/>
                <w:b/>
              </w:rPr>
              <w:t xml:space="preserve">: </w:t>
            </w:r>
            <w:r>
              <w:rPr>
                <w:rFonts w:cs="Times New Roman"/>
                <w:b/>
              </w:rPr>
              <w:t>Vybrané zmeny rozpočtových pravidiel v SR</w:t>
            </w:r>
          </w:p>
          <w:p w14:paraId="2516CBC3" w14:textId="3A44C02A" w:rsidR="0061190B" w:rsidRPr="0087188A" w:rsidRDefault="0061190B" w:rsidP="00E95E41">
            <w:pPr>
              <w:pStyle w:val="Odsekzoznamu"/>
              <w:numPr>
                <w:ilvl w:val="0"/>
                <w:numId w:val="40"/>
              </w:numPr>
              <w:rPr>
                <w:rFonts w:eastAsia="Times New Roman" w:cs="Segoe UI"/>
                <w:sz w:val="18"/>
                <w:szCs w:val="20"/>
              </w:rPr>
            </w:pPr>
            <w:r w:rsidRPr="0087188A">
              <w:rPr>
                <w:rFonts w:eastAsia="Times New Roman" w:cs="Segoe UI"/>
                <w:sz w:val="18"/>
                <w:szCs w:val="20"/>
              </w:rPr>
              <w:t xml:space="preserve">rozpočet vychádza z </w:t>
            </w:r>
            <w:r w:rsidR="001D5BF7">
              <w:rPr>
                <w:rFonts w:eastAsia="Times New Roman" w:cs="Segoe UI"/>
                <w:sz w:val="18"/>
                <w:szCs w:val="20"/>
              </w:rPr>
              <w:t>MTP</w:t>
            </w:r>
            <w:r w:rsidRPr="0087188A">
              <w:rPr>
                <w:rFonts w:eastAsia="Times New Roman" w:cs="Segoe UI"/>
                <w:sz w:val="18"/>
                <w:szCs w:val="20"/>
              </w:rPr>
              <w:t xml:space="preserve">, </w:t>
            </w:r>
            <w:r w:rsidR="001D5BF7">
              <w:rPr>
                <w:rFonts w:eastAsia="Times New Roman" w:cs="Segoe UI"/>
                <w:sz w:val="18"/>
                <w:szCs w:val="20"/>
              </w:rPr>
              <w:t xml:space="preserve">pričom jeho </w:t>
            </w:r>
            <w:r w:rsidRPr="0087188A">
              <w:rPr>
                <w:rFonts w:eastAsia="Times New Roman" w:cs="Segoe UI"/>
                <w:sz w:val="18"/>
                <w:szCs w:val="20"/>
              </w:rPr>
              <w:t>súčasťou sú LVV, ktoré sa schvaľujú súčasne so zákonom o ŠR;</w:t>
            </w:r>
          </w:p>
          <w:p w14:paraId="7693BD5F" w14:textId="16383190" w:rsidR="0061190B" w:rsidRPr="0087188A" w:rsidRDefault="0061190B" w:rsidP="00E95E41">
            <w:pPr>
              <w:pStyle w:val="Odsekzoznamu"/>
              <w:numPr>
                <w:ilvl w:val="0"/>
                <w:numId w:val="40"/>
              </w:numPr>
              <w:rPr>
                <w:rFonts w:eastAsia="Times New Roman" w:cs="Segoe UI"/>
                <w:sz w:val="18"/>
                <w:szCs w:val="20"/>
              </w:rPr>
            </w:pPr>
            <w:r w:rsidRPr="0087188A">
              <w:rPr>
                <w:rFonts w:eastAsia="Times New Roman" w:cs="Segoe UI"/>
                <w:sz w:val="18"/>
                <w:szCs w:val="20"/>
              </w:rPr>
              <w:t xml:space="preserve">LVV je naviazaný na vývoj čistých výdavkov v </w:t>
            </w:r>
            <w:r w:rsidR="001D5BF7">
              <w:rPr>
                <w:rFonts w:eastAsia="Times New Roman" w:cs="Segoe UI"/>
                <w:sz w:val="18"/>
                <w:szCs w:val="20"/>
              </w:rPr>
              <w:t>MTP</w:t>
            </w:r>
            <w:r w:rsidRPr="0087188A">
              <w:rPr>
                <w:rFonts w:eastAsia="Times New Roman" w:cs="Segoe UI"/>
                <w:sz w:val="18"/>
                <w:szCs w:val="20"/>
              </w:rPr>
              <w:t>;</w:t>
            </w:r>
          </w:p>
          <w:p w14:paraId="1CD4D4EF" w14:textId="624B295D" w:rsidR="0061190B" w:rsidRPr="0087188A" w:rsidRDefault="0061190B" w:rsidP="00E95E41">
            <w:pPr>
              <w:pStyle w:val="Odsekzoznamu"/>
              <w:numPr>
                <w:ilvl w:val="0"/>
                <w:numId w:val="40"/>
              </w:numPr>
              <w:rPr>
                <w:rFonts w:eastAsia="Times New Roman" w:cs="Segoe UI"/>
                <w:sz w:val="18"/>
                <w:szCs w:val="20"/>
              </w:rPr>
            </w:pPr>
            <w:r w:rsidRPr="0087188A">
              <w:rPr>
                <w:rFonts w:eastAsia="Times New Roman" w:cs="Segoe UI"/>
                <w:sz w:val="18"/>
                <w:szCs w:val="20"/>
              </w:rPr>
              <w:t>MF SR</w:t>
            </w:r>
            <w:r w:rsidR="00294F1F">
              <w:rPr>
                <w:rFonts w:eastAsia="Times New Roman" w:cs="Segoe UI"/>
                <w:sz w:val="18"/>
                <w:szCs w:val="20"/>
              </w:rPr>
              <w:t xml:space="preserve"> pripravuje</w:t>
            </w:r>
            <w:r w:rsidRPr="0087188A">
              <w:rPr>
                <w:rFonts w:eastAsia="Times New Roman" w:cs="Segoe UI"/>
                <w:sz w:val="18"/>
                <w:szCs w:val="20"/>
              </w:rPr>
              <w:t xml:space="preserve"> každoročnú správu o vykonávaní </w:t>
            </w:r>
            <w:r w:rsidR="001D5BF7">
              <w:rPr>
                <w:rFonts w:eastAsia="Times New Roman" w:cs="Segoe UI"/>
                <w:sz w:val="18"/>
                <w:szCs w:val="20"/>
              </w:rPr>
              <w:t>MTP</w:t>
            </w:r>
            <w:r w:rsidRPr="0087188A">
              <w:rPr>
                <w:rFonts w:eastAsia="Times New Roman" w:cs="Segoe UI"/>
                <w:sz w:val="18"/>
                <w:szCs w:val="20"/>
              </w:rPr>
              <w:t xml:space="preserve"> a RRZ vypracúva jej hodnotenie;</w:t>
            </w:r>
          </w:p>
          <w:p w14:paraId="2BF98C33" w14:textId="4BC54D55" w:rsidR="0061190B" w:rsidRPr="0087188A" w:rsidRDefault="0061190B" w:rsidP="00E95E41">
            <w:pPr>
              <w:pStyle w:val="Odsekzoznamu"/>
              <w:numPr>
                <w:ilvl w:val="0"/>
                <w:numId w:val="40"/>
              </w:numPr>
              <w:rPr>
                <w:rFonts w:eastAsia="Times New Roman" w:cs="Segoe UI"/>
                <w:sz w:val="18"/>
                <w:szCs w:val="20"/>
              </w:rPr>
            </w:pPr>
            <w:r w:rsidRPr="0087188A">
              <w:rPr>
                <w:rFonts w:eastAsia="Times New Roman" w:cs="Segoe UI"/>
                <w:sz w:val="18"/>
                <w:szCs w:val="20"/>
              </w:rPr>
              <w:t>vláda (MF SR) môže meniť limity na nižšej úrovni pri dodržaní schváleného LVV;</w:t>
            </w:r>
          </w:p>
          <w:p w14:paraId="1F843CEC" w14:textId="77777777" w:rsidR="0061190B" w:rsidRPr="0087188A" w:rsidRDefault="0061190B" w:rsidP="00E95E41">
            <w:pPr>
              <w:pStyle w:val="Odsekzoznamu"/>
              <w:numPr>
                <w:ilvl w:val="0"/>
                <w:numId w:val="40"/>
              </w:numPr>
              <w:rPr>
                <w:rFonts w:eastAsia="Times New Roman" w:cs="Segoe UI"/>
                <w:sz w:val="18"/>
                <w:szCs w:val="20"/>
              </w:rPr>
            </w:pPr>
            <w:r w:rsidRPr="0087188A">
              <w:rPr>
                <w:rFonts w:eastAsia="Times New Roman" w:cs="Segoe UI"/>
                <w:sz w:val="18"/>
                <w:szCs w:val="20"/>
              </w:rPr>
              <w:t>subjekty, ktoré sú súčasťou RVS a spadajú pod LVV, musia používať rozpočtový informačný systém (RIS), čo predstavuje ďalšie sprehľadnenie systému;</w:t>
            </w:r>
          </w:p>
          <w:p w14:paraId="2F21ECA6" w14:textId="77777777" w:rsidR="0061190B" w:rsidRPr="0087188A" w:rsidRDefault="0061190B" w:rsidP="00E95E41">
            <w:pPr>
              <w:pStyle w:val="Odsekzoznamu"/>
              <w:numPr>
                <w:ilvl w:val="0"/>
                <w:numId w:val="40"/>
              </w:numPr>
              <w:rPr>
                <w:rFonts w:eastAsia="Times New Roman" w:cs="Segoe UI"/>
                <w:sz w:val="18"/>
                <w:szCs w:val="20"/>
              </w:rPr>
            </w:pPr>
            <w:r w:rsidRPr="0087188A">
              <w:rPr>
                <w:rFonts w:eastAsia="Times New Roman" w:cs="Segoe UI"/>
                <w:sz w:val="18"/>
                <w:szCs w:val="20"/>
              </w:rPr>
              <w:t>koncoročné viazanie prostriedkov formálne navyšuje LVV v nasledujúcom roku;</w:t>
            </w:r>
          </w:p>
          <w:p w14:paraId="438057A6" w14:textId="77777777" w:rsidR="0061190B" w:rsidRPr="0087188A" w:rsidRDefault="0061190B" w:rsidP="00E95E41">
            <w:pPr>
              <w:pStyle w:val="Odsekzoznamu"/>
              <w:numPr>
                <w:ilvl w:val="0"/>
                <w:numId w:val="40"/>
              </w:numPr>
              <w:rPr>
                <w:rFonts w:eastAsia="Times New Roman" w:cs="Segoe UI"/>
                <w:sz w:val="18"/>
                <w:szCs w:val="20"/>
              </w:rPr>
            </w:pPr>
            <w:r w:rsidRPr="0087188A">
              <w:rPr>
                <w:rFonts w:eastAsia="Times New Roman" w:cs="Segoe UI"/>
                <w:sz w:val="18"/>
                <w:szCs w:val="20"/>
              </w:rPr>
              <w:t>vládne návrhy zákonov by nemali prekračovať LVV;</w:t>
            </w:r>
          </w:p>
          <w:p w14:paraId="2DAF4FC0" w14:textId="6DA10E5A" w:rsidR="0061190B" w:rsidRPr="0087188A" w:rsidRDefault="0061190B" w:rsidP="00B27F6C">
            <w:pPr>
              <w:pStyle w:val="Odsekzoznamu"/>
              <w:numPr>
                <w:ilvl w:val="0"/>
                <w:numId w:val="40"/>
              </w:numPr>
              <w:rPr>
                <w:rFonts w:eastAsia="Times New Roman" w:cs="Segoe UI"/>
                <w:sz w:val="18"/>
                <w:szCs w:val="20"/>
              </w:rPr>
            </w:pPr>
            <w:r w:rsidRPr="0087188A">
              <w:rPr>
                <w:rFonts w:eastAsia="Times New Roman" w:cs="Segoe UI"/>
                <w:sz w:val="18"/>
                <w:szCs w:val="20"/>
              </w:rPr>
              <w:t xml:space="preserve">zmeny </w:t>
            </w:r>
            <w:r w:rsidR="00810195">
              <w:rPr>
                <w:rFonts w:eastAsia="Times New Roman" w:cs="Segoe UI"/>
                <w:sz w:val="18"/>
                <w:szCs w:val="20"/>
              </w:rPr>
              <w:t>bo</w:t>
            </w:r>
            <w:r w:rsidRPr="0087188A">
              <w:rPr>
                <w:rFonts w:eastAsia="Times New Roman" w:cs="Segoe UI"/>
                <w:sz w:val="18"/>
                <w:szCs w:val="20"/>
              </w:rPr>
              <w:t xml:space="preserve">li aj </w:t>
            </w:r>
            <w:r w:rsidR="00810195">
              <w:rPr>
                <w:rFonts w:eastAsia="Times New Roman" w:cs="Segoe UI"/>
                <w:sz w:val="18"/>
                <w:szCs w:val="20"/>
              </w:rPr>
              <w:t>v lehotách použitia bežných a</w:t>
            </w:r>
            <w:r w:rsidRPr="0087188A">
              <w:rPr>
                <w:rFonts w:eastAsia="Times New Roman" w:cs="Segoe UI"/>
                <w:sz w:val="18"/>
                <w:szCs w:val="20"/>
              </w:rPr>
              <w:t xml:space="preserve"> kapitálových výdavko</w:t>
            </w:r>
            <w:r w:rsidR="00B27F6C">
              <w:rPr>
                <w:rFonts w:eastAsia="Times New Roman" w:cs="Segoe UI"/>
                <w:sz w:val="18"/>
                <w:szCs w:val="20"/>
              </w:rPr>
              <w:t>v</w:t>
            </w:r>
            <w:r w:rsidRPr="0087188A">
              <w:rPr>
                <w:rFonts w:eastAsia="Times New Roman" w:cs="Segoe UI"/>
                <w:sz w:val="18"/>
                <w:szCs w:val="20"/>
              </w:rPr>
              <w:t xml:space="preserve">, zúčtovaní dotácií </w:t>
            </w:r>
            <w:r w:rsidR="00810195">
              <w:rPr>
                <w:rFonts w:eastAsia="Times New Roman" w:cs="Segoe UI"/>
                <w:sz w:val="18"/>
                <w:szCs w:val="20"/>
              </w:rPr>
              <w:t>a</w:t>
            </w:r>
            <w:r w:rsidRPr="0087188A">
              <w:rPr>
                <w:rFonts w:eastAsia="Times New Roman" w:cs="Segoe UI"/>
                <w:sz w:val="18"/>
                <w:szCs w:val="20"/>
              </w:rPr>
              <w:t xml:space="preserve"> pri rezervách.</w:t>
            </w:r>
          </w:p>
        </w:tc>
      </w:tr>
    </w:tbl>
    <w:p w14:paraId="4B0E7DD6" w14:textId="69FCFF10" w:rsidR="00965B5C" w:rsidRPr="000C6806" w:rsidRDefault="00B2494E" w:rsidP="00965B5C">
      <w:pPr>
        <w:spacing w:before="120"/>
      </w:pPr>
      <w:bookmarkStart w:id="8" w:name="_Toc86919170"/>
      <w:bookmarkEnd w:id="8"/>
      <w:r>
        <w:rPr>
          <w:rFonts w:cs="Segoe UI"/>
          <w:b/>
          <w:szCs w:val="20"/>
          <w:lang w:eastAsia="sk-SK"/>
        </w:rPr>
        <w:t>MTP</w:t>
      </w:r>
      <w:r w:rsidR="001D5BF7">
        <w:rPr>
          <w:rFonts w:cs="Segoe UI"/>
          <w:b/>
          <w:szCs w:val="20"/>
          <w:lang w:eastAsia="sk-SK"/>
        </w:rPr>
        <w:t xml:space="preserve"> </w:t>
      </w:r>
      <w:r w:rsidR="00132205">
        <w:rPr>
          <w:rFonts w:cs="Segoe UI"/>
          <w:b/>
          <w:szCs w:val="20"/>
          <w:lang w:eastAsia="sk-SK"/>
        </w:rPr>
        <w:t xml:space="preserve">SR </w:t>
      </w:r>
      <w:r w:rsidR="001D5BF7">
        <w:rPr>
          <w:rFonts w:cs="Segoe UI"/>
          <w:b/>
          <w:szCs w:val="20"/>
          <w:lang w:eastAsia="sk-SK"/>
        </w:rPr>
        <w:t>na roky 2025 – 2028</w:t>
      </w:r>
      <w:r w:rsidR="001D5BF7">
        <w:rPr>
          <w:rFonts w:cs="Segoe UI"/>
          <w:szCs w:val="20"/>
          <w:lang w:eastAsia="sk-SK"/>
        </w:rPr>
        <w:t xml:space="preserve"> </w:t>
      </w:r>
      <w:r w:rsidR="00C15618">
        <w:rPr>
          <w:rFonts w:cs="Segoe UI"/>
          <w:b/>
          <w:szCs w:val="20"/>
          <w:lang w:eastAsia="sk-SK"/>
        </w:rPr>
        <w:t xml:space="preserve">bol prerokovaný na Hospodárskej a sociálnej rade SR jeden deň pred jeho predložením EK. </w:t>
      </w:r>
      <w:r w:rsidR="00C15618">
        <w:rPr>
          <w:rFonts w:cs="Segoe UI"/>
          <w:szCs w:val="20"/>
          <w:lang w:eastAsia="sk-SK"/>
        </w:rPr>
        <w:t>Podľa príslušného nariadenia EP a Rady EÚ</w:t>
      </w:r>
      <w:r w:rsidR="00C15618">
        <w:rPr>
          <w:rStyle w:val="Odkaznapoznmkupodiarou"/>
          <w:rFonts w:cs="Segoe UI"/>
          <w:szCs w:val="20"/>
          <w:lang w:eastAsia="sk-SK"/>
        </w:rPr>
        <w:footnoteReference w:id="6"/>
      </w:r>
      <w:r w:rsidR="00294F1F">
        <w:rPr>
          <w:rFonts w:cs="Segoe UI"/>
          <w:szCs w:val="20"/>
          <w:lang w:eastAsia="sk-SK"/>
        </w:rPr>
        <w:t xml:space="preserve"> </w:t>
      </w:r>
      <w:r w:rsidR="00C15618">
        <w:rPr>
          <w:rFonts w:cs="Segoe UI"/>
          <w:szCs w:val="20"/>
          <w:lang w:eastAsia="sk-SK"/>
        </w:rPr>
        <w:t xml:space="preserve">má členský štát </w:t>
      </w:r>
      <w:r w:rsidR="00810195">
        <w:rPr>
          <w:rFonts w:cs="Segoe UI"/>
          <w:szCs w:val="20"/>
          <w:lang w:eastAsia="sk-SK"/>
        </w:rPr>
        <w:t xml:space="preserve">pri prvom MTP možnosť a pri ďalších povinnosť </w:t>
      </w:r>
      <w:r w:rsidR="00C15618">
        <w:rPr>
          <w:rFonts w:cs="Segoe UI"/>
          <w:szCs w:val="20"/>
          <w:lang w:eastAsia="sk-SK"/>
        </w:rPr>
        <w:t xml:space="preserve">uskutočniť konzultácie </w:t>
      </w:r>
      <w:r w:rsidR="00C15618" w:rsidRPr="00CF0A1C">
        <w:rPr>
          <w:rFonts w:cs="Segoe UI"/>
          <w:szCs w:val="20"/>
          <w:lang w:eastAsia="sk-SK"/>
        </w:rPr>
        <w:t>s</w:t>
      </w:r>
      <w:r w:rsidR="00C15618">
        <w:rPr>
          <w:rFonts w:cs="Segoe UI"/>
          <w:szCs w:val="20"/>
          <w:lang w:eastAsia="sk-SK"/>
        </w:rPr>
        <w:t> </w:t>
      </w:r>
      <w:r w:rsidR="00C15618" w:rsidRPr="00CF0A1C">
        <w:rPr>
          <w:rFonts w:cs="Segoe UI"/>
          <w:szCs w:val="20"/>
          <w:lang w:eastAsia="sk-SK"/>
        </w:rPr>
        <w:t>občianskou spoločnosťou, sociálnymi partnermi, regionálnymi orgánmi a</w:t>
      </w:r>
      <w:r w:rsidR="00C15618">
        <w:rPr>
          <w:rFonts w:cs="Segoe UI"/>
          <w:szCs w:val="20"/>
          <w:lang w:eastAsia="sk-SK"/>
        </w:rPr>
        <w:t> </w:t>
      </w:r>
      <w:r w:rsidR="00C15618" w:rsidRPr="00CF0A1C">
        <w:rPr>
          <w:rFonts w:cs="Segoe UI"/>
          <w:szCs w:val="20"/>
          <w:lang w:eastAsia="sk-SK"/>
        </w:rPr>
        <w:t>ďalšími príslušnými zainteresovanými stranami</w:t>
      </w:r>
      <w:r w:rsidR="00C15618">
        <w:rPr>
          <w:rFonts w:cs="Segoe UI"/>
          <w:szCs w:val="20"/>
          <w:lang w:eastAsia="sk-SK"/>
        </w:rPr>
        <w:t xml:space="preserve">. </w:t>
      </w:r>
      <w:r w:rsidR="00C15618" w:rsidRPr="004007FF">
        <w:rPr>
          <w:rFonts w:cs="Segoe UI"/>
          <w:b/>
          <w:szCs w:val="20"/>
          <w:lang w:eastAsia="sk-SK"/>
        </w:rPr>
        <w:t xml:space="preserve">NKÚ SR konštatuje, že jeden deň nemôže byť považovaný za </w:t>
      </w:r>
      <w:r w:rsidR="00810195">
        <w:rPr>
          <w:rFonts w:cs="Segoe UI"/>
          <w:b/>
          <w:szCs w:val="20"/>
          <w:lang w:eastAsia="sk-SK"/>
        </w:rPr>
        <w:t>primeranú lehotu</w:t>
      </w:r>
      <w:r w:rsidR="00C15618" w:rsidRPr="004007FF">
        <w:rPr>
          <w:rFonts w:cs="Segoe UI"/>
          <w:b/>
          <w:szCs w:val="20"/>
          <w:lang w:eastAsia="sk-SK"/>
        </w:rPr>
        <w:t xml:space="preserve"> v zmysle nariadenia a odporúča v budúcnosti vyčleniť </w:t>
      </w:r>
      <w:r w:rsidR="00810195">
        <w:rPr>
          <w:rFonts w:cs="Segoe UI"/>
          <w:b/>
          <w:szCs w:val="20"/>
          <w:lang w:eastAsia="sk-SK"/>
        </w:rPr>
        <w:t>dostatočný</w:t>
      </w:r>
      <w:r w:rsidR="00C15618" w:rsidRPr="004007FF">
        <w:rPr>
          <w:rFonts w:cs="Segoe UI"/>
          <w:b/>
          <w:szCs w:val="20"/>
          <w:lang w:eastAsia="sk-SK"/>
        </w:rPr>
        <w:t xml:space="preserve"> časový priestor</w:t>
      </w:r>
      <w:r w:rsidR="00C15618" w:rsidRPr="00B2494E">
        <w:rPr>
          <w:rFonts w:cs="Segoe UI"/>
          <w:szCs w:val="20"/>
          <w:lang w:eastAsia="sk-SK"/>
        </w:rPr>
        <w:t>, aby konzultácie neboli len formálneho charakteru a aby ich vecné závery mohli byť zapracované do samotného dokumentu.</w:t>
      </w:r>
      <w:r w:rsidR="00C15618" w:rsidRPr="004007FF">
        <w:rPr>
          <w:rFonts w:cs="Segoe UI"/>
          <w:b/>
          <w:szCs w:val="20"/>
          <w:lang w:eastAsia="sk-SK"/>
        </w:rPr>
        <w:t xml:space="preserve"> </w:t>
      </w:r>
      <w:r w:rsidR="00411DDA">
        <w:rPr>
          <w:rFonts w:cs="Segoe UI"/>
          <w:b/>
          <w:szCs w:val="20"/>
          <w:lang w:eastAsia="sk-SK"/>
        </w:rPr>
        <w:t>NKÚ SR z</w:t>
      </w:r>
      <w:r w:rsidR="00E9301A">
        <w:rPr>
          <w:rFonts w:cs="Segoe UI"/>
          <w:b/>
          <w:szCs w:val="20"/>
          <w:lang w:eastAsia="sk-SK"/>
        </w:rPr>
        <w:t xml:space="preserve">ároveň upozorňuje, že </w:t>
      </w:r>
      <w:r w:rsidR="00F32162">
        <w:rPr>
          <w:rFonts w:cs="Segoe UI"/>
          <w:b/>
          <w:szCs w:val="20"/>
          <w:lang w:eastAsia="sk-SK"/>
        </w:rPr>
        <w:t xml:space="preserve">niektoré </w:t>
      </w:r>
      <w:r w:rsidR="00E9301A">
        <w:rPr>
          <w:rFonts w:cs="Segoe UI"/>
          <w:b/>
          <w:szCs w:val="20"/>
          <w:lang w:eastAsia="sk-SK"/>
        </w:rPr>
        <w:t xml:space="preserve">údaje ku konsolidačným opatreniam nie sú konzistentne uvedené v MTP a návrhu RVS. </w:t>
      </w:r>
      <w:r w:rsidR="00965B5C" w:rsidRPr="000C6806">
        <w:rPr>
          <w:rFonts w:cs="Segoe UI"/>
          <w:szCs w:val="20"/>
          <w:lang w:eastAsia="sk-SK"/>
        </w:rPr>
        <w:t xml:space="preserve">Celkový objem konsolidácie </w:t>
      </w:r>
      <w:r w:rsidR="00965B5C">
        <w:rPr>
          <w:rFonts w:cs="Segoe UI"/>
          <w:szCs w:val="20"/>
          <w:lang w:eastAsia="sk-SK"/>
        </w:rPr>
        <w:t xml:space="preserve">uvedený v MTP aj návrhu RVS na úrovni 2,7 mld. eur je </w:t>
      </w:r>
      <w:r w:rsidR="00965B5C">
        <w:rPr>
          <w:rFonts w:cs="Segoe UI"/>
          <w:szCs w:val="20"/>
          <w:lang w:eastAsia="sk-SK"/>
        </w:rPr>
        <w:lastRenderedPageBreak/>
        <w:t xml:space="preserve">rovnaký. Odlišná je ale prezentovaná štruktúra, pričom odlišnosti sú </w:t>
      </w:r>
      <w:r w:rsidR="00810195">
        <w:rPr>
          <w:rFonts w:cs="Segoe UI"/>
          <w:szCs w:val="20"/>
          <w:lang w:eastAsia="sk-SK"/>
        </w:rPr>
        <w:t xml:space="preserve">napríklad </w:t>
      </w:r>
      <w:r w:rsidR="00965B5C">
        <w:rPr>
          <w:rFonts w:cs="Segoe UI"/>
          <w:szCs w:val="20"/>
          <w:lang w:eastAsia="sk-SK"/>
        </w:rPr>
        <w:t xml:space="preserve">na príjmovej strane pri spotrebných daniach zo sladených nealkoholických nápojov a tabakových výrobkov a na výdavkovej strane pri tlmení </w:t>
      </w:r>
      <w:r w:rsidR="00965B5C" w:rsidRPr="00F60901">
        <w:rPr>
          <w:rFonts w:cs="Segoe UI"/>
          <w:szCs w:val="20"/>
          <w:lang w:eastAsia="sk-SK"/>
        </w:rPr>
        <w:t>rastu výdavkov na mzdovej obálke</w:t>
      </w:r>
      <w:r w:rsidR="00965B5C">
        <w:rPr>
          <w:rFonts w:cs="Segoe UI"/>
          <w:szCs w:val="20"/>
          <w:lang w:eastAsia="sk-SK"/>
        </w:rPr>
        <w:t xml:space="preserve">. </w:t>
      </w:r>
    </w:p>
    <w:p w14:paraId="5C8F5F2F" w14:textId="46375A3B" w:rsidR="00DA335D" w:rsidRDefault="00DA335D" w:rsidP="000D631B">
      <w:pPr>
        <w:pStyle w:val="Nadpis2"/>
      </w:pPr>
      <w:bookmarkStart w:id="9" w:name="_Toc182559174"/>
      <w:r w:rsidRPr="00DA335D">
        <w:t xml:space="preserve">Daňové a odvodové príjmy </w:t>
      </w:r>
      <w:r>
        <w:t>VS</w:t>
      </w:r>
      <w:bookmarkEnd w:id="9"/>
    </w:p>
    <w:p w14:paraId="1157747A" w14:textId="6A054E26" w:rsidR="00FA498D" w:rsidRDefault="00FA498D" w:rsidP="00FA498D">
      <w:pPr>
        <w:rPr>
          <w:b/>
        </w:rPr>
      </w:pPr>
      <w:r w:rsidRPr="00FA498D">
        <w:rPr>
          <w:b/>
        </w:rPr>
        <w:t xml:space="preserve">Daňovo-odvodová prognóza </w:t>
      </w:r>
      <w:r>
        <w:rPr>
          <w:b/>
        </w:rPr>
        <w:t>na rok 2025 bola</w:t>
      </w:r>
      <w:r w:rsidRPr="00FA498D">
        <w:rPr>
          <w:b/>
        </w:rPr>
        <w:t xml:space="preserve"> </w:t>
      </w:r>
      <w:r w:rsidR="001D5BF7">
        <w:rPr>
          <w:b/>
        </w:rPr>
        <w:t>priprav</w:t>
      </w:r>
      <w:r w:rsidR="003314A4">
        <w:rPr>
          <w:b/>
        </w:rPr>
        <w:t>ená</w:t>
      </w:r>
      <w:r w:rsidRPr="00FA498D">
        <w:rPr>
          <w:b/>
        </w:rPr>
        <w:t xml:space="preserve"> v komplikovaných podmienkach procesu</w:t>
      </w:r>
      <w:r>
        <w:rPr>
          <w:b/>
        </w:rPr>
        <w:t xml:space="preserve"> </w:t>
      </w:r>
      <w:r w:rsidR="001D5BF7">
        <w:rPr>
          <w:b/>
        </w:rPr>
        <w:t>nastavovania</w:t>
      </w:r>
      <w:r>
        <w:rPr>
          <w:b/>
        </w:rPr>
        <w:t xml:space="preserve"> a </w:t>
      </w:r>
      <w:r w:rsidRPr="00FA498D">
        <w:rPr>
          <w:b/>
        </w:rPr>
        <w:t xml:space="preserve">finalizácie konsolidačných opatrení. </w:t>
      </w:r>
      <w:r w:rsidR="003314A4" w:rsidRPr="003314A4">
        <w:t>P</w:t>
      </w:r>
      <w:r w:rsidR="006E0FA9" w:rsidRPr="006E0FA9">
        <w:t>rognóz</w:t>
      </w:r>
      <w:r w:rsidR="00606B1C">
        <w:t>a</w:t>
      </w:r>
      <w:r w:rsidR="006E0FA9" w:rsidRPr="006E0FA9">
        <w:t xml:space="preserve"> mus</w:t>
      </w:r>
      <w:r w:rsidR="006E0FA9">
        <w:t>ela</w:t>
      </w:r>
      <w:r w:rsidR="006E0FA9" w:rsidRPr="006E0FA9">
        <w:t xml:space="preserve"> reflektovať potrebu konsolidácie, pričom kľúčovým faktorom </w:t>
      </w:r>
      <w:r w:rsidR="006E0FA9">
        <w:t>bolo</w:t>
      </w:r>
      <w:r w:rsidR="006E0FA9" w:rsidRPr="006E0FA9">
        <w:t xml:space="preserve"> zapracovanie vplyvu konsolidačného balíka v objeme 2,7 </w:t>
      </w:r>
      <w:r w:rsidR="00E23C61">
        <w:t> </w:t>
      </w:r>
      <w:r w:rsidR="006E0FA9" w:rsidRPr="006E0FA9">
        <w:t>mld. eur do rozpočtu. V dôsledku viacerých pozmeňujúcich návrhov v rámci konsolidačných opatrení sa v októbri uskutočnilo mimoriadne zasadnutie Výboru pre daňové prognózy</w:t>
      </w:r>
      <w:r w:rsidR="00606B1C">
        <w:t xml:space="preserve"> (VpDP)</w:t>
      </w:r>
      <w:r w:rsidR="006E0FA9" w:rsidRPr="006E0FA9">
        <w:t>, ktoré nadväzovalo na prvé septembrové stretnutie výboru.</w:t>
      </w:r>
      <w:r w:rsidR="00606B1C" w:rsidRPr="00606B1C">
        <w:rPr>
          <w:b/>
        </w:rPr>
        <w:t xml:space="preserve"> </w:t>
      </w:r>
      <w:r w:rsidR="00606B1C" w:rsidRPr="00FA498D">
        <w:rPr>
          <w:b/>
        </w:rPr>
        <w:t>NKÚ SR</w:t>
      </w:r>
      <w:r w:rsidR="00606B1C" w:rsidRPr="003314A4">
        <w:t>, ako pozorovateľ vo VpDP</w:t>
      </w:r>
      <w:r w:rsidR="003314A4" w:rsidRPr="003314A4">
        <w:t>,</w:t>
      </w:r>
      <w:r w:rsidR="00606B1C" w:rsidRPr="00FA498D">
        <w:rPr>
          <w:b/>
        </w:rPr>
        <w:t xml:space="preserve"> </w:t>
      </w:r>
      <w:r w:rsidR="002328DF">
        <w:rPr>
          <w:b/>
        </w:rPr>
        <w:t xml:space="preserve">konštatuje </w:t>
      </w:r>
      <w:r w:rsidR="00606B1C" w:rsidRPr="00FA498D">
        <w:rPr>
          <w:b/>
        </w:rPr>
        <w:t>vysokú transparentnosť procesu zostavovania daňov</w:t>
      </w:r>
      <w:r w:rsidR="002328DF">
        <w:rPr>
          <w:b/>
        </w:rPr>
        <w:t>o</w:t>
      </w:r>
      <w:r w:rsidR="00606B1C" w:rsidRPr="00FA498D">
        <w:rPr>
          <w:b/>
        </w:rPr>
        <w:t>-odvodovej prognózy.</w:t>
      </w:r>
    </w:p>
    <w:p w14:paraId="27DF2CA0" w14:textId="0AA6A2E5" w:rsidR="00377BD2" w:rsidRDefault="00377BD2" w:rsidP="00377BD2">
      <w:r>
        <w:rPr>
          <w:b/>
        </w:rPr>
        <w:t xml:space="preserve">V roku </w:t>
      </w:r>
      <w:r w:rsidR="00B2494E">
        <w:rPr>
          <w:b/>
        </w:rPr>
        <w:t xml:space="preserve">2025 </w:t>
      </w:r>
      <w:r>
        <w:rPr>
          <w:b/>
        </w:rPr>
        <w:t xml:space="preserve">sa očakáva výrazný nárast daňovo-odvodových príjmov vďaka opatreniam konsolidačného balíčka. </w:t>
      </w:r>
      <w:r w:rsidRPr="0087188A">
        <w:t xml:space="preserve">Podľa VpDP </w:t>
      </w:r>
      <w:r>
        <w:t>by tieto opatrenia mali v porovnaní s júnovou prognózou priniesť do rozpočtu dodatočné príjmy vo výške približne 1,9 až 2,3 mld. eur</w:t>
      </w:r>
      <w:r w:rsidR="005709CC">
        <w:t xml:space="preserve"> (tabuľka 2</w:t>
      </w:r>
      <w:r w:rsidR="00E23C61">
        <w:t xml:space="preserve"> v kapitole 2.1.1</w:t>
      </w:r>
      <w:r w:rsidR="005709CC">
        <w:t>)</w:t>
      </w:r>
      <w:r>
        <w:t xml:space="preserve">. Rast príjmov posilní fiškálnu stabilitu krajiny, pričom očakávaný prínos bude najvýraznejší v rokoch 2025 až 2027. Prognóza zároveň upozorňuje aj na potenciálne tlmiace efekty konsolidačných opatrení na </w:t>
      </w:r>
      <w:r w:rsidR="00B2494E">
        <w:t>rast ekonomiky</w:t>
      </w:r>
      <w:r>
        <w:t>, čo môže mierne znižovať dynamiku rastu príjmov v ďalších rokoch.</w:t>
      </w:r>
      <w:r w:rsidR="000B2F0C" w:rsidRPr="000B2F0C">
        <w:t xml:space="preserve"> </w:t>
      </w:r>
      <w:r w:rsidR="000B2F0C">
        <w:t>Č</w:t>
      </w:r>
      <w:r w:rsidR="000B2F0C" w:rsidRPr="000B2F0C">
        <w:t xml:space="preserve">lenovia </w:t>
      </w:r>
      <w:r w:rsidR="000B2F0C">
        <w:t>VpDP</w:t>
      </w:r>
      <w:r w:rsidR="000B2F0C" w:rsidRPr="000B2F0C">
        <w:t xml:space="preserve"> hodnotili prognózu </w:t>
      </w:r>
      <w:r w:rsidR="00B2494E">
        <w:t xml:space="preserve">príjmov </w:t>
      </w:r>
      <w:r w:rsidR="000B2F0C" w:rsidRPr="000B2F0C">
        <w:t xml:space="preserve">ako realistickú s výnimkou VÚB, ktorá </w:t>
      </w:r>
      <w:r w:rsidR="00B2494E">
        <w:t xml:space="preserve">ju </w:t>
      </w:r>
      <w:r w:rsidR="000B2F0C" w:rsidRPr="000B2F0C">
        <w:t>označila za mierne optimistickú</w:t>
      </w:r>
      <w:r w:rsidR="000B2F0C">
        <w:t>, a to najmä z dôvodu klesajúcej efektivity výberu DPH v posledných rokoch.</w:t>
      </w:r>
    </w:p>
    <w:p w14:paraId="37BFAC26" w14:textId="077B068D" w:rsidR="00377BD2" w:rsidRPr="0087188A" w:rsidRDefault="00377BD2" w:rsidP="00377BD2">
      <w:r w:rsidRPr="0087188A">
        <w:rPr>
          <w:b/>
        </w:rPr>
        <w:t xml:space="preserve">Návrh rozpočtu predpokladá pre rok 2025 celkové príjmy </w:t>
      </w:r>
      <w:r w:rsidR="00D04D24">
        <w:rPr>
          <w:b/>
        </w:rPr>
        <w:t>VS</w:t>
      </w:r>
      <w:r w:rsidRPr="0087188A">
        <w:rPr>
          <w:b/>
        </w:rPr>
        <w:t xml:space="preserve"> na úrovni 59,9 mld. eur, čo predstavuje 42,8 % HDP.</w:t>
      </w:r>
      <w:r>
        <w:rPr>
          <w:b/>
        </w:rPr>
        <w:t xml:space="preserve"> </w:t>
      </w:r>
      <w:r>
        <w:t xml:space="preserve">Daňové príjmy sú rozpočtované na úrovni 29,3 mld. eur, pričom najväčší podiel tvorí </w:t>
      </w:r>
      <w:r w:rsidR="00D04D24">
        <w:t xml:space="preserve">výber </w:t>
      </w:r>
      <w:r>
        <w:t>DPH na úrovni 11,5 mld. eur. Príspevky na sociálne zabezpečenie tvoria druhú najvýznamnejšiu časť príjmov a sú plánované vo výške 22 mld. eur</w:t>
      </w:r>
      <w:r w:rsidR="005709CC">
        <w:t>, vrátane štátom plateného poistného</w:t>
      </w:r>
      <w:r>
        <w:t xml:space="preserve"> (zamestnávatelia zaplatia 11,8 mld. eur a domácnosti 9,76 mld. eur).</w:t>
      </w:r>
    </w:p>
    <w:p w14:paraId="08398601" w14:textId="03497A77" w:rsidR="00AB6CA8" w:rsidRPr="00AB6CA8" w:rsidRDefault="00AB6CA8" w:rsidP="00A9155E">
      <w:pPr>
        <w:pStyle w:val="Nadpis3"/>
      </w:pPr>
      <w:bookmarkStart w:id="10" w:name="_Toc178602798"/>
      <w:r>
        <w:t xml:space="preserve"> </w:t>
      </w:r>
      <w:bookmarkStart w:id="11" w:name="_Toc182559175"/>
      <w:r>
        <w:t>Konsolidačné opatrenia</w:t>
      </w:r>
      <w:bookmarkEnd w:id="10"/>
      <w:bookmarkEnd w:id="11"/>
    </w:p>
    <w:p w14:paraId="56227F44" w14:textId="0E866C80" w:rsidR="00D14A4E" w:rsidRDefault="00D076CB" w:rsidP="00D076CB">
      <w:bookmarkStart w:id="12" w:name="_Toc86396374"/>
      <w:r w:rsidRPr="00864339">
        <w:rPr>
          <w:b/>
        </w:rPr>
        <w:t>Rozpočet na rok</w:t>
      </w:r>
      <w:r>
        <w:rPr>
          <w:b/>
        </w:rPr>
        <w:t xml:space="preserve"> 2025 ovplyvni</w:t>
      </w:r>
      <w:r w:rsidR="00FA498D">
        <w:rPr>
          <w:b/>
        </w:rPr>
        <w:t>li</w:t>
      </w:r>
      <w:r>
        <w:rPr>
          <w:b/>
        </w:rPr>
        <w:t xml:space="preserve"> viaceré legislatívne zmeny prijaté koncom roka 2023 a v priebehu 2024 v celkovej výške 2,</w:t>
      </w:r>
      <w:r w:rsidR="00E9301A">
        <w:rPr>
          <w:b/>
        </w:rPr>
        <w:t>69</w:t>
      </w:r>
      <w:r>
        <w:rPr>
          <w:b/>
        </w:rPr>
        <w:t xml:space="preserve"> mld. eur</w:t>
      </w:r>
      <w:r w:rsidR="00930451">
        <w:t xml:space="preserve"> (tabuľka 1)</w:t>
      </w:r>
      <w:r>
        <w:rPr>
          <w:b/>
        </w:rPr>
        <w:t xml:space="preserve">. </w:t>
      </w:r>
      <w:r>
        <w:t>Väčšina tejto sumy ide na vrub konsolidačný</w:t>
      </w:r>
      <w:r w:rsidR="001937DF">
        <w:t>ch</w:t>
      </w:r>
      <w:r>
        <w:t xml:space="preserve"> opatren</w:t>
      </w:r>
      <w:r w:rsidR="001937DF">
        <w:t>í</w:t>
      </w:r>
      <w:r>
        <w:t xml:space="preserve"> zo septembra 2024, z čoho príjmov</w:t>
      </w:r>
      <w:r w:rsidR="00A833A7">
        <w:t>é opatrenia</w:t>
      </w:r>
      <w:r>
        <w:t xml:space="preserve"> predstavujú 1,8 mld. eur a</w:t>
      </w:r>
      <w:r w:rsidR="00645D2D">
        <w:t> </w:t>
      </w:r>
      <w:r>
        <w:t>vý</w:t>
      </w:r>
      <w:r w:rsidR="00645D2D">
        <w:t>davkov</w:t>
      </w:r>
      <w:r w:rsidR="00A833A7">
        <w:t>é</w:t>
      </w:r>
      <w:r w:rsidR="00D14A4E">
        <w:t xml:space="preserve"> 0,5</w:t>
      </w:r>
      <w:r w:rsidR="00E9301A">
        <w:t>3</w:t>
      </w:r>
      <w:r w:rsidR="00D14A4E">
        <w:t xml:space="preserve"> mld. eur.</w:t>
      </w:r>
      <w:r w:rsidR="006637A8">
        <w:t xml:space="preserve"> Zvyšných </w:t>
      </w:r>
      <w:r w:rsidR="00E9301A">
        <w:t>0,34</w:t>
      </w:r>
      <w:r w:rsidR="006637A8">
        <w:t xml:space="preserve"> ml</w:t>
      </w:r>
      <w:r w:rsidR="00E9301A">
        <w:t>d</w:t>
      </w:r>
      <w:r w:rsidR="006637A8">
        <w:t>. eur zabezpečujú príjmové legislatívne opatrenia prijaté pred septembrom 2024.</w:t>
      </w:r>
    </w:p>
    <w:p w14:paraId="18F58517" w14:textId="71F72A32" w:rsidR="0061190B" w:rsidRPr="007D36F6" w:rsidRDefault="0061190B" w:rsidP="0061190B">
      <w:pPr>
        <w:pStyle w:val="Popis"/>
        <w:keepNext/>
      </w:pPr>
      <w:r w:rsidRPr="004D2725">
        <w:t xml:space="preserve">Tabuľka </w:t>
      </w:r>
      <w:r>
        <w:t>1</w:t>
      </w:r>
      <w:r w:rsidRPr="004D2725">
        <w:t xml:space="preserve">: </w:t>
      </w:r>
      <w:r>
        <w:t>Legislatívne opatrenia s vplyvom na príjmy a výdavky z</w:t>
      </w:r>
      <w:r w:rsidR="00523B52">
        <w:t xml:space="preserve"> roku </w:t>
      </w:r>
      <w:r>
        <w:t>2024</w:t>
      </w:r>
      <w:r w:rsidRPr="00BC3044">
        <w:t xml:space="preserve"> (v mil. eur)</w:t>
      </w:r>
    </w:p>
    <w:tbl>
      <w:tblPr>
        <w:tblpPr w:leftFromText="141" w:rightFromText="141" w:vertAnchor="text" w:horzAnchor="margin" w:tblpXSpec="center" w:tblpY="72"/>
        <w:tblOverlap w:val="never"/>
        <w:tblW w:w="5045" w:type="pct"/>
        <w:tblCellMar>
          <w:top w:w="28" w:type="dxa"/>
        </w:tblCellMar>
        <w:tblLook w:val="04A0" w:firstRow="1" w:lastRow="0" w:firstColumn="1" w:lastColumn="0" w:noHBand="0" w:noVBand="1"/>
      </w:tblPr>
      <w:tblGrid>
        <w:gridCol w:w="5443"/>
        <w:gridCol w:w="1245"/>
        <w:gridCol w:w="1245"/>
        <w:gridCol w:w="1219"/>
      </w:tblGrid>
      <w:tr w:rsidR="0061190B" w:rsidRPr="007D36F6" w14:paraId="27366BCA" w14:textId="77777777" w:rsidTr="006257C9">
        <w:trPr>
          <w:trHeight w:val="283"/>
        </w:trPr>
        <w:tc>
          <w:tcPr>
            <w:tcW w:w="2974" w:type="pct"/>
            <w:tcBorders>
              <w:bottom w:val="single" w:sz="4" w:space="0" w:color="314364"/>
            </w:tcBorders>
            <w:shd w:val="clear" w:color="auto" w:fill="314364"/>
            <w:vAlign w:val="center"/>
          </w:tcPr>
          <w:p w14:paraId="1DFF8273" w14:textId="77777777" w:rsidR="0061190B" w:rsidRPr="007D36F6" w:rsidRDefault="0061190B" w:rsidP="006257C9">
            <w:pPr>
              <w:spacing w:after="0" w:line="259" w:lineRule="auto"/>
              <w:jc w:val="left"/>
              <w:rPr>
                <w:rFonts w:cs="Segoe UI"/>
                <w:b/>
                <w:color w:val="FFFFFF" w:themeColor="background1"/>
                <w:sz w:val="18"/>
                <w:szCs w:val="18"/>
              </w:rPr>
            </w:pPr>
          </w:p>
        </w:tc>
        <w:tc>
          <w:tcPr>
            <w:tcW w:w="680" w:type="pct"/>
            <w:tcBorders>
              <w:bottom w:val="single" w:sz="4" w:space="0" w:color="314364"/>
            </w:tcBorders>
            <w:shd w:val="clear" w:color="auto" w:fill="314364"/>
            <w:vAlign w:val="center"/>
          </w:tcPr>
          <w:p w14:paraId="6E3C2701" w14:textId="77777777" w:rsidR="0061190B" w:rsidRPr="007D36F6" w:rsidRDefault="0061190B" w:rsidP="006257C9">
            <w:pPr>
              <w:spacing w:after="0" w:line="259" w:lineRule="auto"/>
              <w:jc w:val="right"/>
              <w:rPr>
                <w:rFonts w:cs="Segoe UI"/>
                <w:b/>
                <w:color w:val="FFFFFF" w:themeColor="background1"/>
                <w:sz w:val="18"/>
                <w:szCs w:val="18"/>
              </w:rPr>
            </w:pPr>
            <w:r w:rsidRPr="007D36F6">
              <w:rPr>
                <w:rFonts w:cs="Segoe UI"/>
                <w:b/>
                <w:color w:val="FFFFFF" w:themeColor="background1"/>
                <w:sz w:val="18"/>
                <w:szCs w:val="18"/>
              </w:rPr>
              <w:t>2025</w:t>
            </w:r>
          </w:p>
        </w:tc>
        <w:tc>
          <w:tcPr>
            <w:tcW w:w="680" w:type="pct"/>
            <w:tcBorders>
              <w:bottom w:val="single" w:sz="4" w:space="0" w:color="314364"/>
            </w:tcBorders>
            <w:shd w:val="clear" w:color="auto" w:fill="314364"/>
            <w:vAlign w:val="center"/>
          </w:tcPr>
          <w:p w14:paraId="14B1382B" w14:textId="77777777" w:rsidR="0061190B" w:rsidRPr="007D36F6" w:rsidRDefault="0061190B" w:rsidP="006257C9">
            <w:pPr>
              <w:spacing w:after="0" w:line="259" w:lineRule="auto"/>
              <w:jc w:val="right"/>
              <w:rPr>
                <w:rFonts w:cs="Segoe UI"/>
                <w:b/>
                <w:color w:val="FFFFFF" w:themeColor="background1"/>
                <w:sz w:val="18"/>
                <w:szCs w:val="18"/>
              </w:rPr>
            </w:pPr>
            <w:r w:rsidRPr="007D36F6">
              <w:rPr>
                <w:rFonts w:cs="Segoe UI"/>
                <w:b/>
                <w:color w:val="FFFFFF" w:themeColor="background1"/>
                <w:sz w:val="18"/>
                <w:szCs w:val="18"/>
              </w:rPr>
              <w:t>2026</w:t>
            </w:r>
          </w:p>
        </w:tc>
        <w:tc>
          <w:tcPr>
            <w:tcW w:w="667" w:type="pct"/>
            <w:tcBorders>
              <w:bottom w:val="single" w:sz="4" w:space="0" w:color="314364"/>
            </w:tcBorders>
            <w:shd w:val="clear" w:color="auto" w:fill="314364"/>
            <w:vAlign w:val="center"/>
          </w:tcPr>
          <w:p w14:paraId="6DC48530" w14:textId="77777777" w:rsidR="0061190B" w:rsidRPr="007D36F6" w:rsidRDefault="0061190B" w:rsidP="006257C9">
            <w:pPr>
              <w:spacing w:after="0" w:line="259" w:lineRule="auto"/>
              <w:jc w:val="right"/>
              <w:rPr>
                <w:rFonts w:cs="Segoe UI"/>
                <w:b/>
                <w:color w:val="FFFFFF" w:themeColor="background1"/>
                <w:sz w:val="18"/>
                <w:szCs w:val="18"/>
              </w:rPr>
            </w:pPr>
            <w:r>
              <w:rPr>
                <w:rFonts w:cs="Segoe UI"/>
                <w:b/>
                <w:color w:val="FFFFFF" w:themeColor="background1"/>
                <w:sz w:val="18"/>
                <w:szCs w:val="18"/>
              </w:rPr>
              <w:t>2027</w:t>
            </w:r>
          </w:p>
        </w:tc>
      </w:tr>
      <w:tr w:rsidR="0061190B" w:rsidRPr="007D36F6" w14:paraId="4A34230A" w14:textId="77777777" w:rsidTr="006257C9">
        <w:trPr>
          <w:trHeight w:val="283"/>
        </w:trPr>
        <w:tc>
          <w:tcPr>
            <w:tcW w:w="2974" w:type="pct"/>
            <w:vAlign w:val="center"/>
          </w:tcPr>
          <w:p w14:paraId="6DD1E6D7" w14:textId="77777777" w:rsidR="0061190B" w:rsidRPr="007D36F6" w:rsidRDefault="0061190B" w:rsidP="006257C9">
            <w:pPr>
              <w:spacing w:after="0" w:line="259" w:lineRule="auto"/>
              <w:jc w:val="left"/>
              <w:rPr>
                <w:rFonts w:cs="Segoe UI"/>
                <w:sz w:val="18"/>
                <w:szCs w:val="18"/>
              </w:rPr>
            </w:pPr>
            <w:r>
              <w:rPr>
                <w:rFonts w:cs="Segoe UI"/>
                <w:color w:val="000000"/>
                <w:sz w:val="18"/>
                <w:szCs w:val="18"/>
              </w:rPr>
              <w:t>P</w:t>
            </w:r>
            <w:r w:rsidRPr="007D36F6">
              <w:rPr>
                <w:rFonts w:cs="Segoe UI"/>
                <w:color w:val="000000"/>
                <w:sz w:val="18"/>
                <w:szCs w:val="18"/>
              </w:rPr>
              <w:t>ríjmové legislat</w:t>
            </w:r>
            <w:r>
              <w:rPr>
                <w:rFonts w:cs="Segoe UI"/>
                <w:color w:val="000000"/>
                <w:sz w:val="18"/>
                <w:szCs w:val="18"/>
              </w:rPr>
              <w:t>ívne opatrenia do septembra 2024</w:t>
            </w:r>
          </w:p>
        </w:tc>
        <w:tc>
          <w:tcPr>
            <w:tcW w:w="680" w:type="pct"/>
            <w:vAlign w:val="center"/>
          </w:tcPr>
          <w:p w14:paraId="2891CABB" w14:textId="77777777" w:rsidR="0061190B" w:rsidRPr="007D36F6" w:rsidRDefault="0061190B" w:rsidP="006257C9">
            <w:pPr>
              <w:spacing w:after="0" w:line="259" w:lineRule="auto"/>
              <w:jc w:val="right"/>
              <w:rPr>
                <w:rFonts w:cs="Segoe UI"/>
                <w:sz w:val="18"/>
                <w:szCs w:val="18"/>
              </w:rPr>
            </w:pPr>
            <w:r w:rsidRPr="007D36F6">
              <w:rPr>
                <w:rFonts w:cs="Segoe UI"/>
                <w:color w:val="000000"/>
                <w:sz w:val="18"/>
                <w:szCs w:val="18"/>
              </w:rPr>
              <w:t>338</w:t>
            </w:r>
          </w:p>
        </w:tc>
        <w:tc>
          <w:tcPr>
            <w:tcW w:w="680" w:type="pct"/>
            <w:shd w:val="clear" w:color="auto" w:fill="auto"/>
            <w:vAlign w:val="center"/>
          </w:tcPr>
          <w:p w14:paraId="7C1B2EE3" w14:textId="77777777" w:rsidR="0061190B" w:rsidRPr="007D36F6" w:rsidRDefault="0061190B" w:rsidP="006257C9">
            <w:pPr>
              <w:spacing w:after="0" w:line="259" w:lineRule="auto"/>
              <w:jc w:val="right"/>
              <w:rPr>
                <w:rFonts w:cs="Segoe UI"/>
                <w:sz w:val="18"/>
                <w:szCs w:val="18"/>
              </w:rPr>
            </w:pPr>
            <w:r w:rsidRPr="007D36F6">
              <w:rPr>
                <w:rFonts w:cs="Segoe UI"/>
                <w:color w:val="000000"/>
                <w:sz w:val="18"/>
                <w:szCs w:val="18"/>
              </w:rPr>
              <w:t>494</w:t>
            </w:r>
          </w:p>
        </w:tc>
        <w:tc>
          <w:tcPr>
            <w:tcW w:w="667" w:type="pct"/>
            <w:vAlign w:val="center"/>
          </w:tcPr>
          <w:p w14:paraId="39E2BB31" w14:textId="77777777" w:rsidR="0061190B" w:rsidRPr="007D36F6" w:rsidRDefault="0061190B" w:rsidP="006257C9">
            <w:pPr>
              <w:spacing w:after="0" w:line="259" w:lineRule="auto"/>
              <w:jc w:val="right"/>
              <w:rPr>
                <w:rFonts w:cs="Segoe UI"/>
                <w:sz w:val="18"/>
                <w:szCs w:val="18"/>
              </w:rPr>
            </w:pPr>
            <w:r w:rsidRPr="007D36F6">
              <w:rPr>
                <w:rFonts w:cs="Segoe UI"/>
                <w:color w:val="000000"/>
                <w:sz w:val="18"/>
                <w:szCs w:val="18"/>
              </w:rPr>
              <w:t>551</w:t>
            </w:r>
          </w:p>
        </w:tc>
      </w:tr>
      <w:tr w:rsidR="0061190B" w:rsidRPr="007D36F6" w14:paraId="37D6F9D7" w14:textId="77777777" w:rsidTr="006257C9">
        <w:trPr>
          <w:trHeight w:val="283"/>
        </w:trPr>
        <w:tc>
          <w:tcPr>
            <w:tcW w:w="2974" w:type="pct"/>
            <w:vAlign w:val="center"/>
          </w:tcPr>
          <w:p w14:paraId="4D31011C" w14:textId="77777777" w:rsidR="0061190B" w:rsidRPr="007D36F6" w:rsidRDefault="0061190B" w:rsidP="006257C9">
            <w:pPr>
              <w:spacing w:after="0" w:line="259" w:lineRule="auto"/>
              <w:jc w:val="left"/>
              <w:rPr>
                <w:rFonts w:cs="Segoe UI"/>
                <w:color w:val="000000"/>
                <w:sz w:val="18"/>
                <w:szCs w:val="18"/>
              </w:rPr>
            </w:pPr>
            <w:r>
              <w:rPr>
                <w:rFonts w:cs="Segoe UI"/>
                <w:color w:val="000000"/>
                <w:sz w:val="18"/>
                <w:szCs w:val="18"/>
              </w:rPr>
              <w:t>P</w:t>
            </w:r>
            <w:r w:rsidRPr="007D36F6">
              <w:rPr>
                <w:rFonts w:cs="Segoe UI"/>
                <w:color w:val="000000"/>
                <w:sz w:val="18"/>
                <w:szCs w:val="18"/>
              </w:rPr>
              <w:t>ríj</w:t>
            </w:r>
            <w:r>
              <w:rPr>
                <w:rFonts w:cs="Segoe UI"/>
                <w:color w:val="000000"/>
                <w:sz w:val="18"/>
                <w:szCs w:val="18"/>
              </w:rPr>
              <w:t xml:space="preserve">mové konsolidačné opatrenia </w:t>
            </w:r>
          </w:p>
        </w:tc>
        <w:tc>
          <w:tcPr>
            <w:tcW w:w="680" w:type="pct"/>
            <w:vAlign w:val="center"/>
          </w:tcPr>
          <w:p w14:paraId="6C047E23" w14:textId="77777777" w:rsidR="0061190B" w:rsidRPr="007D36F6" w:rsidRDefault="0061190B" w:rsidP="006257C9">
            <w:pPr>
              <w:spacing w:after="0" w:line="259" w:lineRule="auto"/>
              <w:jc w:val="right"/>
              <w:rPr>
                <w:rFonts w:cs="Segoe UI"/>
                <w:color w:val="000000"/>
                <w:sz w:val="18"/>
                <w:szCs w:val="18"/>
              </w:rPr>
            </w:pPr>
            <w:r w:rsidRPr="007D36F6">
              <w:rPr>
                <w:rFonts w:cs="Segoe UI"/>
                <w:color w:val="000000"/>
                <w:sz w:val="18"/>
                <w:szCs w:val="18"/>
              </w:rPr>
              <w:t>1 820</w:t>
            </w:r>
          </w:p>
        </w:tc>
        <w:tc>
          <w:tcPr>
            <w:tcW w:w="680" w:type="pct"/>
            <w:shd w:val="clear" w:color="auto" w:fill="auto"/>
            <w:vAlign w:val="center"/>
          </w:tcPr>
          <w:p w14:paraId="0368054C" w14:textId="77777777" w:rsidR="0061190B" w:rsidRPr="007D36F6" w:rsidRDefault="0061190B" w:rsidP="006257C9">
            <w:pPr>
              <w:spacing w:after="0" w:line="259" w:lineRule="auto"/>
              <w:jc w:val="right"/>
              <w:rPr>
                <w:rFonts w:cs="Segoe UI"/>
                <w:color w:val="000000"/>
                <w:sz w:val="18"/>
                <w:szCs w:val="18"/>
              </w:rPr>
            </w:pPr>
            <w:r w:rsidRPr="007D36F6">
              <w:rPr>
                <w:rFonts w:cs="Segoe UI"/>
                <w:color w:val="000000"/>
                <w:sz w:val="18"/>
                <w:szCs w:val="18"/>
              </w:rPr>
              <w:t>2 075</w:t>
            </w:r>
          </w:p>
        </w:tc>
        <w:tc>
          <w:tcPr>
            <w:tcW w:w="667" w:type="pct"/>
            <w:vAlign w:val="center"/>
          </w:tcPr>
          <w:p w14:paraId="489FDC65" w14:textId="77777777" w:rsidR="0061190B" w:rsidRPr="007D36F6" w:rsidRDefault="0061190B" w:rsidP="006257C9">
            <w:pPr>
              <w:spacing w:after="0" w:line="259" w:lineRule="auto"/>
              <w:jc w:val="right"/>
              <w:rPr>
                <w:rFonts w:cs="Segoe UI"/>
                <w:color w:val="000000"/>
                <w:sz w:val="18"/>
                <w:szCs w:val="18"/>
              </w:rPr>
            </w:pPr>
            <w:r w:rsidRPr="007D36F6">
              <w:rPr>
                <w:rFonts w:cs="Segoe UI"/>
                <w:color w:val="000000"/>
                <w:sz w:val="18"/>
                <w:szCs w:val="18"/>
              </w:rPr>
              <w:t>2 076</w:t>
            </w:r>
          </w:p>
        </w:tc>
      </w:tr>
      <w:tr w:rsidR="0061190B" w:rsidRPr="007D36F6" w14:paraId="4ACE5A2B" w14:textId="77777777" w:rsidTr="006257C9">
        <w:trPr>
          <w:trHeight w:val="283"/>
        </w:trPr>
        <w:tc>
          <w:tcPr>
            <w:tcW w:w="2974" w:type="pct"/>
            <w:vAlign w:val="center"/>
          </w:tcPr>
          <w:p w14:paraId="4D3B7D34" w14:textId="77777777" w:rsidR="0061190B" w:rsidRPr="007D36F6" w:rsidRDefault="0061190B" w:rsidP="006257C9">
            <w:pPr>
              <w:spacing w:after="0" w:line="259" w:lineRule="auto"/>
              <w:jc w:val="left"/>
              <w:rPr>
                <w:rFonts w:cs="Segoe UI"/>
                <w:color w:val="000000"/>
                <w:sz w:val="18"/>
                <w:szCs w:val="18"/>
              </w:rPr>
            </w:pPr>
            <w:r>
              <w:rPr>
                <w:rFonts w:cs="Segoe UI"/>
                <w:color w:val="000000"/>
                <w:sz w:val="18"/>
                <w:szCs w:val="18"/>
              </w:rPr>
              <w:t>O</w:t>
            </w:r>
            <w:r w:rsidRPr="007D36F6">
              <w:rPr>
                <w:rFonts w:cs="Segoe UI"/>
                <w:color w:val="000000"/>
                <w:sz w:val="18"/>
                <w:szCs w:val="18"/>
              </w:rPr>
              <w:t>patrenia s vplyvom na výdavky</w:t>
            </w:r>
          </w:p>
        </w:tc>
        <w:tc>
          <w:tcPr>
            <w:tcW w:w="680" w:type="pct"/>
            <w:vAlign w:val="center"/>
          </w:tcPr>
          <w:p w14:paraId="7E3F1465" w14:textId="77777777" w:rsidR="0061190B" w:rsidRPr="007D36F6" w:rsidRDefault="0061190B" w:rsidP="006257C9">
            <w:pPr>
              <w:spacing w:after="0" w:line="259" w:lineRule="auto"/>
              <w:jc w:val="right"/>
              <w:rPr>
                <w:rFonts w:cs="Segoe UI"/>
                <w:color w:val="000000"/>
                <w:sz w:val="18"/>
                <w:szCs w:val="18"/>
              </w:rPr>
            </w:pPr>
            <w:r w:rsidRPr="007D36F6">
              <w:rPr>
                <w:rFonts w:cs="Segoe UI"/>
                <w:color w:val="000000"/>
                <w:sz w:val="18"/>
                <w:szCs w:val="18"/>
              </w:rPr>
              <w:t>-527</w:t>
            </w:r>
          </w:p>
        </w:tc>
        <w:tc>
          <w:tcPr>
            <w:tcW w:w="680" w:type="pct"/>
            <w:shd w:val="clear" w:color="auto" w:fill="auto"/>
            <w:vAlign w:val="center"/>
          </w:tcPr>
          <w:p w14:paraId="54FE6518" w14:textId="77777777" w:rsidR="0061190B" w:rsidRPr="007D36F6" w:rsidRDefault="0061190B" w:rsidP="006257C9">
            <w:pPr>
              <w:spacing w:after="0" w:line="259" w:lineRule="auto"/>
              <w:jc w:val="right"/>
              <w:rPr>
                <w:rFonts w:cs="Segoe UI"/>
                <w:color w:val="000000"/>
                <w:sz w:val="18"/>
                <w:szCs w:val="18"/>
              </w:rPr>
            </w:pPr>
            <w:r w:rsidRPr="007D36F6">
              <w:rPr>
                <w:rFonts w:cs="Segoe UI"/>
                <w:color w:val="000000"/>
                <w:sz w:val="18"/>
                <w:szCs w:val="18"/>
              </w:rPr>
              <w:t>-479</w:t>
            </w:r>
          </w:p>
        </w:tc>
        <w:tc>
          <w:tcPr>
            <w:tcW w:w="667" w:type="pct"/>
            <w:vAlign w:val="center"/>
          </w:tcPr>
          <w:p w14:paraId="3E79340B" w14:textId="77777777" w:rsidR="0061190B" w:rsidRPr="007D36F6" w:rsidRDefault="0061190B" w:rsidP="006257C9">
            <w:pPr>
              <w:spacing w:after="0" w:line="259" w:lineRule="auto"/>
              <w:jc w:val="right"/>
              <w:rPr>
                <w:rFonts w:cs="Segoe UI"/>
                <w:color w:val="000000"/>
                <w:sz w:val="18"/>
                <w:szCs w:val="18"/>
              </w:rPr>
            </w:pPr>
            <w:r w:rsidRPr="007D36F6">
              <w:rPr>
                <w:rFonts w:cs="Segoe UI"/>
                <w:color w:val="000000"/>
                <w:sz w:val="18"/>
                <w:szCs w:val="18"/>
              </w:rPr>
              <w:t>-495</w:t>
            </w:r>
          </w:p>
        </w:tc>
      </w:tr>
      <w:tr w:rsidR="0061190B" w:rsidRPr="007D36F6" w14:paraId="65ABD330" w14:textId="77777777" w:rsidTr="006257C9">
        <w:trPr>
          <w:trHeight w:val="283"/>
        </w:trPr>
        <w:tc>
          <w:tcPr>
            <w:tcW w:w="2974" w:type="pct"/>
            <w:vAlign w:val="center"/>
          </w:tcPr>
          <w:p w14:paraId="69660B18" w14:textId="77777777" w:rsidR="0061190B" w:rsidRPr="007D36F6" w:rsidRDefault="0061190B" w:rsidP="006257C9">
            <w:pPr>
              <w:spacing w:after="0" w:line="259" w:lineRule="auto"/>
              <w:jc w:val="left"/>
              <w:rPr>
                <w:rFonts w:cs="Segoe UI"/>
                <w:b/>
                <w:color w:val="000000"/>
                <w:sz w:val="18"/>
                <w:szCs w:val="18"/>
              </w:rPr>
            </w:pPr>
            <w:r w:rsidRPr="007D36F6">
              <w:rPr>
                <w:rFonts w:cs="Segoe UI"/>
                <w:b/>
                <w:color w:val="000000"/>
                <w:sz w:val="18"/>
                <w:szCs w:val="18"/>
              </w:rPr>
              <w:t>SPOLU</w:t>
            </w:r>
          </w:p>
        </w:tc>
        <w:tc>
          <w:tcPr>
            <w:tcW w:w="680" w:type="pct"/>
            <w:vAlign w:val="center"/>
          </w:tcPr>
          <w:p w14:paraId="0AC49201" w14:textId="77777777" w:rsidR="0061190B" w:rsidRPr="007D36F6" w:rsidRDefault="0061190B" w:rsidP="006257C9">
            <w:pPr>
              <w:spacing w:after="0" w:line="259" w:lineRule="auto"/>
              <w:jc w:val="right"/>
              <w:rPr>
                <w:rFonts w:cs="Segoe UI"/>
                <w:b/>
                <w:color w:val="000000"/>
                <w:sz w:val="18"/>
                <w:szCs w:val="18"/>
              </w:rPr>
            </w:pPr>
            <w:r w:rsidRPr="007D36F6">
              <w:rPr>
                <w:rFonts w:cs="Segoe UI"/>
                <w:b/>
                <w:color w:val="000000"/>
                <w:sz w:val="18"/>
                <w:szCs w:val="18"/>
              </w:rPr>
              <w:t>2 685</w:t>
            </w:r>
          </w:p>
        </w:tc>
        <w:tc>
          <w:tcPr>
            <w:tcW w:w="680" w:type="pct"/>
            <w:shd w:val="clear" w:color="auto" w:fill="auto"/>
            <w:vAlign w:val="center"/>
          </w:tcPr>
          <w:p w14:paraId="3221F4A0" w14:textId="77777777" w:rsidR="0061190B" w:rsidRPr="007D36F6" w:rsidRDefault="0061190B" w:rsidP="006257C9">
            <w:pPr>
              <w:spacing w:after="0" w:line="259" w:lineRule="auto"/>
              <w:jc w:val="right"/>
              <w:rPr>
                <w:rFonts w:cs="Segoe UI"/>
                <w:b/>
                <w:color w:val="000000"/>
                <w:sz w:val="18"/>
                <w:szCs w:val="18"/>
              </w:rPr>
            </w:pPr>
            <w:r w:rsidRPr="007D36F6">
              <w:rPr>
                <w:rFonts w:cs="Segoe UI"/>
                <w:b/>
                <w:color w:val="000000"/>
                <w:sz w:val="18"/>
                <w:szCs w:val="18"/>
              </w:rPr>
              <w:t>3 047</w:t>
            </w:r>
          </w:p>
        </w:tc>
        <w:tc>
          <w:tcPr>
            <w:tcW w:w="667" w:type="pct"/>
            <w:vAlign w:val="center"/>
          </w:tcPr>
          <w:p w14:paraId="5BB263CF" w14:textId="77777777" w:rsidR="0061190B" w:rsidRPr="007D36F6" w:rsidRDefault="0061190B" w:rsidP="006257C9">
            <w:pPr>
              <w:spacing w:after="0" w:line="259" w:lineRule="auto"/>
              <w:jc w:val="right"/>
              <w:rPr>
                <w:rFonts w:cs="Segoe UI"/>
                <w:b/>
                <w:color w:val="000000"/>
                <w:sz w:val="18"/>
                <w:szCs w:val="18"/>
              </w:rPr>
            </w:pPr>
            <w:r w:rsidRPr="007D36F6">
              <w:rPr>
                <w:rFonts w:cs="Segoe UI"/>
                <w:b/>
                <w:color w:val="000000"/>
                <w:sz w:val="18"/>
                <w:szCs w:val="18"/>
              </w:rPr>
              <w:t>3 122</w:t>
            </w:r>
          </w:p>
        </w:tc>
      </w:tr>
      <w:tr w:rsidR="0061190B" w:rsidRPr="007D36F6" w14:paraId="743E85E4" w14:textId="77777777" w:rsidTr="006257C9">
        <w:trPr>
          <w:trHeight w:val="283"/>
        </w:trPr>
        <w:tc>
          <w:tcPr>
            <w:tcW w:w="2974" w:type="pct"/>
            <w:vAlign w:val="center"/>
          </w:tcPr>
          <w:p w14:paraId="0BD1D439" w14:textId="77777777" w:rsidR="0061190B" w:rsidRPr="007D36F6" w:rsidRDefault="0061190B" w:rsidP="006257C9">
            <w:pPr>
              <w:spacing w:after="0" w:line="259" w:lineRule="auto"/>
              <w:ind w:right="-102"/>
              <w:jc w:val="left"/>
              <w:rPr>
                <w:rFonts w:cs="Segoe UI"/>
                <w:sz w:val="18"/>
                <w:szCs w:val="18"/>
              </w:rPr>
            </w:pPr>
            <w:r w:rsidRPr="007D36F6">
              <w:rPr>
                <w:rFonts w:cs="Segoe UI"/>
                <w:color w:val="000000"/>
                <w:sz w:val="18"/>
                <w:szCs w:val="18"/>
              </w:rPr>
              <w:t>HDP (70. VpMP)</w:t>
            </w:r>
          </w:p>
        </w:tc>
        <w:tc>
          <w:tcPr>
            <w:tcW w:w="680" w:type="pct"/>
            <w:vAlign w:val="center"/>
          </w:tcPr>
          <w:p w14:paraId="0BC744E2" w14:textId="77777777" w:rsidR="0061190B" w:rsidRPr="007D36F6" w:rsidRDefault="0061190B" w:rsidP="006257C9">
            <w:pPr>
              <w:spacing w:after="0" w:line="259" w:lineRule="auto"/>
              <w:jc w:val="right"/>
              <w:rPr>
                <w:rFonts w:cs="Segoe UI"/>
                <w:sz w:val="18"/>
                <w:szCs w:val="18"/>
              </w:rPr>
            </w:pPr>
            <w:r w:rsidRPr="007D36F6">
              <w:rPr>
                <w:rFonts w:cs="Segoe UI"/>
                <w:color w:val="000000"/>
                <w:sz w:val="18"/>
                <w:szCs w:val="18"/>
              </w:rPr>
              <w:t>139 901</w:t>
            </w:r>
          </w:p>
        </w:tc>
        <w:tc>
          <w:tcPr>
            <w:tcW w:w="680" w:type="pct"/>
            <w:shd w:val="clear" w:color="auto" w:fill="auto"/>
            <w:vAlign w:val="center"/>
          </w:tcPr>
          <w:p w14:paraId="76AA5216" w14:textId="77777777" w:rsidR="0061190B" w:rsidRPr="007D36F6" w:rsidRDefault="0061190B" w:rsidP="006257C9">
            <w:pPr>
              <w:spacing w:after="0" w:line="259" w:lineRule="auto"/>
              <w:jc w:val="right"/>
              <w:rPr>
                <w:rFonts w:cs="Segoe UI"/>
                <w:sz w:val="18"/>
                <w:szCs w:val="18"/>
              </w:rPr>
            </w:pPr>
            <w:r w:rsidRPr="007D36F6">
              <w:rPr>
                <w:rFonts w:cs="Segoe UI"/>
                <w:color w:val="000000"/>
                <w:sz w:val="18"/>
                <w:szCs w:val="18"/>
              </w:rPr>
              <w:t>147 305</w:t>
            </w:r>
          </w:p>
        </w:tc>
        <w:tc>
          <w:tcPr>
            <w:tcW w:w="667" w:type="pct"/>
            <w:vAlign w:val="center"/>
          </w:tcPr>
          <w:p w14:paraId="7F1C1AD6" w14:textId="77777777" w:rsidR="0061190B" w:rsidRPr="007D36F6" w:rsidRDefault="0061190B" w:rsidP="006257C9">
            <w:pPr>
              <w:spacing w:after="0" w:line="259" w:lineRule="auto"/>
              <w:jc w:val="right"/>
              <w:rPr>
                <w:rFonts w:cs="Segoe UI"/>
                <w:sz w:val="18"/>
                <w:szCs w:val="18"/>
              </w:rPr>
            </w:pPr>
            <w:r w:rsidRPr="007D36F6">
              <w:rPr>
                <w:rFonts w:cs="Segoe UI"/>
                <w:color w:val="000000"/>
                <w:sz w:val="18"/>
                <w:szCs w:val="18"/>
              </w:rPr>
              <w:t>152 148</w:t>
            </w:r>
          </w:p>
        </w:tc>
      </w:tr>
      <w:tr w:rsidR="0061190B" w:rsidRPr="007D36F6" w14:paraId="68EDC72E" w14:textId="77777777" w:rsidTr="006257C9">
        <w:trPr>
          <w:trHeight w:val="283"/>
        </w:trPr>
        <w:tc>
          <w:tcPr>
            <w:tcW w:w="2974" w:type="pct"/>
            <w:tcBorders>
              <w:bottom w:val="single" w:sz="4" w:space="0" w:color="314364" w:themeColor="text2"/>
            </w:tcBorders>
            <w:vAlign w:val="center"/>
          </w:tcPr>
          <w:p w14:paraId="1DA3694D" w14:textId="77777777" w:rsidR="0061190B" w:rsidRPr="007D36F6" w:rsidRDefault="0061190B" w:rsidP="006257C9">
            <w:pPr>
              <w:spacing w:after="0" w:line="259" w:lineRule="auto"/>
              <w:jc w:val="left"/>
              <w:rPr>
                <w:rFonts w:cs="Segoe UI"/>
                <w:b/>
                <w:sz w:val="18"/>
                <w:szCs w:val="18"/>
              </w:rPr>
            </w:pPr>
            <w:r w:rsidRPr="007D36F6">
              <w:rPr>
                <w:rFonts w:cs="Segoe UI"/>
                <w:b/>
                <w:bCs/>
                <w:color w:val="000000"/>
                <w:sz w:val="18"/>
                <w:szCs w:val="18"/>
              </w:rPr>
              <w:t>% HDP</w:t>
            </w:r>
          </w:p>
        </w:tc>
        <w:tc>
          <w:tcPr>
            <w:tcW w:w="680" w:type="pct"/>
            <w:tcBorders>
              <w:bottom w:val="single" w:sz="4" w:space="0" w:color="314364" w:themeColor="text2"/>
            </w:tcBorders>
            <w:vAlign w:val="center"/>
          </w:tcPr>
          <w:p w14:paraId="210B70FD" w14:textId="77777777" w:rsidR="0061190B" w:rsidRPr="007D36F6" w:rsidRDefault="0061190B" w:rsidP="006257C9">
            <w:pPr>
              <w:spacing w:after="0" w:line="259" w:lineRule="auto"/>
              <w:jc w:val="right"/>
              <w:rPr>
                <w:rFonts w:cs="Segoe UI"/>
                <w:b/>
                <w:sz w:val="18"/>
                <w:szCs w:val="18"/>
              </w:rPr>
            </w:pPr>
            <w:r w:rsidRPr="007D36F6">
              <w:rPr>
                <w:rFonts w:cs="Segoe UI"/>
                <w:b/>
                <w:bCs/>
                <w:color w:val="000000"/>
                <w:sz w:val="18"/>
                <w:szCs w:val="18"/>
              </w:rPr>
              <w:t>1,92%</w:t>
            </w:r>
          </w:p>
        </w:tc>
        <w:tc>
          <w:tcPr>
            <w:tcW w:w="680" w:type="pct"/>
            <w:tcBorders>
              <w:bottom w:val="single" w:sz="4" w:space="0" w:color="314364" w:themeColor="text2"/>
            </w:tcBorders>
            <w:shd w:val="clear" w:color="auto" w:fill="auto"/>
            <w:vAlign w:val="center"/>
          </w:tcPr>
          <w:p w14:paraId="4EFA4E5C" w14:textId="77777777" w:rsidR="0061190B" w:rsidRPr="007D36F6" w:rsidRDefault="0061190B" w:rsidP="006257C9">
            <w:pPr>
              <w:spacing w:after="0" w:line="259" w:lineRule="auto"/>
              <w:jc w:val="right"/>
              <w:rPr>
                <w:rFonts w:cs="Segoe UI"/>
                <w:b/>
                <w:sz w:val="18"/>
                <w:szCs w:val="18"/>
              </w:rPr>
            </w:pPr>
            <w:r w:rsidRPr="007D36F6">
              <w:rPr>
                <w:rFonts w:cs="Segoe UI"/>
                <w:b/>
                <w:bCs/>
                <w:color w:val="000000"/>
                <w:sz w:val="18"/>
                <w:szCs w:val="18"/>
              </w:rPr>
              <w:t>2,07%</w:t>
            </w:r>
          </w:p>
        </w:tc>
        <w:tc>
          <w:tcPr>
            <w:tcW w:w="667" w:type="pct"/>
            <w:tcBorders>
              <w:bottom w:val="single" w:sz="4" w:space="0" w:color="314364" w:themeColor="text2"/>
            </w:tcBorders>
            <w:vAlign w:val="center"/>
          </w:tcPr>
          <w:p w14:paraId="739CFEF4" w14:textId="77777777" w:rsidR="0061190B" w:rsidRPr="007D36F6" w:rsidRDefault="0061190B" w:rsidP="006257C9">
            <w:pPr>
              <w:spacing w:after="0" w:line="259" w:lineRule="auto"/>
              <w:jc w:val="right"/>
              <w:rPr>
                <w:rFonts w:cs="Segoe UI"/>
                <w:b/>
                <w:sz w:val="18"/>
                <w:szCs w:val="18"/>
              </w:rPr>
            </w:pPr>
            <w:r w:rsidRPr="007D36F6">
              <w:rPr>
                <w:rFonts w:cs="Segoe UI"/>
                <w:b/>
                <w:bCs/>
                <w:color w:val="000000"/>
                <w:sz w:val="18"/>
                <w:szCs w:val="18"/>
              </w:rPr>
              <w:t>2,05%</w:t>
            </w:r>
          </w:p>
        </w:tc>
      </w:tr>
    </w:tbl>
    <w:p w14:paraId="04FF2953" w14:textId="18E337B6" w:rsidR="0061190B" w:rsidRDefault="0061190B" w:rsidP="0061190B">
      <w:pPr>
        <w:pStyle w:val="Zdroj"/>
      </w:pPr>
      <w:r>
        <w:t>Zdroj: MF SR (RVS, t. 21)</w:t>
      </w:r>
      <w:r w:rsidR="002E16B1">
        <w:t>.</w:t>
      </w:r>
    </w:p>
    <w:p w14:paraId="5999697B" w14:textId="42F06C68" w:rsidR="00E9301A" w:rsidRDefault="008640B0" w:rsidP="00E9301A">
      <w:r w:rsidRPr="00297B44">
        <w:rPr>
          <w:b/>
        </w:rPr>
        <w:t>V tzv.</w:t>
      </w:r>
      <w:r w:rsidR="00D14A4E" w:rsidRPr="00297B44">
        <w:rPr>
          <w:b/>
        </w:rPr>
        <w:t xml:space="preserve"> konsolidačn</w:t>
      </w:r>
      <w:r w:rsidRPr="00297B44">
        <w:rPr>
          <w:b/>
        </w:rPr>
        <w:t xml:space="preserve">om </w:t>
      </w:r>
      <w:r w:rsidR="00D14A4E" w:rsidRPr="00297B44">
        <w:rPr>
          <w:b/>
        </w:rPr>
        <w:t>balíčk</w:t>
      </w:r>
      <w:r w:rsidRPr="00297B44">
        <w:rPr>
          <w:b/>
        </w:rPr>
        <w:t>u</w:t>
      </w:r>
      <w:r w:rsidR="00D14A4E" w:rsidRPr="00297B44">
        <w:rPr>
          <w:b/>
        </w:rPr>
        <w:t xml:space="preserve"> </w:t>
      </w:r>
      <w:r w:rsidR="00D14A4E" w:rsidRPr="00297B44">
        <w:t>(box 2)</w:t>
      </w:r>
      <w:r w:rsidR="0090003A">
        <w:rPr>
          <w:b/>
        </w:rPr>
        <w:t xml:space="preserve"> majú tri </w:t>
      </w:r>
      <w:r w:rsidR="001D5BF7">
        <w:rPr>
          <w:b/>
        </w:rPr>
        <w:t xml:space="preserve">najväčšie príjmové </w:t>
      </w:r>
      <w:r w:rsidR="0090003A">
        <w:rPr>
          <w:b/>
        </w:rPr>
        <w:t xml:space="preserve">opatrenia priniesť v roku 2025 spolu </w:t>
      </w:r>
      <w:r w:rsidR="0090003A" w:rsidRPr="00297B44">
        <w:rPr>
          <w:b/>
        </w:rPr>
        <w:t>1</w:t>
      </w:r>
      <w:r w:rsidR="0090003A">
        <w:rPr>
          <w:b/>
        </w:rPr>
        <w:t xml:space="preserve"> 762</w:t>
      </w:r>
      <w:r w:rsidR="0090003A" w:rsidRPr="00297B44">
        <w:rPr>
          <w:b/>
        </w:rPr>
        <w:t xml:space="preserve"> m</w:t>
      </w:r>
      <w:r w:rsidR="0090003A">
        <w:rPr>
          <w:b/>
        </w:rPr>
        <w:t>il</w:t>
      </w:r>
      <w:r w:rsidR="0090003A" w:rsidRPr="00297B44">
        <w:rPr>
          <w:b/>
        </w:rPr>
        <w:t>. eur</w:t>
      </w:r>
      <w:r w:rsidR="0090003A">
        <w:rPr>
          <w:b/>
        </w:rPr>
        <w:t xml:space="preserve"> </w:t>
      </w:r>
      <w:r w:rsidR="00B2494E" w:rsidRPr="00B2494E">
        <w:t>(</w:t>
      </w:r>
      <w:r w:rsidR="00D076CB" w:rsidRPr="00B2494E">
        <w:t>zmeny v</w:t>
      </w:r>
      <w:r w:rsidR="00C21458" w:rsidRPr="00B2494E">
        <w:t xml:space="preserve"> sadzbe </w:t>
      </w:r>
      <w:r w:rsidR="00D076CB" w:rsidRPr="00B2494E">
        <w:t>DPH</w:t>
      </w:r>
      <w:r w:rsidR="00C21458" w:rsidRPr="00B2494E">
        <w:t xml:space="preserve">, </w:t>
      </w:r>
      <w:r w:rsidR="00D076CB" w:rsidRPr="00B2494E">
        <w:t>zdanenie vybraných bankových prevodov a zvýšenie sadzby DPPO</w:t>
      </w:r>
      <w:r w:rsidR="00B2494E">
        <w:t>)</w:t>
      </w:r>
      <w:r w:rsidR="00297B44" w:rsidRPr="00297B44">
        <w:rPr>
          <w:b/>
        </w:rPr>
        <w:t>.</w:t>
      </w:r>
      <w:r w:rsidR="00D076CB">
        <w:t xml:space="preserve"> Opatrenia na výdavkovej strane pozostávajú z úprav rodičovského dôchodku na úrovni 353 mil. eur a reformy daňového bonusu na deti vo výške 174 mil. eur v roku 2025.</w:t>
      </w:r>
    </w:p>
    <w:tbl>
      <w:tblPr>
        <w:tblStyle w:val="Mriekatabuky1"/>
        <w:tblW w:w="0" w:type="auto"/>
        <w:tblBorders>
          <w:top w:val="single" w:sz="4" w:space="0" w:color="314364"/>
          <w:left w:val="single" w:sz="4" w:space="0" w:color="314364"/>
          <w:bottom w:val="single" w:sz="4" w:space="0" w:color="314364"/>
          <w:right w:val="single" w:sz="4" w:space="0" w:color="314364"/>
          <w:insideH w:val="none" w:sz="0" w:space="0" w:color="auto"/>
          <w:insideV w:val="none" w:sz="0" w:space="0" w:color="auto"/>
        </w:tblBorders>
        <w:shd w:val="clear" w:color="auto" w:fill="EBF0FB"/>
        <w:tblLook w:val="04A0" w:firstRow="1" w:lastRow="0" w:firstColumn="1" w:lastColumn="0" w:noHBand="0" w:noVBand="1"/>
      </w:tblPr>
      <w:tblGrid>
        <w:gridCol w:w="9060"/>
      </w:tblGrid>
      <w:tr w:rsidR="00B63F9F" w:rsidRPr="002772DE" w14:paraId="6B044EA7" w14:textId="77777777" w:rsidTr="000839FB">
        <w:tc>
          <w:tcPr>
            <w:tcW w:w="9060" w:type="dxa"/>
            <w:shd w:val="clear" w:color="auto" w:fill="EBF0FB"/>
          </w:tcPr>
          <w:p w14:paraId="75F6311D" w14:textId="77777777" w:rsidR="00B63F9F" w:rsidRDefault="00B63F9F" w:rsidP="000839FB">
            <w:pPr>
              <w:spacing w:before="120"/>
              <w:ind w:right="163"/>
              <w:rPr>
                <w:rFonts w:cs="Times New Roman"/>
                <w:b/>
              </w:rPr>
            </w:pPr>
            <w:r>
              <w:rPr>
                <w:rFonts w:cs="Times New Roman"/>
                <w:b/>
              </w:rPr>
              <w:lastRenderedPageBreak/>
              <w:t>Box 2</w:t>
            </w:r>
            <w:r w:rsidRPr="00F42E63">
              <w:rPr>
                <w:rFonts w:cs="Times New Roman"/>
                <w:b/>
              </w:rPr>
              <w:t xml:space="preserve">: </w:t>
            </w:r>
            <w:r>
              <w:rPr>
                <w:rFonts w:cs="Times New Roman"/>
                <w:b/>
              </w:rPr>
              <w:t>Konsolidačné opatrenia prijaté od septembra 2024</w:t>
            </w:r>
          </w:p>
          <w:p w14:paraId="00C71B2D" w14:textId="77777777" w:rsidR="00B63F9F" w:rsidRPr="001A5F6B" w:rsidRDefault="00B63F9F" w:rsidP="000839FB">
            <w:pPr>
              <w:spacing w:before="120"/>
              <w:ind w:right="163"/>
              <w:rPr>
                <w:rFonts w:cs="Times New Roman"/>
                <w:sz w:val="18"/>
              </w:rPr>
            </w:pPr>
            <w:r w:rsidRPr="009A6FB6">
              <w:rPr>
                <w:rFonts w:cs="Times New Roman"/>
                <w:b/>
                <w:sz w:val="18"/>
              </w:rPr>
              <w:t xml:space="preserve">Konsolidačné opatrenia </w:t>
            </w:r>
            <w:r>
              <w:rPr>
                <w:rFonts w:cs="Times New Roman"/>
                <w:b/>
                <w:sz w:val="18"/>
              </w:rPr>
              <w:t xml:space="preserve">prijaté </w:t>
            </w:r>
            <w:r w:rsidRPr="009A6FB6">
              <w:rPr>
                <w:rFonts w:cs="Times New Roman"/>
                <w:b/>
                <w:sz w:val="18"/>
              </w:rPr>
              <w:t>v súvislosti s ďalším zlepšovaním stavu verejných financií v </w:t>
            </w:r>
            <w:r>
              <w:rPr>
                <w:rFonts w:cs="Times New Roman"/>
                <w:b/>
                <w:sz w:val="18"/>
              </w:rPr>
              <w:t>októbri</w:t>
            </w:r>
            <w:r w:rsidRPr="009A6FB6">
              <w:rPr>
                <w:rFonts w:cs="Times New Roman"/>
                <w:b/>
                <w:sz w:val="18"/>
              </w:rPr>
              <w:t xml:space="preserve"> 2024 pozostávali najmä z</w:t>
            </w:r>
            <w:r>
              <w:rPr>
                <w:rFonts w:cs="Times New Roman"/>
                <w:b/>
                <w:sz w:val="18"/>
              </w:rPr>
              <w:t> </w:t>
            </w:r>
            <w:r w:rsidRPr="009A6FB6">
              <w:rPr>
                <w:rFonts w:cs="Times New Roman"/>
                <w:b/>
                <w:sz w:val="18"/>
              </w:rPr>
              <w:t>príjmových</w:t>
            </w:r>
            <w:r>
              <w:rPr>
                <w:rFonts w:cs="Times New Roman"/>
                <w:b/>
                <w:sz w:val="18"/>
              </w:rPr>
              <w:t xml:space="preserve"> opatrení, ktoré predstavovali </w:t>
            </w:r>
            <w:r w:rsidRPr="009A6FB6">
              <w:rPr>
                <w:rFonts w:cs="Times New Roman"/>
                <w:b/>
                <w:sz w:val="18"/>
              </w:rPr>
              <w:t>71 % celkového objemu</w:t>
            </w:r>
            <w:r>
              <w:rPr>
                <w:rFonts w:cs="Times New Roman"/>
                <w:b/>
                <w:sz w:val="18"/>
              </w:rPr>
              <w:t>.</w:t>
            </w:r>
            <w:r w:rsidRPr="009A6FB6">
              <w:rPr>
                <w:rFonts w:cs="Times New Roman"/>
                <w:b/>
                <w:sz w:val="18"/>
              </w:rPr>
              <w:t xml:space="preserve"> </w:t>
            </w:r>
            <w:r w:rsidRPr="0093511F">
              <w:rPr>
                <w:rFonts w:cs="Times New Roman"/>
                <w:sz w:val="18"/>
              </w:rPr>
              <w:t>Zvyšných 29 % zabezpeču</w:t>
            </w:r>
            <w:r>
              <w:rPr>
                <w:rFonts w:cs="Times New Roman"/>
                <w:sz w:val="18"/>
              </w:rPr>
              <w:t>jú opatrenia na strane výdavkov. Necelých 22 % (587 mil. eur v 2025)</w:t>
            </w:r>
            <w:r w:rsidRPr="001A5F6B">
              <w:rPr>
                <w:rFonts w:cs="Times New Roman"/>
                <w:sz w:val="18"/>
              </w:rPr>
              <w:t xml:space="preserve"> </w:t>
            </w:r>
            <w:r>
              <w:rPr>
                <w:rFonts w:cs="Times New Roman"/>
                <w:sz w:val="18"/>
              </w:rPr>
              <w:t>z </w:t>
            </w:r>
            <w:r w:rsidRPr="001A5F6B">
              <w:rPr>
                <w:rFonts w:cs="Times New Roman"/>
                <w:sz w:val="18"/>
              </w:rPr>
              <w:t>celkového objemu</w:t>
            </w:r>
            <w:r>
              <w:rPr>
                <w:rFonts w:cs="Times New Roman"/>
                <w:sz w:val="18"/>
              </w:rPr>
              <w:t xml:space="preserve"> konsolidácie</w:t>
            </w:r>
            <w:r w:rsidRPr="001A5F6B">
              <w:rPr>
                <w:rFonts w:cs="Times New Roman"/>
                <w:sz w:val="18"/>
              </w:rPr>
              <w:t xml:space="preserve"> predstavujú </w:t>
            </w:r>
            <w:r>
              <w:rPr>
                <w:rFonts w:cs="Times New Roman"/>
                <w:sz w:val="18"/>
              </w:rPr>
              <w:t>tzv. daňové výdavky, čiže rôzne úpravy a úľavy znižujúce potenciálny výnos. Zmena výšky daňových výdavkov oproti RVS na roky 2024 – 2026 dosahuje v roku 2025 úroveň 745 mil. eur.</w:t>
            </w:r>
          </w:p>
          <w:p w14:paraId="716A47B7" w14:textId="77777777" w:rsidR="00B63F9F" w:rsidRPr="00F42E63" w:rsidRDefault="00B63F9F" w:rsidP="000839FB">
            <w:pPr>
              <w:keepNext/>
              <w:spacing w:after="0"/>
              <w:rPr>
                <w:rFonts w:cs="Times New Roman"/>
                <w:b/>
                <w:iCs/>
                <w:color w:val="314364"/>
                <w:sz w:val="18"/>
                <w:szCs w:val="18"/>
              </w:rPr>
            </w:pPr>
            <w:r w:rsidRPr="00F42E63">
              <w:rPr>
                <w:rFonts w:cs="Times New Roman"/>
                <w:b/>
                <w:iCs/>
                <w:color w:val="314364"/>
                <w:sz w:val="18"/>
                <w:szCs w:val="18"/>
              </w:rPr>
              <w:t xml:space="preserve">Tabuľka </w:t>
            </w:r>
            <w:r>
              <w:rPr>
                <w:rFonts w:cs="Times New Roman"/>
                <w:b/>
                <w:iCs/>
                <w:color w:val="314364"/>
                <w:sz w:val="18"/>
                <w:szCs w:val="18"/>
              </w:rPr>
              <w:t>2</w:t>
            </w:r>
            <w:r w:rsidRPr="00F42E63">
              <w:rPr>
                <w:rFonts w:cs="Times New Roman"/>
                <w:b/>
                <w:iCs/>
                <w:color w:val="314364"/>
                <w:sz w:val="18"/>
                <w:szCs w:val="18"/>
              </w:rPr>
              <w:t xml:space="preserve">: </w:t>
            </w:r>
            <w:r>
              <w:rPr>
                <w:rFonts w:cs="Times New Roman"/>
                <w:b/>
                <w:iCs/>
                <w:color w:val="314364"/>
                <w:sz w:val="18"/>
                <w:szCs w:val="18"/>
              </w:rPr>
              <w:t>Vplyv jednotlivých konsolidačných opatrení na rozpočet podľa VpDP (ESA 2010, v mil. eur)</w:t>
            </w:r>
            <w:r w:rsidRPr="00F42E63">
              <w:rPr>
                <w:rFonts w:cs="Times New Roman"/>
                <w:b/>
                <w:iCs/>
                <w:color w:val="314364"/>
                <w:sz w:val="18"/>
                <w:szCs w:val="18"/>
              </w:rPr>
              <w:t xml:space="preserve"> </w:t>
            </w:r>
          </w:p>
          <w:tbl>
            <w:tblPr>
              <w:tblW w:w="8624" w:type="dxa"/>
              <w:jc w:val="center"/>
              <w:tblCellMar>
                <w:top w:w="28" w:type="dxa"/>
              </w:tblCellMar>
              <w:tblLook w:val="04A0" w:firstRow="1" w:lastRow="0" w:firstColumn="1" w:lastColumn="0" w:noHBand="0" w:noVBand="1"/>
            </w:tblPr>
            <w:tblGrid>
              <w:gridCol w:w="6297"/>
              <w:gridCol w:w="850"/>
              <w:gridCol w:w="711"/>
              <w:gridCol w:w="766"/>
            </w:tblGrid>
            <w:tr w:rsidR="00B63F9F" w:rsidRPr="00622079" w14:paraId="076CF6B5" w14:textId="77777777" w:rsidTr="000839FB">
              <w:trPr>
                <w:trHeight w:val="57"/>
                <w:tblHeader/>
                <w:jc w:val="center"/>
              </w:trPr>
              <w:tc>
                <w:tcPr>
                  <w:tcW w:w="3651" w:type="pct"/>
                  <w:tcBorders>
                    <w:bottom w:val="single" w:sz="4" w:space="0" w:color="314364"/>
                  </w:tcBorders>
                  <w:shd w:val="clear" w:color="auto" w:fill="314364"/>
                  <w:vAlign w:val="center"/>
                </w:tcPr>
                <w:p w14:paraId="154E246E" w14:textId="77777777" w:rsidR="00B63F9F" w:rsidRPr="00622079" w:rsidRDefault="00B63F9F" w:rsidP="000839FB">
                  <w:pPr>
                    <w:spacing w:after="0" w:line="240" w:lineRule="auto"/>
                    <w:rPr>
                      <w:rFonts w:eastAsia="Calibri" w:cs="Segoe UI"/>
                      <w:b/>
                      <w:color w:val="FFFFFF"/>
                      <w:sz w:val="16"/>
                      <w:szCs w:val="16"/>
                    </w:rPr>
                  </w:pPr>
                </w:p>
              </w:tc>
              <w:tc>
                <w:tcPr>
                  <w:tcW w:w="493" w:type="pct"/>
                  <w:tcBorders>
                    <w:bottom w:val="single" w:sz="4" w:space="0" w:color="314364"/>
                  </w:tcBorders>
                  <w:shd w:val="clear" w:color="auto" w:fill="314364"/>
                  <w:vAlign w:val="center"/>
                </w:tcPr>
                <w:p w14:paraId="71D85305" w14:textId="77777777" w:rsidR="00B63F9F" w:rsidRPr="00622079" w:rsidRDefault="00B63F9F" w:rsidP="000839FB">
                  <w:pPr>
                    <w:spacing w:after="0" w:line="240" w:lineRule="auto"/>
                    <w:jc w:val="right"/>
                    <w:rPr>
                      <w:rFonts w:eastAsia="Calibri" w:cs="Segoe UI"/>
                      <w:b/>
                      <w:color w:val="FFFFFF"/>
                      <w:sz w:val="16"/>
                      <w:szCs w:val="16"/>
                    </w:rPr>
                  </w:pPr>
                  <w:r w:rsidRPr="00622079">
                    <w:rPr>
                      <w:rFonts w:eastAsia="Calibri" w:cs="Segoe UI"/>
                      <w:b/>
                      <w:color w:val="FFFFFF"/>
                      <w:sz w:val="16"/>
                      <w:szCs w:val="16"/>
                    </w:rPr>
                    <w:t>2025</w:t>
                  </w:r>
                </w:p>
              </w:tc>
              <w:tc>
                <w:tcPr>
                  <w:tcW w:w="412" w:type="pct"/>
                  <w:tcBorders>
                    <w:bottom w:val="single" w:sz="4" w:space="0" w:color="314364"/>
                  </w:tcBorders>
                  <w:shd w:val="clear" w:color="auto" w:fill="314364"/>
                  <w:vAlign w:val="center"/>
                </w:tcPr>
                <w:p w14:paraId="12F5D676" w14:textId="77777777" w:rsidR="00B63F9F" w:rsidRPr="00622079" w:rsidRDefault="00B63F9F" w:rsidP="000839FB">
                  <w:pPr>
                    <w:spacing w:after="0" w:line="240" w:lineRule="auto"/>
                    <w:jc w:val="right"/>
                    <w:rPr>
                      <w:rFonts w:eastAsia="Calibri" w:cs="Segoe UI"/>
                      <w:b/>
                      <w:color w:val="FFFFFF"/>
                      <w:sz w:val="16"/>
                      <w:szCs w:val="16"/>
                    </w:rPr>
                  </w:pPr>
                  <w:r w:rsidRPr="00622079">
                    <w:rPr>
                      <w:rFonts w:eastAsia="Calibri" w:cs="Segoe UI"/>
                      <w:b/>
                      <w:color w:val="FFFFFF"/>
                      <w:sz w:val="16"/>
                      <w:szCs w:val="16"/>
                    </w:rPr>
                    <w:t>2026</w:t>
                  </w:r>
                </w:p>
              </w:tc>
              <w:tc>
                <w:tcPr>
                  <w:tcW w:w="444" w:type="pct"/>
                  <w:tcBorders>
                    <w:bottom w:val="single" w:sz="4" w:space="0" w:color="314364"/>
                  </w:tcBorders>
                  <w:shd w:val="clear" w:color="auto" w:fill="314364"/>
                  <w:vAlign w:val="center"/>
                </w:tcPr>
                <w:p w14:paraId="7C313937" w14:textId="77777777" w:rsidR="00B63F9F" w:rsidRPr="00622079" w:rsidRDefault="00B63F9F" w:rsidP="000839FB">
                  <w:pPr>
                    <w:spacing w:after="0" w:line="240" w:lineRule="auto"/>
                    <w:jc w:val="right"/>
                    <w:rPr>
                      <w:rFonts w:eastAsia="Calibri" w:cs="Segoe UI"/>
                      <w:b/>
                      <w:color w:val="FFFFFF"/>
                      <w:sz w:val="16"/>
                      <w:szCs w:val="16"/>
                    </w:rPr>
                  </w:pPr>
                  <w:r w:rsidRPr="00622079">
                    <w:rPr>
                      <w:rFonts w:eastAsia="Calibri" w:cs="Segoe UI"/>
                      <w:b/>
                      <w:color w:val="FFFFFF"/>
                      <w:sz w:val="16"/>
                      <w:szCs w:val="16"/>
                    </w:rPr>
                    <w:t>2027</w:t>
                  </w:r>
                </w:p>
              </w:tc>
            </w:tr>
            <w:tr w:rsidR="00B63F9F" w:rsidRPr="00622079" w14:paraId="2D5666A4" w14:textId="77777777" w:rsidTr="000839FB">
              <w:trPr>
                <w:trHeight w:val="57"/>
                <w:jc w:val="center"/>
              </w:trPr>
              <w:tc>
                <w:tcPr>
                  <w:tcW w:w="3651" w:type="pct"/>
                  <w:tcBorders>
                    <w:top w:val="single" w:sz="4" w:space="0" w:color="314364"/>
                  </w:tcBorders>
                  <w:vAlign w:val="center"/>
                </w:tcPr>
                <w:p w14:paraId="7A413DD0" w14:textId="77777777" w:rsidR="00B63F9F" w:rsidRPr="00622079" w:rsidRDefault="00B63F9F" w:rsidP="000839FB">
                  <w:pPr>
                    <w:spacing w:after="0" w:line="240" w:lineRule="auto"/>
                    <w:jc w:val="left"/>
                    <w:rPr>
                      <w:rFonts w:eastAsia="Calibri" w:cs="Segoe UI"/>
                      <w:sz w:val="16"/>
                      <w:szCs w:val="16"/>
                    </w:rPr>
                  </w:pPr>
                  <w:r w:rsidRPr="0027295D">
                    <w:rPr>
                      <w:rFonts w:cs="Segoe UI"/>
                      <w:b/>
                      <w:bCs/>
                      <w:color w:val="000000"/>
                      <w:sz w:val="16"/>
                      <w:szCs w:val="16"/>
                    </w:rPr>
                    <w:t>Príjmové opatrenia</w:t>
                  </w:r>
                  <w:r>
                    <w:rPr>
                      <w:rFonts w:cs="Segoe UI"/>
                      <w:b/>
                      <w:bCs/>
                      <w:color w:val="000000"/>
                      <w:sz w:val="16"/>
                      <w:szCs w:val="16"/>
                    </w:rPr>
                    <w:t xml:space="preserve"> SPOLU</w:t>
                  </w:r>
                </w:p>
              </w:tc>
              <w:tc>
                <w:tcPr>
                  <w:tcW w:w="493" w:type="pct"/>
                  <w:tcBorders>
                    <w:top w:val="single" w:sz="4" w:space="0" w:color="314364"/>
                  </w:tcBorders>
                </w:tcPr>
                <w:p w14:paraId="33ED6061" w14:textId="77777777" w:rsidR="00B63F9F" w:rsidRPr="00421E5F" w:rsidRDefault="00B63F9F" w:rsidP="000839FB">
                  <w:pPr>
                    <w:spacing w:after="0" w:line="240" w:lineRule="auto"/>
                    <w:jc w:val="right"/>
                    <w:rPr>
                      <w:rFonts w:eastAsia="Calibri" w:cs="Segoe UI"/>
                      <w:b/>
                      <w:sz w:val="16"/>
                      <w:szCs w:val="16"/>
                    </w:rPr>
                  </w:pPr>
                  <w:r w:rsidRPr="00421E5F">
                    <w:rPr>
                      <w:b/>
                      <w:sz w:val="16"/>
                      <w:szCs w:val="16"/>
                    </w:rPr>
                    <w:t>1 906</w:t>
                  </w:r>
                </w:p>
              </w:tc>
              <w:tc>
                <w:tcPr>
                  <w:tcW w:w="412" w:type="pct"/>
                  <w:tcBorders>
                    <w:top w:val="single" w:sz="4" w:space="0" w:color="314364"/>
                  </w:tcBorders>
                </w:tcPr>
                <w:p w14:paraId="349740FB" w14:textId="77777777" w:rsidR="00B63F9F" w:rsidRPr="00421E5F" w:rsidRDefault="00B63F9F" w:rsidP="000839FB">
                  <w:pPr>
                    <w:spacing w:after="0" w:line="240" w:lineRule="auto"/>
                    <w:jc w:val="right"/>
                    <w:rPr>
                      <w:rFonts w:eastAsia="Calibri" w:cs="Segoe UI"/>
                      <w:b/>
                      <w:sz w:val="16"/>
                      <w:szCs w:val="16"/>
                    </w:rPr>
                  </w:pPr>
                  <w:r w:rsidRPr="00421E5F">
                    <w:rPr>
                      <w:b/>
                      <w:sz w:val="16"/>
                      <w:szCs w:val="16"/>
                    </w:rPr>
                    <w:t>2 216</w:t>
                  </w:r>
                </w:p>
              </w:tc>
              <w:tc>
                <w:tcPr>
                  <w:tcW w:w="444" w:type="pct"/>
                  <w:tcBorders>
                    <w:top w:val="single" w:sz="4" w:space="0" w:color="314364"/>
                  </w:tcBorders>
                  <w:shd w:val="clear" w:color="auto" w:fill="auto"/>
                </w:tcPr>
                <w:p w14:paraId="29A4AB8F" w14:textId="77777777" w:rsidR="00B63F9F" w:rsidRPr="00421E5F" w:rsidRDefault="00B63F9F" w:rsidP="000839FB">
                  <w:pPr>
                    <w:spacing w:after="0" w:line="240" w:lineRule="auto"/>
                    <w:jc w:val="right"/>
                    <w:rPr>
                      <w:rFonts w:eastAsia="Calibri" w:cs="Segoe UI"/>
                      <w:b/>
                      <w:sz w:val="16"/>
                      <w:szCs w:val="16"/>
                    </w:rPr>
                  </w:pPr>
                  <w:r w:rsidRPr="00421E5F">
                    <w:rPr>
                      <w:b/>
                      <w:sz w:val="16"/>
                      <w:szCs w:val="16"/>
                    </w:rPr>
                    <w:t>2 221</w:t>
                  </w:r>
                </w:p>
              </w:tc>
            </w:tr>
            <w:tr w:rsidR="00B63F9F" w:rsidRPr="00622079" w14:paraId="605AAFF0" w14:textId="77777777" w:rsidTr="000839FB">
              <w:trPr>
                <w:trHeight w:val="57"/>
                <w:jc w:val="center"/>
              </w:trPr>
              <w:tc>
                <w:tcPr>
                  <w:tcW w:w="3651" w:type="pct"/>
                  <w:tcBorders>
                    <w:top w:val="single" w:sz="4" w:space="0" w:color="314364"/>
                  </w:tcBorders>
                  <w:vAlign w:val="center"/>
                </w:tcPr>
                <w:p w14:paraId="66AC6550" w14:textId="77777777" w:rsidR="00B63F9F" w:rsidRPr="00421E5F" w:rsidRDefault="00B63F9F" w:rsidP="000839FB">
                  <w:pPr>
                    <w:spacing w:after="0" w:line="240" w:lineRule="auto"/>
                    <w:jc w:val="left"/>
                    <w:rPr>
                      <w:rFonts w:cs="Segoe UI"/>
                      <w:b/>
                      <w:bCs/>
                      <w:i/>
                      <w:color w:val="000000"/>
                      <w:sz w:val="16"/>
                      <w:szCs w:val="16"/>
                    </w:rPr>
                  </w:pPr>
                  <w:r w:rsidRPr="00421E5F">
                    <w:rPr>
                      <w:rFonts w:cs="Segoe UI"/>
                      <w:b/>
                      <w:bCs/>
                      <w:i/>
                      <w:color w:val="000000"/>
                      <w:sz w:val="16"/>
                      <w:szCs w:val="16"/>
                    </w:rPr>
                    <w:t xml:space="preserve">Príjmové opatrenia zvyšujúce príjmy </w:t>
                  </w:r>
                </w:p>
              </w:tc>
              <w:tc>
                <w:tcPr>
                  <w:tcW w:w="493" w:type="pct"/>
                  <w:tcBorders>
                    <w:top w:val="single" w:sz="4" w:space="0" w:color="314364"/>
                  </w:tcBorders>
                  <w:vAlign w:val="bottom"/>
                </w:tcPr>
                <w:p w14:paraId="7EB78FB1" w14:textId="77777777" w:rsidR="00B63F9F" w:rsidRPr="00421E5F" w:rsidRDefault="00B63F9F" w:rsidP="000839FB">
                  <w:pPr>
                    <w:spacing w:after="0" w:line="240" w:lineRule="auto"/>
                    <w:jc w:val="right"/>
                    <w:rPr>
                      <w:rFonts w:cs="Segoe UI"/>
                      <w:b/>
                      <w:bCs/>
                      <w:i/>
                      <w:color w:val="000000"/>
                      <w:sz w:val="16"/>
                      <w:szCs w:val="16"/>
                    </w:rPr>
                  </w:pPr>
                  <w:r w:rsidRPr="00421E5F">
                    <w:rPr>
                      <w:rFonts w:cs="Segoe UI"/>
                      <w:b/>
                      <w:bCs/>
                      <w:i/>
                      <w:color w:val="000000"/>
                      <w:sz w:val="16"/>
                      <w:szCs w:val="16"/>
                    </w:rPr>
                    <w:t>2 493</w:t>
                  </w:r>
                </w:p>
              </w:tc>
              <w:tc>
                <w:tcPr>
                  <w:tcW w:w="412" w:type="pct"/>
                  <w:tcBorders>
                    <w:top w:val="single" w:sz="4" w:space="0" w:color="314364"/>
                  </w:tcBorders>
                  <w:vAlign w:val="bottom"/>
                </w:tcPr>
                <w:p w14:paraId="63106D23" w14:textId="77777777" w:rsidR="00B63F9F" w:rsidRPr="00421E5F" w:rsidRDefault="00B63F9F" w:rsidP="000839FB">
                  <w:pPr>
                    <w:spacing w:after="0" w:line="240" w:lineRule="auto"/>
                    <w:jc w:val="right"/>
                    <w:rPr>
                      <w:rFonts w:cs="Segoe UI"/>
                      <w:b/>
                      <w:bCs/>
                      <w:i/>
                      <w:color w:val="000000"/>
                      <w:sz w:val="16"/>
                      <w:szCs w:val="16"/>
                    </w:rPr>
                  </w:pPr>
                  <w:r w:rsidRPr="00421E5F">
                    <w:rPr>
                      <w:rFonts w:cs="Segoe UI"/>
                      <w:b/>
                      <w:bCs/>
                      <w:i/>
                      <w:color w:val="000000"/>
                      <w:sz w:val="16"/>
                      <w:szCs w:val="16"/>
                    </w:rPr>
                    <w:t>2 838</w:t>
                  </w:r>
                </w:p>
              </w:tc>
              <w:tc>
                <w:tcPr>
                  <w:tcW w:w="444" w:type="pct"/>
                  <w:tcBorders>
                    <w:top w:val="single" w:sz="4" w:space="0" w:color="314364"/>
                  </w:tcBorders>
                  <w:shd w:val="clear" w:color="auto" w:fill="auto"/>
                  <w:vAlign w:val="bottom"/>
                </w:tcPr>
                <w:p w14:paraId="0837D107" w14:textId="77777777" w:rsidR="00B63F9F" w:rsidRPr="00421E5F" w:rsidRDefault="00B63F9F" w:rsidP="000839FB">
                  <w:pPr>
                    <w:spacing w:after="0" w:line="240" w:lineRule="auto"/>
                    <w:jc w:val="right"/>
                    <w:rPr>
                      <w:rFonts w:cs="Segoe UI"/>
                      <w:b/>
                      <w:bCs/>
                      <w:i/>
                      <w:color w:val="000000"/>
                      <w:sz w:val="16"/>
                      <w:szCs w:val="16"/>
                    </w:rPr>
                  </w:pPr>
                  <w:r w:rsidRPr="00421E5F">
                    <w:rPr>
                      <w:rFonts w:cs="Segoe UI"/>
                      <w:b/>
                      <w:bCs/>
                      <w:i/>
                      <w:color w:val="000000"/>
                      <w:sz w:val="16"/>
                      <w:szCs w:val="16"/>
                    </w:rPr>
                    <w:t>2 884</w:t>
                  </w:r>
                </w:p>
              </w:tc>
            </w:tr>
            <w:tr w:rsidR="00B63F9F" w:rsidRPr="00622079" w14:paraId="0E5ADFDC" w14:textId="77777777" w:rsidTr="000839FB">
              <w:trPr>
                <w:trHeight w:val="57"/>
                <w:jc w:val="center"/>
              </w:trPr>
              <w:tc>
                <w:tcPr>
                  <w:tcW w:w="3651" w:type="pct"/>
                  <w:vAlign w:val="bottom"/>
                </w:tcPr>
                <w:p w14:paraId="121C8573" w14:textId="77777777" w:rsidR="00B63F9F" w:rsidRPr="00622079" w:rsidRDefault="00B63F9F" w:rsidP="000839FB">
                  <w:pPr>
                    <w:spacing w:after="0" w:line="240" w:lineRule="auto"/>
                    <w:jc w:val="left"/>
                    <w:rPr>
                      <w:rFonts w:eastAsia="Calibri" w:cs="Segoe UI"/>
                      <w:sz w:val="16"/>
                      <w:szCs w:val="16"/>
                    </w:rPr>
                  </w:pPr>
                  <w:r w:rsidRPr="00622079">
                    <w:rPr>
                      <w:rFonts w:cs="Segoe UI"/>
                      <w:color w:val="000000"/>
                      <w:sz w:val="16"/>
                      <w:szCs w:val="16"/>
                    </w:rPr>
                    <w:t xml:space="preserve">Zvýšenie základnej sadzby DPH na 23% </w:t>
                  </w:r>
                </w:p>
              </w:tc>
              <w:tc>
                <w:tcPr>
                  <w:tcW w:w="493" w:type="pct"/>
                  <w:vAlign w:val="bottom"/>
                </w:tcPr>
                <w:p w14:paraId="6B383888"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1 216</w:t>
                  </w:r>
                </w:p>
              </w:tc>
              <w:tc>
                <w:tcPr>
                  <w:tcW w:w="412" w:type="pct"/>
                  <w:vAlign w:val="bottom"/>
                </w:tcPr>
                <w:p w14:paraId="66DDBC9B"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1 277</w:t>
                  </w:r>
                </w:p>
              </w:tc>
              <w:tc>
                <w:tcPr>
                  <w:tcW w:w="444" w:type="pct"/>
                  <w:shd w:val="clear" w:color="auto" w:fill="auto"/>
                  <w:vAlign w:val="bottom"/>
                </w:tcPr>
                <w:p w14:paraId="6399623E"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1 265</w:t>
                  </w:r>
                </w:p>
              </w:tc>
            </w:tr>
            <w:tr w:rsidR="00B63F9F" w:rsidRPr="00622079" w14:paraId="35F23027" w14:textId="77777777" w:rsidTr="000839FB">
              <w:trPr>
                <w:trHeight w:val="57"/>
                <w:jc w:val="center"/>
              </w:trPr>
              <w:tc>
                <w:tcPr>
                  <w:tcW w:w="3651" w:type="pct"/>
                  <w:vAlign w:val="bottom"/>
                </w:tcPr>
                <w:p w14:paraId="4F4AADA6" w14:textId="77777777" w:rsidR="00B63F9F" w:rsidRPr="00622079" w:rsidRDefault="00B63F9F" w:rsidP="000839FB">
                  <w:pPr>
                    <w:spacing w:after="0" w:line="240" w:lineRule="auto"/>
                    <w:jc w:val="left"/>
                    <w:rPr>
                      <w:rFonts w:eastAsia="Calibri" w:cs="Segoe UI"/>
                      <w:sz w:val="16"/>
                      <w:szCs w:val="16"/>
                    </w:rPr>
                  </w:pPr>
                  <w:r w:rsidRPr="00622079">
                    <w:rPr>
                      <w:rFonts w:cs="Segoe UI"/>
                      <w:color w:val="000000"/>
                      <w:sz w:val="16"/>
                      <w:szCs w:val="16"/>
                    </w:rPr>
                    <w:t xml:space="preserve">Daň z finančných transakcií </w:t>
                  </w:r>
                </w:p>
              </w:tc>
              <w:tc>
                <w:tcPr>
                  <w:tcW w:w="493" w:type="pct"/>
                  <w:vAlign w:val="bottom"/>
                </w:tcPr>
                <w:p w14:paraId="7EF49204"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517</w:t>
                  </w:r>
                </w:p>
              </w:tc>
              <w:tc>
                <w:tcPr>
                  <w:tcW w:w="412" w:type="pct"/>
                  <w:vAlign w:val="bottom"/>
                </w:tcPr>
                <w:p w14:paraId="0792A60F"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723</w:t>
                  </w:r>
                </w:p>
              </w:tc>
              <w:tc>
                <w:tcPr>
                  <w:tcW w:w="444" w:type="pct"/>
                  <w:shd w:val="clear" w:color="auto" w:fill="auto"/>
                  <w:vAlign w:val="bottom"/>
                </w:tcPr>
                <w:p w14:paraId="1FF931A4"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755</w:t>
                  </w:r>
                </w:p>
              </w:tc>
            </w:tr>
            <w:tr w:rsidR="00B63F9F" w:rsidRPr="00622079" w14:paraId="5282CFE1" w14:textId="77777777" w:rsidTr="000839FB">
              <w:trPr>
                <w:trHeight w:val="57"/>
                <w:jc w:val="center"/>
              </w:trPr>
              <w:tc>
                <w:tcPr>
                  <w:tcW w:w="3651" w:type="pct"/>
                  <w:vAlign w:val="bottom"/>
                </w:tcPr>
                <w:p w14:paraId="272E1E43" w14:textId="77777777" w:rsidR="00B63F9F" w:rsidRPr="00622079" w:rsidRDefault="00B63F9F" w:rsidP="000839FB">
                  <w:pPr>
                    <w:spacing w:after="0" w:line="240" w:lineRule="auto"/>
                    <w:jc w:val="left"/>
                    <w:rPr>
                      <w:rFonts w:eastAsia="Calibri" w:cs="Segoe UI"/>
                      <w:sz w:val="16"/>
                      <w:szCs w:val="16"/>
                    </w:rPr>
                  </w:pPr>
                  <w:r w:rsidRPr="00622079">
                    <w:rPr>
                      <w:rFonts w:cs="Segoe UI"/>
                      <w:color w:val="000000"/>
                      <w:sz w:val="16"/>
                      <w:szCs w:val="16"/>
                    </w:rPr>
                    <w:t xml:space="preserve">Nová sadzba DPPO vo výške 24 % pre firmy so zdaniteľným príjmom nad 5 mil. eur </w:t>
                  </w:r>
                </w:p>
              </w:tc>
              <w:tc>
                <w:tcPr>
                  <w:tcW w:w="493" w:type="pct"/>
                  <w:vAlign w:val="bottom"/>
                </w:tcPr>
                <w:p w14:paraId="2F4BBEDE"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489</w:t>
                  </w:r>
                </w:p>
              </w:tc>
              <w:tc>
                <w:tcPr>
                  <w:tcW w:w="412" w:type="pct"/>
                  <w:vAlign w:val="bottom"/>
                </w:tcPr>
                <w:p w14:paraId="07E60BEA"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505</w:t>
                  </w:r>
                </w:p>
              </w:tc>
              <w:tc>
                <w:tcPr>
                  <w:tcW w:w="444" w:type="pct"/>
                  <w:shd w:val="clear" w:color="auto" w:fill="auto"/>
                  <w:vAlign w:val="bottom"/>
                </w:tcPr>
                <w:p w14:paraId="1F63CB81"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521</w:t>
                  </w:r>
                </w:p>
              </w:tc>
            </w:tr>
            <w:tr w:rsidR="00B63F9F" w:rsidRPr="00622079" w14:paraId="0AC499ED" w14:textId="77777777" w:rsidTr="000839FB">
              <w:trPr>
                <w:trHeight w:val="57"/>
                <w:jc w:val="center"/>
              </w:trPr>
              <w:tc>
                <w:tcPr>
                  <w:tcW w:w="3651" w:type="pct"/>
                  <w:vAlign w:val="bottom"/>
                </w:tcPr>
                <w:p w14:paraId="7F6DD788" w14:textId="77777777" w:rsidR="00B63F9F" w:rsidRPr="00622079" w:rsidRDefault="00B63F9F" w:rsidP="000839FB">
                  <w:pPr>
                    <w:spacing w:after="0" w:line="240" w:lineRule="auto"/>
                    <w:jc w:val="left"/>
                    <w:rPr>
                      <w:rFonts w:eastAsia="Calibri" w:cs="Segoe UI"/>
                      <w:sz w:val="16"/>
                      <w:szCs w:val="16"/>
                    </w:rPr>
                  </w:pPr>
                  <w:r w:rsidRPr="00622079">
                    <w:rPr>
                      <w:rFonts w:cs="Segoe UI"/>
                      <w:color w:val="000000"/>
                      <w:sz w:val="16"/>
                      <w:szCs w:val="16"/>
                    </w:rPr>
                    <w:t>Diaľničné známky a mýto (viac opatrení)</w:t>
                  </w:r>
                </w:p>
              </w:tc>
              <w:tc>
                <w:tcPr>
                  <w:tcW w:w="493" w:type="pct"/>
                  <w:vAlign w:val="bottom"/>
                </w:tcPr>
                <w:p w14:paraId="33F272B8"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88</w:t>
                  </w:r>
                </w:p>
              </w:tc>
              <w:tc>
                <w:tcPr>
                  <w:tcW w:w="412" w:type="pct"/>
                  <w:vAlign w:val="bottom"/>
                </w:tcPr>
                <w:p w14:paraId="7727CF7D"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144</w:t>
                  </w:r>
                </w:p>
              </w:tc>
              <w:tc>
                <w:tcPr>
                  <w:tcW w:w="444" w:type="pct"/>
                  <w:shd w:val="clear" w:color="auto" w:fill="auto"/>
                  <w:vAlign w:val="bottom"/>
                </w:tcPr>
                <w:p w14:paraId="4D4FD5A9"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148</w:t>
                  </w:r>
                </w:p>
              </w:tc>
            </w:tr>
            <w:tr w:rsidR="00B63F9F" w:rsidRPr="00622079" w14:paraId="34E077F5" w14:textId="77777777" w:rsidTr="000839FB">
              <w:trPr>
                <w:trHeight w:val="57"/>
                <w:jc w:val="center"/>
              </w:trPr>
              <w:tc>
                <w:tcPr>
                  <w:tcW w:w="3651" w:type="pct"/>
                  <w:vAlign w:val="bottom"/>
                </w:tcPr>
                <w:p w14:paraId="3351D14C" w14:textId="77777777" w:rsidR="00B63F9F" w:rsidRPr="00622079" w:rsidRDefault="00B63F9F" w:rsidP="000839FB">
                  <w:pPr>
                    <w:spacing w:after="0" w:line="240" w:lineRule="auto"/>
                    <w:jc w:val="left"/>
                    <w:rPr>
                      <w:rFonts w:eastAsia="Calibri" w:cs="Segoe UI"/>
                      <w:sz w:val="16"/>
                      <w:szCs w:val="16"/>
                    </w:rPr>
                  </w:pPr>
                  <w:r w:rsidRPr="00622079">
                    <w:rPr>
                      <w:rFonts w:cs="Segoe UI"/>
                      <w:color w:val="000000"/>
                      <w:sz w:val="16"/>
                      <w:szCs w:val="16"/>
                    </w:rPr>
                    <w:t>Zvýšenie stropov (max. VZ) pre platenie sociálnych odvodov zo 7- na 11-násobok priemernej mzdy (spred dvoch rokov)- týka sa zamestnancov, zamestnávateľov, SZČO.</w:t>
                  </w:r>
                </w:p>
              </w:tc>
              <w:tc>
                <w:tcPr>
                  <w:tcW w:w="493" w:type="pct"/>
                  <w:vAlign w:val="bottom"/>
                </w:tcPr>
                <w:p w14:paraId="64D70CED"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88</w:t>
                  </w:r>
                </w:p>
              </w:tc>
              <w:tc>
                <w:tcPr>
                  <w:tcW w:w="412" w:type="pct"/>
                  <w:vAlign w:val="bottom"/>
                </w:tcPr>
                <w:p w14:paraId="2917C268"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92</w:t>
                  </w:r>
                </w:p>
              </w:tc>
              <w:tc>
                <w:tcPr>
                  <w:tcW w:w="444" w:type="pct"/>
                  <w:shd w:val="clear" w:color="auto" w:fill="auto"/>
                  <w:vAlign w:val="bottom"/>
                </w:tcPr>
                <w:p w14:paraId="0F89CF40"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96</w:t>
                  </w:r>
                </w:p>
              </w:tc>
            </w:tr>
            <w:tr w:rsidR="00B63F9F" w:rsidRPr="00622079" w14:paraId="152ED268" w14:textId="77777777" w:rsidTr="000839FB">
              <w:trPr>
                <w:trHeight w:val="57"/>
                <w:jc w:val="center"/>
              </w:trPr>
              <w:tc>
                <w:tcPr>
                  <w:tcW w:w="3651" w:type="pct"/>
                  <w:vAlign w:val="bottom"/>
                </w:tcPr>
                <w:p w14:paraId="2266C434" w14:textId="77777777" w:rsidR="00B63F9F" w:rsidRPr="00622079" w:rsidRDefault="00B63F9F" w:rsidP="000839FB">
                  <w:pPr>
                    <w:spacing w:after="0" w:line="240" w:lineRule="auto"/>
                    <w:jc w:val="left"/>
                    <w:rPr>
                      <w:rFonts w:eastAsia="Calibri" w:cs="Segoe UI"/>
                      <w:sz w:val="16"/>
                      <w:szCs w:val="16"/>
                    </w:rPr>
                  </w:pPr>
                  <w:r w:rsidRPr="00622079">
                    <w:rPr>
                      <w:rFonts w:cs="Segoe UI"/>
                      <w:color w:val="000000"/>
                      <w:sz w:val="16"/>
                      <w:szCs w:val="16"/>
                    </w:rPr>
                    <w:t>Zaradenie rafinérií medzi firmy platiace osobitný odvod z podnikania v regulovaných odvetviach</w:t>
                  </w:r>
                </w:p>
              </w:tc>
              <w:tc>
                <w:tcPr>
                  <w:tcW w:w="493" w:type="pct"/>
                  <w:vAlign w:val="bottom"/>
                </w:tcPr>
                <w:p w14:paraId="5B81BC55"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36</w:t>
                  </w:r>
                </w:p>
              </w:tc>
              <w:tc>
                <w:tcPr>
                  <w:tcW w:w="412" w:type="pct"/>
                  <w:vAlign w:val="bottom"/>
                </w:tcPr>
                <w:p w14:paraId="1B22E09F"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36</w:t>
                  </w:r>
                </w:p>
              </w:tc>
              <w:tc>
                <w:tcPr>
                  <w:tcW w:w="444" w:type="pct"/>
                  <w:shd w:val="clear" w:color="auto" w:fill="auto"/>
                  <w:vAlign w:val="bottom"/>
                </w:tcPr>
                <w:p w14:paraId="24100224"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36</w:t>
                  </w:r>
                </w:p>
              </w:tc>
            </w:tr>
            <w:tr w:rsidR="00B63F9F" w:rsidRPr="00622079" w14:paraId="760CA4A7" w14:textId="77777777" w:rsidTr="000839FB">
              <w:trPr>
                <w:trHeight w:val="57"/>
                <w:jc w:val="center"/>
              </w:trPr>
              <w:tc>
                <w:tcPr>
                  <w:tcW w:w="3651" w:type="pct"/>
                  <w:vAlign w:val="bottom"/>
                </w:tcPr>
                <w:p w14:paraId="404AA384" w14:textId="77777777" w:rsidR="00B63F9F" w:rsidRPr="00622079" w:rsidRDefault="00B63F9F" w:rsidP="000839FB">
                  <w:pPr>
                    <w:spacing w:after="0" w:line="240" w:lineRule="auto"/>
                    <w:jc w:val="left"/>
                    <w:rPr>
                      <w:rFonts w:eastAsia="Calibri" w:cs="Segoe UI"/>
                      <w:sz w:val="16"/>
                      <w:szCs w:val="16"/>
                    </w:rPr>
                  </w:pPr>
                  <w:r w:rsidRPr="00622079">
                    <w:rPr>
                      <w:rFonts w:cs="Segoe UI"/>
                      <w:color w:val="000000"/>
                      <w:sz w:val="16"/>
                      <w:szCs w:val="16"/>
                    </w:rPr>
                    <w:t>Zvýšenie osobitného odvodu z podnikania v regulovaných odvetviach pre mobilných operátorov</w:t>
                  </w:r>
                </w:p>
              </w:tc>
              <w:tc>
                <w:tcPr>
                  <w:tcW w:w="493" w:type="pct"/>
                  <w:vAlign w:val="bottom"/>
                </w:tcPr>
                <w:p w14:paraId="0A6FE097"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25</w:t>
                  </w:r>
                </w:p>
              </w:tc>
              <w:tc>
                <w:tcPr>
                  <w:tcW w:w="412" w:type="pct"/>
                  <w:vAlign w:val="bottom"/>
                </w:tcPr>
                <w:p w14:paraId="0107A7F9"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25</w:t>
                  </w:r>
                </w:p>
              </w:tc>
              <w:tc>
                <w:tcPr>
                  <w:tcW w:w="444" w:type="pct"/>
                  <w:shd w:val="clear" w:color="auto" w:fill="auto"/>
                  <w:vAlign w:val="bottom"/>
                </w:tcPr>
                <w:p w14:paraId="1DC3A7E4"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25</w:t>
                  </w:r>
                </w:p>
              </w:tc>
            </w:tr>
            <w:tr w:rsidR="00B63F9F" w:rsidRPr="00622079" w14:paraId="75071A40" w14:textId="77777777" w:rsidTr="000839FB">
              <w:trPr>
                <w:trHeight w:val="57"/>
                <w:jc w:val="center"/>
              </w:trPr>
              <w:tc>
                <w:tcPr>
                  <w:tcW w:w="3651" w:type="pct"/>
                  <w:vAlign w:val="bottom"/>
                </w:tcPr>
                <w:p w14:paraId="5E15834E" w14:textId="77777777" w:rsidR="00B63F9F" w:rsidRPr="00622079" w:rsidRDefault="00B63F9F" w:rsidP="000839FB">
                  <w:pPr>
                    <w:spacing w:after="0" w:line="240" w:lineRule="auto"/>
                    <w:jc w:val="left"/>
                    <w:rPr>
                      <w:rFonts w:eastAsia="Calibri" w:cs="Segoe UI"/>
                      <w:sz w:val="16"/>
                      <w:szCs w:val="16"/>
                    </w:rPr>
                  </w:pPr>
                  <w:r w:rsidRPr="00622079">
                    <w:rPr>
                      <w:rFonts w:cs="Segoe UI"/>
                      <w:color w:val="000000"/>
                      <w:sz w:val="16"/>
                      <w:szCs w:val="16"/>
                    </w:rPr>
                    <w:t>Zvýšená sadzba DPH gastro nealko nápoje (19 %)</w:t>
                  </w:r>
                </w:p>
              </w:tc>
              <w:tc>
                <w:tcPr>
                  <w:tcW w:w="493" w:type="pct"/>
                  <w:vAlign w:val="bottom"/>
                </w:tcPr>
                <w:p w14:paraId="7A5B2777"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19</w:t>
                  </w:r>
                </w:p>
              </w:tc>
              <w:tc>
                <w:tcPr>
                  <w:tcW w:w="412" w:type="pct"/>
                  <w:vAlign w:val="bottom"/>
                </w:tcPr>
                <w:p w14:paraId="16060229"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20</w:t>
                  </w:r>
                </w:p>
              </w:tc>
              <w:tc>
                <w:tcPr>
                  <w:tcW w:w="444" w:type="pct"/>
                  <w:shd w:val="clear" w:color="auto" w:fill="auto"/>
                  <w:vAlign w:val="bottom"/>
                </w:tcPr>
                <w:p w14:paraId="7F8D912B"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21</w:t>
                  </w:r>
                </w:p>
              </w:tc>
            </w:tr>
            <w:tr w:rsidR="00B63F9F" w:rsidRPr="00622079" w14:paraId="46307FFE" w14:textId="77777777" w:rsidTr="000839FB">
              <w:trPr>
                <w:trHeight w:val="57"/>
                <w:jc w:val="center"/>
              </w:trPr>
              <w:tc>
                <w:tcPr>
                  <w:tcW w:w="3651" w:type="pct"/>
                  <w:vAlign w:val="bottom"/>
                </w:tcPr>
                <w:p w14:paraId="2C86FE5D" w14:textId="77777777" w:rsidR="00B63F9F" w:rsidRPr="00622079" w:rsidRDefault="00B63F9F" w:rsidP="000839FB">
                  <w:pPr>
                    <w:spacing w:after="0" w:line="240" w:lineRule="auto"/>
                    <w:jc w:val="left"/>
                    <w:rPr>
                      <w:rFonts w:eastAsia="Calibri" w:cs="Segoe UI"/>
                      <w:sz w:val="16"/>
                      <w:szCs w:val="16"/>
                    </w:rPr>
                  </w:pPr>
                  <w:r w:rsidRPr="00622079">
                    <w:rPr>
                      <w:rFonts w:cs="Segoe UI"/>
                      <w:color w:val="000000"/>
                      <w:sz w:val="16"/>
                      <w:szCs w:val="16"/>
                    </w:rPr>
                    <w:t>Zvýšená sadzba DPH vleky, športoviská, rekreačné zariadenia (23 %)</w:t>
                  </w:r>
                </w:p>
              </w:tc>
              <w:tc>
                <w:tcPr>
                  <w:tcW w:w="493" w:type="pct"/>
                  <w:vAlign w:val="bottom"/>
                </w:tcPr>
                <w:p w14:paraId="51D90C07"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15</w:t>
                  </w:r>
                </w:p>
              </w:tc>
              <w:tc>
                <w:tcPr>
                  <w:tcW w:w="412" w:type="pct"/>
                  <w:vAlign w:val="bottom"/>
                </w:tcPr>
                <w:p w14:paraId="0EAF4502"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15</w:t>
                  </w:r>
                </w:p>
              </w:tc>
              <w:tc>
                <w:tcPr>
                  <w:tcW w:w="444" w:type="pct"/>
                  <w:shd w:val="clear" w:color="auto" w:fill="auto"/>
                  <w:vAlign w:val="bottom"/>
                </w:tcPr>
                <w:p w14:paraId="74F716BE"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16</w:t>
                  </w:r>
                </w:p>
              </w:tc>
            </w:tr>
            <w:tr w:rsidR="00B63F9F" w:rsidRPr="00622079" w14:paraId="49F181C1" w14:textId="77777777" w:rsidTr="000839FB">
              <w:trPr>
                <w:trHeight w:val="57"/>
                <w:jc w:val="center"/>
              </w:trPr>
              <w:tc>
                <w:tcPr>
                  <w:tcW w:w="3651" w:type="pct"/>
                  <w:vAlign w:val="center"/>
                </w:tcPr>
                <w:p w14:paraId="4DAB0E9C" w14:textId="77777777" w:rsidR="00B63F9F" w:rsidRPr="00421E5F" w:rsidRDefault="00B63F9F" w:rsidP="000839FB">
                  <w:pPr>
                    <w:spacing w:after="0" w:line="240" w:lineRule="auto"/>
                    <w:jc w:val="left"/>
                    <w:rPr>
                      <w:rFonts w:eastAsia="Calibri" w:cs="Segoe UI"/>
                      <w:i/>
                      <w:sz w:val="16"/>
                      <w:szCs w:val="16"/>
                    </w:rPr>
                  </w:pPr>
                  <w:r w:rsidRPr="00421E5F">
                    <w:rPr>
                      <w:rFonts w:cs="Segoe UI"/>
                      <w:b/>
                      <w:bCs/>
                      <w:i/>
                      <w:color w:val="000000"/>
                      <w:sz w:val="16"/>
                      <w:szCs w:val="16"/>
                    </w:rPr>
                    <w:t>Príjmové opatrenia znižujúce príjmy (daňové výdavky)</w:t>
                  </w:r>
                </w:p>
              </w:tc>
              <w:tc>
                <w:tcPr>
                  <w:tcW w:w="493" w:type="pct"/>
                  <w:vAlign w:val="bottom"/>
                </w:tcPr>
                <w:p w14:paraId="365C609F" w14:textId="77777777" w:rsidR="00B63F9F" w:rsidRPr="00421E5F" w:rsidRDefault="00B63F9F" w:rsidP="000839FB">
                  <w:pPr>
                    <w:spacing w:after="0" w:line="240" w:lineRule="auto"/>
                    <w:jc w:val="right"/>
                    <w:rPr>
                      <w:rFonts w:eastAsia="Calibri" w:cs="Segoe UI"/>
                      <w:i/>
                      <w:sz w:val="16"/>
                      <w:szCs w:val="16"/>
                    </w:rPr>
                  </w:pPr>
                  <w:r w:rsidRPr="00421E5F">
                    <w:rPr>
                      <w:rFonts w:cs="Segoe UI"/>
                      <w:b/>
                      <w:bCs/>
                      <w:i/>
                      <w:color w:val="000000"/>
                      <w:sz w:val="16"/>
                      <w:szCs w:val="16"/>
                    </w:rPr>
                    <w:t>-587</w:t>
                  </w:r>
                </w:p>
              </w:tc>
              <w:tc>
                <w:tcPr>
                  <w:tcW w:w="412" w:type="pct"/>
                  <w:vAlign w:val="bottom"/>
                </w:tcPr>
                <w:p w14:paraId="10F38776" w14:textId="77777777" w:rsidR="00B63F9F" w:rsidRPr="00421E5F" w:rsidRDefault="00B63F9F" w:rsidP="000839FB">
                  <w:pPr>
                    <w:spacing w:after="0" w:line="240" w:lineRule="auto"/>
                    <w:jc w:val="right"/>
                    <w:rPr>
                      <w:rFonts w:eastAsia="Calibri" w:cs="Segoe UI"/>
                      <w:i/>
                      <w:sz w:val="16"/>
                      <w:szCs w:val="16"/>
                    </w:rPr>
                  </w:pPr>
                  <w:r w:rsidRPr="00421E5F">
                    <w:rPr>
                      <w:rFonts w:cs="Segoe UI"/>
                      <w:b/>
                      <w:bCs/>
                      <w:i/>
                      <w:color w:val="000000"/>
                      <w:sz w:val="16"/>
                      <w:szCs w:val="16"/>
                    </w:rPr>
                    <w:t>-622</w:t>
                  </w:r>
                </w:p>
              </w:tc>
              <w:tc>
                <w:tcPr>
                  <w:tcW w:w="444" w:type="pct"/>
                  <w:shd w:val="clear" w:color="auto" w:fill="auto"/>
                  <w:vAlign w:val="bottom"/>
                </w:tcPr>
                <w:p w14:paraId="69A06938" w14:textId="77777777" w:rsidR="00B63F9F" w:rsidRPr="00421E5F" w:rsidRDefault="00B63F9F" w:rsidP="000839FB">
                  <w:pPr>
                    <w:spacing w:after="0" w:line="240" w:lineRule="auto"/>
                    <w:jc w:val="right"/>
                    <w:rPr>
                      <w:rFonts w:eastAsia="Calibri" w:cs="Segoe UI"/>
                      <w:i/>
                      <w:sz w:val="16"/>
                      <w:szCs w:val="16"/>
                    </w:rPr>
                  </w:pPr>
                  <w:r w:rsidRPr="00421E5F">
                    <w:rPr>
                      <w:rFonts w:cs="Segoe UI"/>
                      <w:b/>
                      <w:bCs/>
                      <w:i/>
                      <w:color w:val="000000"/>
                      <w:sz w:val="16"/>
                      <w:szCs w:val="16"/>
                    </w:rPr>
                    <w:t>-663</w:t>
                  </w:r>
                </w:p>
              </w:tc>
            </w:tr>
            <w:tr w:rsidR="00B63F9F" w:rsidRPr="00622079" w14:paraId="5297ED58" w14:textId="77777777" w:rsidTr="000839FB">
              <w:trPr>
                <w:trHeight w:val="57"/>
                <w:jc w:val="center"/>
              </w:trPr>
              <w:tc>
                <w:tcPr>
                  <w:tcW w:w="3651" w:type="pct"/>
                  <w:vAlign w:val="bottom"/>
                </w:tcPr>
                <w:p w14:paraId="510B9EFB" w14:textId="77777777" w:rsidR="00B63F9F" w:rsidRPr="00622079" w:rsidRDefault="00B63F9F" w:rsidP="000839FB">
                  <w:pPr>
                    <w:spacing w:after="0" w:line="240" w:lineRule="auto"/>
                    <w:jc w:val="left"/>
                    <w:rPr>
                      <w:rFonts w:eastAsia="Calibri" w:cs="Segoe UI"/>
                      <w:sz w:val="16"/>
                      <w:szCs w:val="16"/>
                    </w:rPr>
                  </w:pPr>
                  <w:r w:rsidRPr="00622079">
                    <w:rPr>
                      <w:rFonts w:cs="Segoe UI"/>
                      <w:color w:val="000000"/>
                      <w:sz w:val="16"/>
                      <w:szCs w:val="16"/>
                    </w:rPr>
                    <w:t>Znížená sadzba DPH vybrané potraviny (5 %)</w:t>
                  </w:r>
                </w:p>
              </w:tc>
              <w:tc>
                <w:tcPr>
                  <w:tcW w:w="493" w:type="pct"/>
                  <w:vAlign w:val="bottom"/>
                </w:tcPr>
                <w:p w14:paraId="45DEE32B"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-193</w:t>
                  </w:r>
                </w:p>
              </w:tc>
              <w:tc>
                <w:tcPr>
                  <w:tcW w:w="412" w:type="pct"/>
                  <w:vAlign w:val="bottom"/>
                </w:tcPr>
                <w:p w14:paraId="12BDB640"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-204</w:t>
                  </w:r>
                </w:p>
              </w:tc>
              <w:tc>
                <w:tcPr>
                  <w:tcW w:w="444" w:type="pct"/>
                  <w:shd w:val="clear" w:color="auto" w:fill="auto"/>
                  <w:vAlign w:val="bottom"/>
                </w:tcPr>
                <w:p w14:paraId="13056F9F"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-213</w:t>
                  </w:r>
                </w:p>
              </w:tc>
            </w:tr>
            <w:tr w:rsidR="00B63F9F" w:rsidRPr="00622079" w14:paraId="4888709F" w14:textId="77777777" w:rsidTr="000839FB">
              <w:trPr>
                <w:trHeight w:val="57"/>
                <w:jc w:val="center"/>
              </w:trPr>
              <w:tc>
                <w:tcPr>
                  <w:tcW w:w="3651" w:type="pct"/>
                  <w:vAlign w:val="bottom"/>
                </w:tcPr>
                <w:p w14:paraId="297926DB" w14:textId="77777777" w:rsidR="00B63F9F" w:rsidRPr="00622079" w:rsidRDefault="00B63F9F" w:rsidP="000839FB">
                  <w:pPr>
                    <w:spacing w:after="0" w:line="240" w:lineRule="auto"/>
                    <w:jc w:val="left"/>
                    <w:rPr>
                      <w:rFonts w:eastAsia="Calibri" w:cs="Segoe UI"/>
                      <w:sz w:val="16"/>
                      <w:szCs w:val="16"/>
                    </w:rPr>
                  </w:pPr>
                  <w:r w:rsidRPr="00622079">
                    <w:rPr>
                      <w:rFonts w:cs="Segoe UI"/>
                      <w:color w:val="000000"/>
                      <w:sz w:val="16"/>
                      <w:szCs w:val="16"/>
                    </w:rPr>
                    <w:t>Znížená sadzba DPH na potraviny (19 %)</w:t>
                  </w:r>
                </w:p>
              </w:tc>
              <w:tc>
                <w:tcPr>
                  <w:tcW w:w="493" w:type="pct"/>
                  <w:vAlign w:val="bottom"/>
                </w:tcPr>
                <w:p w14:paraId="27D469E4"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-86</w:t>
                  </w:r>
                </w:p>
              </w:tc>
              <w:tc>
                <w:tcPr>
                  <w:tcW w:w="412" w:type="pct"/>
                  <w:vAlign w:val="bottom"/>
                </w:tcPr>
                <w:p w14:paraId="1AEF0A80"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-91</w:t>
                  </w:r>
                </w:p>
              </w:tc>
              <w:tc>
                <w:tcPr>
                  <w:tcW w:w="444" w:type="pct"/>
                  <w:shd w:val="clear" w:color="auto" w:fill="auto"/>
                  <w:vAlign w:val="bottom"/>
                </w:tcPr>
                <w:p w14:paraId="5F728C97"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-95</w:t>
                  </w:r>
                </w:p>
              </w:tc>
            </w:tr>
            <w:tr w:rsidR="00B63F9F" w:rsidRPr="00622079" w14:paraId="1C715D6D" w14:textId="77777777" w:rsidTr="000839FB">
              <w:trPr>
                <w:trHeight w:val="57"/>
                <w:jc w:val="center"/>
              </w:trPr>
              <w:tc>
                <w:tcPr>
                  <w:tcW w:w="3651" w:type="pct"/>
                  <w:vAlign w:val="bottom"/>
                </w:tcPr>
                <w:p w14:paraId="35554F97" w14:textId="77777777" w:rsidR="00B63F9F" w:rsidRPr="00622079" w:rsidRDefault="00B63F9F" w:rsidP="000839FB">
                  <w:pPr>
                    <w:spacing w:after="0" w:line="240" w:lineRule="auto"/>
                    <w:jc w:val="left"/>
                    <w:rPr>
                      <w:rFonts w:eastAsia="Calibri" w:cs="Segoe UI"/>
                      <w:sz w:val="16"/>
                      <w:szCs w:val="16"/>
                    </w:rPr>
                  </w:pPr>
                  <w:r w:rsidRPr="00622079">
                    <w:rPr>
                      <w:rFonts w:cs="Segoe UI"/>
                      <w:color w:val="000000"/>
                      <w:sz w:val="16"/>
                      <w:szCs w:val="16"/>
                    </w:rPr>
                    <w:t>Znížená sadzba DPH vybrané lieky (5 %)</w:t>
                  </w:r>
                </w:p>
              </w:tc>
              <w:tc>
                <w:tcPr>
                  <w:tcW w:w="493" w:type="pct"/>
                  <w:vAlign w:val="bottom"/>
                </w:tcPr>
                <w:p w14:paraId="24DB26CE"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-83</w:t>
                  </w:r>
                </w:p>
              </w:tc>
              <w:tc>
                <w:tcPr>
                  <w:tcW w:w="412" w:type="pct"/>
                  <w:vAlign w:val="bottom"/>
                </w:tcPr>
                <w:p w14:paraId="066C633D"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-87</w:t>
                  </w:r>
                </w:p>
              </w:tc>
              <w:tc>
                <w:tcPr>
                  <w:tcW w:w="444" w:type="pct"/>
                  <w:shd w:val="clear" w:color="auto" w:fill="auto"/>
                  <w:vAlign w:val="bottom"/>
                </w:tcPr>
                <w:p w14:paraId="0727C9B2"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-91</w:t>
                  </w:r>
                </w:p>
              </w:tc>
            </w:tr>
            <w:tr w:rsidR="00B63F9F" w:rsidRPr="00622079" w14:paraId="39F01BF8" w14:textId="77777777" w:rsidTr="000839FB">
              <w:trPr>
                <w:trHeight w:val="57"/>
                <w:jc w:val="center"/>
              </w:trPr>
              <w:tc>
                <w:tcPr>
                  <w:tcW w:w="3651" w:type="pct"/>
                  <w:vAlign w:val="bottom"/>
                </w:tcPr>
                <w:p w14:paraId="4419D512" w14:textId="77777777" w:rsidR="00B63F9F" w:rsidRPr="00622079" w:rsidRDefault="00B63F9F" w:rsidP="000839FB">
                  <w:pPr>
                    <w:spacing w:after="0" w:line="240" w:lineRule="auto"/>
                    <w:jc w:val="left"/>
                    <w:rPr>
                      <w:rFonts w:eastAsia="Calibri" w:cs="Segoe UI"/>
                      <w:sz w:val="16"/>
                      <w:szCs w:val="16"/>
                    </w:rPr>
                  </w:pPr>
                  <w:r w:rsidRPr="00622079">
                    <w:rPr>
                      <w:rFonts w:cs="Segoe UI"/>
                      <w:color w:val="000000"/>
                      <w:sz w:val="16"/>
                      <w:szCs w:val="16"/>
                    </w:rPr>
                    <w:t>Znížená sadzba DPH gastro jedlá (5 %)</w:t>
                  </w:r>
                </w:p>
              </w:tc>
              <w:tc>
                <w:tcPr>
                  <w:tcW w:w="493" w:type="pct"/>
                  <w:vAlign w:val="bottom"/>
                </w:tcPr>
                <w:p w14:paraId="2E0FEF67"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-61</w:t>
                  </w:r>
                </w:p>
              </w:tc>
              <w:tc>
                <w:tcPr>
                  <w:tcW w:w="412" w:type="pct"/>
                  <w:vAlign w:val="bottom"/>
                </w:tcPr>
                <w:p w14:paraId="3460106B"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-65</w:t>
                  </w:r>
                </w:p>
              </w:tc>
              <w:tc>
                <w:tcPr>
                  <w:tcW w:w="444" w:type="pct"/>
                  <w:shd w:val="clear" w:color="auto" w:fill="auto"/>
                  <w:vAlign w:val="bottom"/>
                </w:tcPr>
                <w:p w14:paraId="6462B614"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-68</w:t>
                  </w:r>
                </w:p>
              </w:tc>
            </w:tr>
            <w:tr w:rsidR="00B63F9F" w:rsidRPr="00622079" w14:paraId="2DDE22F9" w14:textId="77777777" w:rsidTr="000839FB">
              <w:trPr>
                <w:trHeight w:val="57"/>
                <w:jc w:val="center"/>
              </w:trPr>
              <w:tc>
                <w:tcPr>
                  <w:tcW w:w="3651" w:type="pct"/>
                  <w:vAlign w:val="bottom"/>
                </w:tcPr>
                <w:p w14:paraId="4B6DD8DA" w14:textId="77777777" w:rsidR="00B63F9F" w:rsidRPr="0029198C" w:rsidRDefault="00B63F9F" w:rsidP="000839FB">
                  <w:pPr>
                    <w:spacing w:after="0" w:line="240" w:lineRule="auto"/>
                    <w:jc w:val="left"/>
                    <w:rPr>
                      <w:rFonts w:eastAsia="Calibri" w:cs="Segoe UI"/>
                      <w:sz w:val="16"/>
                      <w:szCs w:val="16"/>
                    </w:rPr>
                  </w:pPr>
                  <w:r w:rsidRPr="000C6806">
                    <w:rPr>
                      <w:rFonts w:cs="Segoe UI"/>
                      <w:color w:val="000000"/>
                      <w:sz w:val="16"/>
                      <w:szCs w:val="16"/>
                    </w:rPr>
                    <w:t>Zníženie sadzby DPPO z 15 na 10 % a navýšenie hranice pre jej uplatnenie z 60 na 100 tis. eur</w:t>
                  </w:r>
                </w:p>
              </w:tc>
              <w:tc>
                <w:tcPr>
                  <w:tcW w:w="493" w:type="pct"/>
                  <w:vAlign w:val="bottom"/>
                </w:tcPr>
                <w:p w14:paraId="50250247" w14:textId="77777777" w:rsidR="00B63F9F" w:rsidRPr="0029198C" w:rsidRDefault="00B63F9F" w:rsidP="000839FB">
                  <w:pPr>
                    <w:spacing w:after="0" w:line="240" w:lineRule="auto"/>
                    <w:jc w:val="right"/>
                    <w:rPr>
                      <w:rFonts w:eastAsia="Calibri" w:cs="Segoe UI"/>
                      <w:sz w:val="16"/>
                      <w:szCs w:val="16"/>
                    </w:rPr>
                  </w:pPr>
                  <w:r w:rsidRPr="000C6806">
                    <w:rPr>
                      <w:rFonts w:cs="Segoe UI"/>
                      <w:color w:val="000000"/>
                      <w:sz w:val="16"/>
                      <w:szCs w:val="16"/>
                    </w:rPr>
                    <w:t>-45</w:t>
                  </w:r>
                </w:p>
              </w:tc>
              <w:tc>
                <w:tcPr>
                  <w:tcW w:w="412" w:type="pct"/>
                  <w:vAlign w:val="bottom"/>
                </w:tcPr>
                <w:p w14:paraId="36D54AE4" w14:textId="77777777" w:rsidR="00B63F9F" w:rsidRPr="0029198C" w:rsidRDefault="00B63F9F" w:rsidP="000839FB">
                  <w:pPr>
                    <w:spacing w:after="0" w:line="240" w:lineRule="auto"/>
                    <w:jc w:val="right"/>
                    <w:rPr>
                      <w:rFonts w:eastAsia="Calibri" w:cs="Segoe UI"/>
                      <w:sz w:val="16"/>
                      <w:szCs w:val="16"/>
                    </w:rPr>
                  </w:pPr>
                  <w:r w:rsidRPr="000C6806">
                    <w:rPr>
                      <w:rFonts w:cs="Segoe UI"/>
                      <w:color w:val="000000"/>
                      <w:sz w:val="16"/>
                      <w:szCs w:val="16"/>
                    </w:rPr>
                    <w:t>-45</w:t>
                  </w:r>
                </w:p>
              </w:tc>
              <w:tc>
                <w:tcPr>
                  <w:tcW w:w="444" w:type="pct"/>
                  <w:shd w:val="clear" w:color="auto" w:fill="auto"/>
                  <w:vAlign w:val="bottom"/>
                </w:tcPr>
                <w:p w14:paraId="2FA6D24A" w14:textId="77777777" w:rsidR="00B63F9F" w:rsidRPr="0029198C" w:rsidRDefault="00B63F9F" w:rsidP="000839FB">
                  <w:pPr>
                    <w:spacing w:after="0" w:line="240" w:lineRule="auto"/>
                    <w:jc w:val="right"/>
                    <w:rPr>
                      <w:rFonts w:eastAsia="Calibri" w:cs="Segoe UI"/>
                      <w:sz w:val="16"/>
                      <w:szCs w:val="16"/>
                    </w:rPr>
                  </w:pPr>
                  <w:r w:rsidRPr="000C6806">
                    <w:rPr>
                      <w:rFonts w:cs="Segoe UI"/>
                      <w:color w:val="000000"/>
                      <w:sz w:val="16"/>
                      <w:szCs w:val="16"/>
                    </w:rPr>
                    <w:t>-45</w:t>
                  </w:r>
                </w:p>
              </w:tc>
            </w:tr>
            <w:tr w:rsidR="00B63F9F" w:rsidRPr="00622079" w14:paraId="435554EF" w14:textId="77777777" w:rsidTr="000839FB">
              <w:trPr>
                <w:trHeight w:val="57"/>
                <w:jc w:val="center"/>
              </w:trPr>
              <w:tc>
                <w:tcPr>
                  <w:tcW w:w="3651" w:type="pct"/>
                  <w:vAlign w:val="bottom"/>
                </w:tcPr>
                <w:p w14:paraId="3DF065E0" w14:textId="77777777" w:rsidR="00B63F9F" w:rsidRPr="0029198C" w:rsidRDefault="00B63F9F" w:rsidP="000839FB">
                  <w:pPr>
                    <w:spacing w:after="0" w:line="240" w:lineRule="auto"/>
                    <w:jc w:val="left"/>
                    <w:rPr>
                      <w:rFonts w:eastAsia="Calibri" w:cs="Segoe UI"/>
                      <w:sz w:val="16"/>
                      <w:szCs w:val="16"/>
                    </w:rPr>
                  </w:pPr>
                  <w:r w:rsidRPr="000C6806">
                    <w:rPr>
                      <w:rFonts w:cs="Segoe UI"/>
                      <w:color w:val="000000"/>
                      <w:sz w:val="16"/>
                      <w:szCs w:val="16"/>
                    </w:rPr>
                    <w:t>Vyňatie úrokových výnosov zo štátnych dlhopisov zo základu osobitného odvodu z podnikania v regulovaných odvetviach</w:t>
                  </w:r>
                </w:p>
              </w:tc>
              <w:tc>
                <w:tcPr>
                  <w:tcW w:w="493" w:type="pct"/>
                  <w:vAlign w:val="bottom"/>
                </w:tcPr>
                <w:p w14:paraId="4A811DCA" w14:textId="77777777" w:rsidR="00B63F9F" w:rsidRPr="0029198C" w:rsidRDefault="00B63F9F" w:rsidP="000839FB">
                  <w:pPr>
                    <w:spacing w:after="0" w:line="240" w:lineRule="auto"/>
                    <w:jc w:val="right"/>
                    <w:rPr>
                      <w:rFonts w:eastAsia="Calibri" w:cs="Segoe UI"/>
                      <w:sz w:val="16"/>
                      <w:szCs w:val="16"/>
                    </w:rPr>
                  </w:pPr>
                  <w:r w:rsidRPr="000C6806">
                    <w:rPr>
                      <w:rFonts w:cs="Segoe UI"/>
                      <w:color w:val="000000"/>
                      <w:sz w:val="16"/>
                      <w:szCs w:val="16"/>
                    </w:rPr>
                    <w:t>-28</w:t>
                  </w:r>
                </w:p>
              </w:tc>
              <w:tc>
                <w:tcPr>
                  <w:tcW w:w="412" w:type="pct"/>
                  <w:vAlign w:val="bottom"/>
                </w:tcPr>
                <w:p w14:paraId="566098EF" w14:textId="77777777" w:rsidR="00B63F9F" w:rsidRPr="0029198C" w:rsidRDefault="00B63F9F" w:rsidP="000839FB">
                  <w:pPr>
                    <w:spacing w:after="0" w:line="240" w:lineRule="auto"/>
                    <w:jc w:val="right"/>
                    <w:rPr>
                      <w:rFonts w:eastAsia="Calibri" w:cs="Segoe UI"/>
                      <w:sz w:val="16"/>
                      <w:szCs w:val="16"/>
                    </w:rPr>
                  </w:pPr>
                  <w:r w:rsidRPr="000C6806">
                    <w:rPr>
                      <w:rFonts w:cs="Segoe UI"/>
                      <w:color w:val="000000"/>
                      <w:sz w:val="16"/>
                      <w:szCs w:val="16"/>
                    </w:rPr>
                    <w:t>-29</w:t>
                  </w:r>
                </w:p>
              </w:tc>
              <w:tc>
                <w:tcPr>
                  <w:tcW w:w="444" w:type="pct"/>
                  <w:shd w:val="clear" w:color="auto" w:fill="auto"/>
                  <w:vAlign w:val="bottom"/>
                </w:tcPr>
                <w:p w14:paraId="52D7FEC3" w14:textId="77777777" w:rsidR="00B63F9F" w:rsidRPr="0029198C" w:rsidRDefault="00B63F9F" w:rsidP="000839FB">
                  <w:pPr>
                    <w:spacing w:after="0" w:line="240" w:lineRule="auto"/>
                    <w:jc w:val="right"/>
                    <w:rPr>
                      <w:rFonts w:eastAsia="Calibri" w:cs="Segoe UI"/>
                      <w:sz w:val="16"/>
                      <w:szCs w:val="16"/>
                    </w:rPr>
                  </w:pPr>
                  <w:r w:rsidRPr="000C6806">
                    <w:rPr>
                      <w:rFonts w:cs="Segoe UI"/>
                      <w:color w:val="000000"/>
                      <w:sz w:val="16"/>
                      <w:szCs w:val="16"/>
                    </w:rPr>
                    <w:t>-28</w:t>
                  </w:r>
                </w:p>
              </w:tc>
            </w:tr>
            <w:tr w:rsidR="00B63F9F" w:rsidRPr="00622079" w14:paraId="30C9C4D8" w14:textId="77777777" w:rsidTr="000839FB">
              <w:trPr>
                <w:trHeight w:val="57"/>
                <w:jc w:val="center"/>
              </w:trPr>
              <w:tc>
                <w:tcPr>
                  <w:tcW w:w="3651" w:type="pct"/>
                  <w:vAlign w:val="bottom"/>
                </w:tcPr>
                <w:p w14:paraId="3BA8235A" w14:textId="77777777" w:rsidR="00B63F9F" w:rsidRPr="00CF570F" w:rsidRDefault="00B63F9F" w:rsidP="000839FB">
                  <w:pPr>
                    <w:spacing w:after="0" w:line="240" w:lineRule="auto"/>
                    <w:jc w:val="left"/>
                    <w:rPr>
                      <w:rFonts w:eastAsia="Calibri" w:cs="Segoe UI"/>
                      <w:sz w:val="16"/>
                      <w:szCs w:val="16"/>
                    </w:rPr>
                  </w:pPr>
                  <w:r w:rsidRPr="000C6806">
                    <w:rPr>
                      <w:rFonts w:cs="Segoe UI"/>
                      <w:color w:val="000000"/>
                      <w:sz w:val="16"/>
                      <w:szCs w:val="16"/>
                    </w:rPr>
                    <w:t xml:space="preserve">Znížená sadzba DPH ubytovanie (5%) </w:t>
                  </w:r>
                </w:p>
              </w:tc>
              <w:tc>
                <w:tcPr>
                  <w:tcW w:w="493" w:type="pct"/>
                  <w:vAlign w:val="bottom"/>
                </w:tcPr>
                <w:p w14:paraId="3C60F4F5" w14:textId="77777777" w:rsidR="00B63F9F" w:rsidRPr="0029198C" w:rsidRDefault="00B63F9F" w:rsidP="000839FB">
                  <w:pPr>
                    <w:spacing w:after="0" w:line="240" w:lineRule="auto"/>
                    <w:jc w:val="right"/>
                    <w:rPr>
                      <w:rFonts w:eastAsia="Calibri" w:cs="Segoe UI"/>
                      <w:sz w:val="16"/>
                      <w:szCs w:val="16"/>
                    </w:rPr>
                  </w:pPr>
                  <w:r w:rsidRPr="000C6806">
                    <w:rPr>
                      <w:rFonts w:cs="Segoe UI"/>
                      <w:color w:val="000000"/>
                      <w:sz w:val="16"/>
                      <w:szCs w:val="16"/>
                    </w:rPr>
                    <w:t>-16</w:t>
                  </w:r>
                </w:p>
              </w:tc>
              <w:tc>
                <w:tcPr>
                  <w:tcW w:w="412" w:type="pct"/>
                  <w:vAlign w:val="bottom"/>
                </w:tcPr>
                <w:p w14:paraId="6EA23CDC" w14:textId="77777777" w:rsidR="00B63F9F" w:rsidRPr="0029198C" w:rsidRDefault="00B63F9F" w:rsidP="000839FB">
                  <w:pPr>
                    <w:spacing w:after="0" w:line="240" w:lineRule="auto"/>
                    <w:jc w:val="right"/>
                    <w:rPr>
                      <w:rFonts w:eastAsia="Calibri" w:cs="Segoe UI"/>
                      <w:sz w:val="16"/>
                      <w:szCs w:val="16"/>
                    </w:rPr>
                  </w:pPr>
                  <w:r w:rsidRPr="000C6806">
                    <w:rPr>
                      <w:rFonts w:cs="Segoe UI"/>
                      <w:color w:val="000000"/>
                      <w:sz w:val="16"/>
                      <w:szCs w:val="16"/>
                    </w:rPr>
                    <w:t>-16</w:t>
                  </w:r>
                </w:p>
              </w:tc>
              <w:tc>
                <w:tcPr>
                  <w:tcW w:w="444" w:type="pct"/>
                  <w:shd w:val="clear" w:color="auto" w:fill="auto"/>
                  <w:vAlign w:val="bottom"/>
                </w:tcPr>
                <w:p w14:paraId="6105A64D" w14:textId="77777777" w:rsidR="00B63F9F" w:rsidRPr="0029198C" w:rsidRDefault="00B63F9F" w:rsidP="000839FB">
                  <w:pPr>
                    <w:spacing w:after="0" w:line="240" w:lineRule="auto"/>
                    <w:jc w:val="right"/>
                    <w:rPr>
                      <w:rFonts w:eastAsia="Calibri" w:cs="Segoe UI"/>
                      <w:sz w:val="16"/>
                      <w:szCs w:val="16"/>
                    </w:rPr>
                  </w:pPr>
                  <w:r w:rsidRPr="000C6806">
                    <w:rPr>
                      <w:rFonts w:cs="Segoe UI"/>
                      <w:color w:val="000000"/>
                      <w:sz w:val="16"/>
                      <w:szCs w:val="16"/>
                    </w:rPr>
                    <w:t>-17</w:t>
                  </w:r>
                </w:p>
              </w:tc>
            </w:tr>
            <w:tr w:rsidR="00B63F9F" w:rsidRPr="00622079" w14:paraId="2780B4E1" w14:textId="77777777" w:rsidTr="000839FB">
              <w:trPr>
                <w:trHeight w:val="57"/>
                <w:jc w:val="center"/>
              </w:trPr>
              <w:tc>
                <w:tcPr>
                  <w:tcW w:w="3651" w:type="pct"/>
                  <w:vAlign w:val="bottom"/>
                </w:tcPr>
                <w:p w14:paraId="47916963" w14:textId="77777777" w:rsidR="00B63F9F" w:rsidRPr="0029198C" w:rsidRDefault="00B63F9F" w:rsidP="000839FB">
                  <w:pPr>
                    <w:spacing w:after="0" w:line="240" w:lineRule="auto"/>
                    <w:jc w:val="left"/>
                    <w:rPr>
                      <w:rFonts w:eastAsia="Calibri" w:cs="Segoe UI"/>
                      <w:sz w:val="16"/>
                      <w:szCs w:val="16"/>
                    </w:rPr>
                  </w:pPr>
                  <w:r w:rsidRPr="000C6806">
                    <w:rPr>
                      <w:rFonts w:cs="Segoe UI"/>
                      <w:color w:val="000000"/>
                      <w:sz w:val="16"/>
                      <w:szCs w:val="16"/>
                    </w:rPr>
                    <w:t>Znížená sadzba DPH vybrané zdravotnícke pomôcky (5 %)</w:t>
                  </w:r>
                </w:p>
              </w:tc>
              <w:tc>
                <w:tcPr>
                  <w:tcW w:w="493" w:type="pct"/>
                  <w:vAlign w:val="bottom"/>
                </w:tcPr>
                <w:p w14:paraId="3084C96B" w14:textId="77777777" w:rsidR="00B63F9F" w:rsidRPr="0029198C" w:rsidRDefault="00B63F9F" w:rsidP="000839FB">
                  <w:pPr>
                    <w:spacing w:after="0" w:line="240" w:lineRule="auto"/>
                    <w:jc w:val="right"/>
                    <w:rPr>
                      <w:rFonts w:eastAsia="Calibri" w:cs="Segoe UI"/>
                      <w:sz w:val="16"/>
                      <w:szCs w:val="16"/>
                    </w:rPr>
                  </w:pPr>
                  <w:r w:rsidRPr="000C6806">
                    <w:rPr>
                      <w:rFonts w:cs="Segoe UI"/>
                      <w:color w:val="000000"/>
                      <w:sz w:val="16"/>
                      <w:szCs w:val="16"/>
                    </w:rPr>
                    <w:t>-14</w:t>
                  </w:r>
                </w:p>
              </w:tc>
              <w:tc>
                <w:tcPr>
                  <w:tcW w:w="412" w:type="pct"/>
                  <w:vAlign w:val="bottom"/>
                </w:tcPr>
                <w:p w14:paraId="712FC82A" w14:textId="77777777" w:rsidR="00B63F9F" w:rsidRPr="0029198C" w:rsidRDefault="00B63F9F" w:rsidP="000839FB">
                  <w:pPr>
                    <w:spacing w:after="0" w:line="240" w:lineRule="auto"/>
                    <w:jc w:val="right"/>
                    <w:rPr>
                      <w:rFonts w:eastAsia="Calibri" w:cs="Segoe UI"/>
                      <w:sz w:val="16"/>
                      <w:szCs w:val="16"/>
                    </w:rPr>
                  </w:pPr>
                  <w:r w:rsidRPr="000C6806">
                    <w:rPr>
                      <w:rFonts w:cs="Segoe UI"/>
                      <w:color w:val="000000"/>
                      <w:sz w:val="16"/>
                      <w:szCs w:val="16"/>
                    </w:rPr>
                    <w:t>-14</w:t>
                  </w:r>
                </w:p>
              </w:tc>
              <w:tc>
                <w:tcPr>
                  <w:tcW w:w="444" w:type="pct"/>
                  <w:shd w:val="clear" w:color="auto" w:fill="auto"/>
                  <w:vAlign w:val="bottom"/>
                </w:tcPr>
                <w:p w14:paraId="511ED93C" w14:textId="77777777" w:rsidR="00B63F9F" w:rsidRPr="0029198C" w:rsidRDefault="00B63F9F" w:rsidP="000839FB">
                  <w:pPr>
                    <w:spacing w:after="0" w:line="240" w:lineRule="auto"/>
                    <w:jc w:val="right"/>
                    <w:rPr>
                      <w:rFonts w:eastAsia="Calibri" w:cs="Segoe UI"/>
                      <w:sz w:val="16"/>
                      <w:szCs w:val="16"/>
                    </w:rPr>
                  </w:pPr>
                  <w:r w:rsidRPr="000C6806">
                    <w:rPr>
                      <w:rFonts w:cs="Segoe UI"/>
                      <w:color w:val="000000"/>
                      <w:sz w:val="16"/>
                      <w:szCs w:val="16"/>
                    </w:rPr>
                    <w:t>-14</w:t>
                  </w:r>
                </w:p>
              </w:tc>
            </w:tr>
            <w:tr w:rsidR="00B63F9F" w:rsidRPr="00622079" w14:paraId="43FE3BB1" w14:textId="77777777" w:rsidTr="000839FB">
              <w:trPr>
                <w:trHeight w:val="57"/>
                <w:jc w:val="center"/>
              </w:trPr>
              <w:tc>
                <w:tcPr>
                  <w:tcW w:w="3651" w:type="pct"/>
                  <w:vAlign w:val="bottom"/>
                </w:tcPr>
                <w:p w14:paraId="0FA7ECAA" w14:textId="77777777" w:rsidR="00B63F9F" w:rsidRPr="0029198C" w:rsidRDefault="00B63F9F" w:rsidP="000839FB">
                  <w:pPr>
                    <w:spacing w:after="0" w:line="240" w:lineRule="auto"/>
                    <w:jc w:val="left"/>
                    <w:rPr>
                      <w:rFonts w:eastAsia="Calibri" w:cs="Segoe UI"/>
                      <w:sz w:val="16"/>
                      <w:szCs w:val="16"/>
                    </w:rPr>
                  </w:pPr>
                  <w:r w:rsidRPr="000C6806">
                    <w:rPr>
                      <w:rFonts w:cs="Segoe UI"/>
                      <w:color w:val="000000"/>
                      <w:sz w:val="16"/>
                      <w:szCs w:val="16"/>
                    </w:rPr>
                    <w:t>Znížená sadzba DPH elektrina (19 %)</w:t>
                  </w:r>
                </w:p>
              </w:tc>
              <w:tc>
                <w:tcPr>
                  <w:tcW w:w="493" w:type="pct"/>
                  <w:vAlign w:val="bottom"/>
                </w:tcPr>
                <w:p w14:paraId="382EEFD4" w14:textId="77777777" w:rsidR="00B63F9F" w:rsidRPr="0029198C" w:rsidRDefault="00B63F9F" w:rsidP="000839FB">
                  <w:pPr>
                    <w:spacing w:after="0" w:line="240" w:lineRule="auto"/>
                    <w:jc w:val="right"/>
                    <w:rPr>
                      <w:rFonts w:eastAsia="Calibri" w:cs="Segoe UI"/>
                      <w:sz w:val="16"/>
                      <w:szCs w:val="16"/>
                    </w:rPr>
                  </w:pPr>
                  <w:r w:rsidRPr="000C6806">
                    <w:rPr>
                      <w:rFonts w:cs="Segoe UI"/>
                      <w:color w:val="000000"/>
                      <w:sz w:val="16"/>
                      <w:szCs w:val="16"/>
                    </w:rPr>
                    <w:t>-13</w:t>
                  </w:r>
                </w:p>
              </w:tc>
              <w:tc>
                <w:tcPr>
                  <w:tcW w:w="412" w:type="pct"/>
                  <w:vAlign w:val="bottom"/>
                </w:tcPr>
                <w:p w14:paraId="7BB36916" w14:textId="77777777" w:rsidR="00B63F9F" w:rsidRPr="0029198C" w:rsidRDefault="00B63F9F" w:rsidP="000839FB">
                  <w:pPr>
                    <w:spacing w:after="0" w:line="240" w:lineRule="auto"/>
                    <w:jc w:val="right"/>
                    <w:rPr>
                      <w:rFonts w:eastAsia="Calibri" w:cs="Segoe UI"/>
                      <w:sz w:val="16"/>
                      <w:szCs w:val="16"/>
                    </w:rPr>
                  </w:pPr>
                  <w:r w:rsidRPr="000C6806">
                    <w:rPr>
                      <w:rFonts w:cs="Segoe UI"/>
                      <w:color w:val="000000"/>
                      <w:sz w:val="16"/>
                      <w:szCs w:val="16"/>
                    </w:rPr>
                    <w:t>-14</w:t>
                  </w:r>
                </w:p>
              </w:tc>
              <w:tc>
                <w:tcPr>
                  <w:tcW w:w="444" w:type="pct"/>
                  <w:shd w:val="clear" w:color="auto" w:fill="auto"/>
                  <w:vAlign w:val="bottom"/>
                </w:tcPr>
                <w:p w14:paraId="2CD35F5D" w14:textId="77777777" w:rsidR="00B63F9F" w:rsidRPr="0029198C" w:rsidRDefault="00B63F9F" w:rsidP="000839FB">
                  <w:pPr>
                    <w:spacing w:after="0" w:line="240" w:lineRule="auto"/>
                    <w:jc w:val="right"/>
                    <w:rPr>
                      <w:rFonts w:eastAsia="Calibri" w:cs="Segoe UI"/>
                      <w:sz w:val="16"/>
                      <w:szCs w:val="16"/>
                    </w:rPr>
                  </w:pPr>
                  <w:r w:rsidRPr="000C6806">
                    <w:rPr>
                      <w:rFonts w:cs="Segoe UI"/>
                      <w:color w:val="000000"/>
                      <w:sz w:val="16"/>
                      <w:szCs w:val="16"/>
                    </w:rPr>
                    <w:t>-14</w:t>
                  </w:r>
                </w:p>
              </w:tc>
            </w:tr>
            <w:tr w:rsidR="00B63F9F" w:rsidRPr="00622079" w14:paraId="5A875446" w14:textId="77777777" w:rsidTr="000839FB">
              <w:trPr>
                <w:trHeight w:val="57"/>
                <w:jc w:val="center"/>
              </w:trPr>
              <w:tc>
                <w:tcPr>
                  <w:tcW w:w="3651" w:type="pct"/>
                  <w:vAlign w:val="bottom"/>
                </w:tcPr>
                <w:p w14:paraId="0B44C507" w14:textId="77777777" w:rsidR="00B63F9F" w:rsidRPr="00CF570F" w:rsidRDefault="00B63F9F" w:rsidP="000839FB">
                  <w:pPr>
                    <w:spacing w:after="0" w:line="240" w:lineRule="auto"/>
                    <w:jc w:val="left"/>
                    <w:rPr>
                      <w:rFonts w:eastAsia="Calibri" w:cs="Segoe UI"/>
                      <w:sz w:val="16"/>
                      <w:szCs w:val="16"/>
                    </w:rPr>
                  </w:pPr>
                  <w:r w:rsidRPr="000C6806">
                    <w:rPr>
                      <w:rFonts w:cs="Segoe UI"/>
                      <w:color w:val="000000"/>
                      <w:sz w:val="16"/>
                      <w:szCs w:val="16"/>
                    </w:rPr>
                    <w:t>Znížená sadzba DPH na tlač, knihy a hudobniny (5%)</w:t>
                  </w:r>
                </w:p>
              </w:tc>
              <w:tc>
                <w:tcPr>
                  <w:tcW w:w="493" w:type="pct"/>
                  <w:vAlign w:val="bottom"/>
                </w:tcPr>
                <w:p w14:paraId="68475B35" w14:textId="77777777" w:rsidR="00B63F9F" w:rsidRPr="0029198C" w:rsidRDefault="00B63F9F" w:rsidP="000839FB">
                  <w:pPr>
                    <w:spacing w:after="0" w:line="240" w:lineRule="auto"/>
                    <w:jc w:val="right"/>
                    <w:rPr>
                      <w:rFonts w:eastAsia="Calibri" w:cs="Segoe UI"/>
                      <w:sz w:val="16"/>
                      <w:szCs w:val="16"/>
                    </w:rPr>
                  </w:pPr>
                  <w:r w:rsidRPr="000C6806">
                    <w:rPr>
                      <w:rFonts w:cs="Segoe UI"/>
                      <w:color w:val="000000"/>
                      <w:sz w:val="16"/>
                      <w:szCs w:val="16"/>
                    </w:rPr>
                    <w:t>-11</w:t>
                  </w:r>
                </w:p>
              </w:tc>
              <w:tc>
                <w:tcPr>
                  <w:tcW w:w="412" w:type="pct"/>
                  <w:vAlign w:val="bottom"/>
                </w:tcPr>
                <w:p w14:paraId="1482ECE7" w14:textId="77777777" w:rsidR="00B63F9F" w:rsidRPr="0029198C" w:rsidRDefault="00B63F9F" w:rsidP="000839FB">
                  <w:pPr>
                    <w:spacing w:after="0" w:line="240" w:lineRule="auto"/>
                    <w:jc w:val="right"/>
                    <w:rPr>
                      <w:rFonts w:eastAsia="Calibri" w:cs="Segoe UI"/>
                      <w:sz w:val="16"/>
                      <w:szCs w:val="16"/>
                    </w:rPr>
                  </w:pPr>
                  <w:r w:rsidRPr="000C6806">
                    <w:rPr>
                      <w:rFonts w:cs="Segoe UI"/>
                      <w:color w:val="000000"/>
                      <w:sz w:val="16"/>
                      <w:szCs w:val="16"/>
                    </w:rPr>
                    <w:t>-11</w:t>
                  </w:r>
                </w:p>
              </w:tc>
              <w:tc>
                <w:tcPr>
                  <w:tcW w:w="444" w:type="pct"/>
                  <w:shd w:val="clear" w:color="auto" w:fill="auto"/>
                  <w:vAlign w:val="bottom"/>
                </w:tcPr>
                <w:p w14:paraId="7DC71BED" w14:textId="77777777" w:rsidR="00B63F9F" w:rsidRPr="0029198C" w:rsidRDefault="00B63F9F" w:rsidP="000839FB">
                  <w:pPr>
                    <w:spacing w:after="0" w:line="240" w:lineRule="auto"/>
                    <w:jc w:val="right"/>
                    <w:rPr>
                      <w:rFonts w:eastAsia="Calibri" w:cs="Segoe UI"/>
                      <w:sz w:val="16"/>
                      <w:szCs w:val="16"/>
                    </w:rPr>
                  </w:pPr>
                  <w:r w:rsidRPr="000C6806">
                    <w:rPr>
                      <w:rFonts w:cs="Segoe UI"/>
                      <w:color w:val="000000"/>
                      <w:sz w:val="16"/>
                      <w:szCs w:val="16"/>
                    </w:rPr>
                    <w:t>-12</w:t>
                  </w:r>
                </w:p>
              </w:tc>
            </w:tr>
            <w:tr w:rsidR="00B63F9F" w:rsidRPr="00622079" w14:paraId="66580512" w14:textId="77777777" w:rsidTr="000839FB">
              <w:trPr>
                <w:trHeight w:val="57"/>
                <w:jc w:val="center"/>
              </w:trPr>
              <w:tc>
                <w:tcPr>
                  <w:tcW w:w="3651" w:type="pct"/>
                  <w:vAlign w:val="bottom"/>
                </w:tcPr>
                <w:p w14:paraId="14B8E0F7" w14:textId="77777777" w:rsidR="00B63F9F" w:rsidRPr="0029198C" w:rsidRDefault="00B63F9F" w:rsidP="000839FB">
                  <w:pPr>
                    <w:spacing w:after="0" w:line="240" w:lineRule="auto"/>
                    <w:jc w:val="left"/>
                    <w:rPr>
                      <w:rFonts w:eastAsia="Calibri" w:cs="Segoe UI"/>
                      <w:sz w:val="16"/>
                      <w:szCs w:val="16"/>
                    </w:rPr>
                  </w:pPr>
                  <w:r w:rsidRPr="000C6806">
                    <w:rPr>
                      <w:rFonts w:cs="Segoe UI"/>
                      <w:color w:val="000000"/>
                      <w:sz w:val="16"/>
                      <w:szCs w:val="16"/>
                    </w:rPr>
                    <w:t>Oslobodenie nepeňažného príjmu z použitia motorového vozidla s alternatívnym pohonom aj na súkromné účely z 1 % na 0,5 %</w:t>
                  </w:r>
                </w:p>
              </w:tc>
              <w:tc>
                <w:tcPr>
                  <w:tcW w:w="493" w:type="pct"/>
                  <w:vAlign w:val="bottom"/>
                </w:tcPr>
                <w:p w14:paraId="139B2DEA" w14:textId="77777777" w:rsidR="00B63F9F" w:rsidRPr="0029198C" w:rsidRDefault="00B63F9F" w:rsidP="000839FB">
                  <w:pPr>
                    <w:spacing w:after="0" w:line="240" w:lineRule="auto"/>
                    <w:jc w:val="right"/>
                    <w:rPr>
                      <w:rFonts w:eastAsia="Calibri" w:cs="Segoe UI"/>
                      <w:sz w:val="16"/>
                      <w:szCs w:val="16"/>
                    </w:rPr>
                  </w:pPr>
                  <w:r w:rsidRPr="000C6806">
                    <w:rPr>
                      <w:rFonts w:cs="Segoe UI"/>
                      <w:color w:val="000000"/>
                      <w:sz w:val="16"/>
                      <w:szCs w:val="16"/>
                    </w:rPr>
                    <w:t>-11</w:t>
                  </w:r>
                </w:p>
              </w:tc>
              <w:tc>
                <w:tcPr>
                  <w:tcW w:w="412" w:type="pct"/>
                  <w:vAlign w:val="bottom"/>
                </w:tcPr>
                <w:p w14:paraId="433D16BD" w14:textId="77777777" w:rsidR="00B63F9F" w:rsidRPr="0029198C" w:rsidRDefault="00B63F9F" w:rsidP="000839FB">
                  <w:pPr>
                    <w:spacing w:after="0" w:line="240" w:lineRule="auto"/>
                    <w:jc w:val="right"/>
                    <w:rPr>
                      <w:rFonts w:eastAsia="Calibri" w:cs="Segoe UI"/>
                      <w:sz w:val="16"/>
                      <w:szCs w:val="16"/>
                    </w:rPr>
                  </w:pPr>
                  <w:r w:rsidRPr="000C6806">
                    <w:rPr>
                      <w:rFonts w:cs="Segoe UI"/>
                      <w:color w:val="000000"/>
                      <w:sz w:val="16"/>
                      <w:szCs w:val="16"/>
                    </w:rPr>
                    <w:t>-14</w:t>
                  </w:r>
                </w:p>
              </w:tc>
              <w:tc>
                <w:tcPr>
                  <w:tcW w:w="444" w:type="pct"/>
                  <w:shd w:val="clear" w:color="auto" w:fill="auto"/>
                  <w:vAlign w:val="bottom"/>
                </w:tcPr>
                <w:p w14:paraId="199E3B5C" w14:textId="77777777" w:rsidR="00B63F9F" w:rsidRPr="0029198C" w:rsidRDefault="00B63F9F" w:rsidP="000839FB">
                  <w:pPr>
                    <w:spacing w:after="0" w:line="240" w:lineRule="auto"/>
                    <w:jc w:val="right"/>
                    <w:rPr>
                      <w:rFonts w:eastAsia="Calibri" w:cs="Segoe UI"/>
                      <w:sz w:val="16"/>
                      <w:szCs w:val="16"/>
                    </w:rPr>
                  </w:pPr>
                  <w:r w:rsidRPr="000C6806">
                    <w:rPr>
                      <w:rFonts w:cs="Segoe UI"/>
                      <w:color w:val="000000"/>
                      <w:sz w:val="16"/>
                      <w:szCs w:val="16"/>
                    </w:rPr>
                    <w:t>-18</w:t>
                  </w:r>
                </w:p>
              </w:tc>
            </w:tr>
            <w:tr w:rsidR="00B63F9F" w:rsidRPr="00622079" w14:paraId="708A117F" w14:textId="77777777" w:rsidTr="000839FB">
              <w:trPr>
                <w:trHeight w:val="57"/>
                <w:jc w:val="center"/>
              </w:trPr>
              <w:tc>
                <w:tcPr>
                  <w:tcW w:w="3651" w:type="pct"/>
                  <w:vAlign w:val="bottom"/>
                </w:tcPr>
                <w:p w14:paraId="59C77CC6" w14:textId="77777777" w:rsidR="00B63F9F" w:rsidRPr="0029198C" w:rsidRDefault="00B63F9F" w:rsidP="000839FB">
                  <w:pPr>
                    <w:spacing w:after="0" w:line="240" w:lineRule="auto"/>
                    <w:jc w:val="left"/>
                    <w:rPr>
                      <w:rFonts w:eastAsia="Calibri" w:cs="Segoe UI"/>
                      <w:sz w:val="16"/>
                      <w:szCs w:val="16"/>
                    </w:rPr>
                  </w:pPr>
                  <w:r w:rsidRPr="000C6806">
                    <w:rPr>
                      <w:rFonts w:cs="Segoe UI"/>
                      <w:color w:val="000000"/>
                      <w:sz w:val="16"/>
                      <w:szCs w:val="16"/>
                    </w:rPr>
                    <w:t>Znížená sadzba DPH na noviny, časopisy (5%)</w:t>
                  </w:r>
                </w:p>
              </w:tc>
              <w:tc>
                <w:tcPr>
                  <w:tcW w:w="493" w:type="pct"/>
                  <w:vAlign w:val="bottom"/>
                </w:tcPr>
                <w:p w14:paraId="550A8DB9" w14:textId="77777777" w:rsidR="00B63F9F" w:rsidRPr="0029198C" w:rsidRDefault="00B63F9F" w:rsidP="000839FB">
                  <w:pPr>
                    <w:spacing w:after="0" w:line="240" w:lineRule="auto"/>
                    <w:jc w:val="right"/>
                    <w:rPr>
                      <w:rFonts w:eastAsia="Calibri" w:cs="Segoe UI"/>
                      <w:sz w:val="16"/>
                      <w:szCs w:val="16"/>
                    </w:rPr>
                  </w:pPr>
                  <w:r w:rsidRPr="000C6806">
                    <w:rPr>
                      <w:rFonts w:cs="Segoe UI"/>
                      <w:color w:val="000000"/>
                      <w:sz w:val="16"/>
                      <w:szCs w:val="16"/>
                    </w:rPr>
                    <w:t>-6</w:t>
                  </w:r>
                </w:p>
              </w:tc>
              <w:tc>
                <w:tcPr>
                  <w:tcW w:w="412" w:type="pct"/>
                  <w:vAlign w:val="bottom"/>
                </w:tcPr>
                <w:p w14:paraId="10EBCB3A" w14:textId="77777777" w:rsidR="00B63F9F" w:rsidRPr="0029198C" w:rsidRDefault="00B63F9F" w:rsidP="000839FB">
                  <w:pPr>
                    <w:spacing w:after="0" w:line="240" w:lineRule="auto"/>
                    <w:jc w:val="right"/>
                    <w:rPr>
                      <w:rFonts w:eastAsia="Calibri" w:cs="Segoe UI"/>
                      <w:sz w:val="16"/>
                      <w:szCs w:val="16"/>
                    </w:rPr>
                  </w:pPr>
                  <w:r w:rsidRPr="000C6806">
                    <w:rPr>
                      <w:rFonts w:cs="Segoe UI"/>
                      <w:color w:val="000000"/>
                      <w:sz w:val="16"/>
                      <w:szCs w:val="16"/>
                    </w:rPr>
                    <w:t>-7</w:t>
                  </w:r>
                </w:p>
              </w:tc>
              <w:tc>
                <w:tcPr>
                  <w:tcW w:w="444" w:type="pct"/>
                  <w:shd w:val="clear" w:color="auto" w:fill="auto"/>
                  <w:vAlign w:val="bottom"/>
                </w:tcPr>
                <w:p w14:paraId="40E01B74" w14:textId="77777777" w:rsidR="00B63F9F" w:rsidRPr="0029198C" w:rsidRDefault="00B63F9F" w:rsidP="000839FB">
                  <w:pPr>
                    <w:spacing w:after="0" w:line="240" w:lineRule="auto"/>
                    <w:jc w:val="right"/>
                    <w:rPr>
                      <w:rFonts w:eastAsia="Calibri" w:cs="Segoe UI"/>
                      <w:sz w:val="16"/>
                      <w:szCs w:val="16"/>
                    </w:rPr>
                  </w:pPr>
                  <w:r w:rsidRPr="000C6806">
                    <w:rPr>
                      <w:rFonts w:cs="Segoe UI"/>
                      <w:color w:val="000000"/>
                      <w:sz w:val="16"/>
                      <w:szCs w:val="16"/>
                    </w:rPr>
                    <w:t>-7</w:t>
                  </w:r>
                </w:p>
              </w:tc>
            </w:tr>
            <w:tr w:rsidR="00B63F9F" w:rsidRPr="00622079" w14:paraId="2B25EA55" w14:textId="77777777" w:rsidTr="000839FB">
              <w:trPr>
                <w:trHeight w:val="57"/>
                <w:jc w:val="center"/>
              </w:trPr>
              <w:tc>
                <w:tcPr>
                  <w:tcW w:w="3651" w:type="pct"/>
                  <w:vAlign w:val="bottom"/>
                </w:tcPr>
                <w:p w14:paraId="7BCE259A" w14:textId="77777777" w:rsidR="00B63F9F" w:rsidRPr="00622079" w:rsidRDefault="00B63F9F" w:rsidP="000839FB">
                  <w:pPr>
                    <w:spacing w:after="0" w:line="240" w:lineRule="auto"/>
                    <w:jc w:val="left"/>
                    <w:rPr>
                      <w:rFonts w:eastAsia="Calibri" w:cs="Segoe UI"/>
                      <w:sz w:val="16"/>
                      <w:szCs w:val="16"/>
                    </w:rPr>
                  </w:pPr>
                  <w:r w:rsidRPr="00622079">
                    <w:rPr>
                      <w:rFonts w:cs="Segoe UI"/>
                      <w:color w:val="000000"/>
                      <w:sz w:val="16"/>
                      <w:szCs w:val="16"/>
                    </w:rPr>
                    <w:t xml:space="preserve">Zníženie zrážkovej dane z dividend z 10 % na 7% </w:t>
                  </w:r>
                </w:p>
              </w:tc>
              <w:tc>
                <w:tcPr>
                  <w:tcW w:w="493" w:type="pct"/>
                  <w:vAlign w:val="bottom"/>
                </w:tcPr>
                <w:p w14:paraId="2E857783"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-5</w:t>
                  </w:r>
                </w:p>
              </w:tc>
              <w:tc>
                <w:tcPr>
                  <w:tcW w:w="412" w:type="pct"/>
                  <w:vAlign w:val="bottom"/>
                </w:tcPr>
                <w:p w14:paraId="5146AC17"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-9</w:t>
                  </w:r>
                </w:p>
              </w:tc>
              <w:tc>
                <w:tcPr>
                  <w:tcW w:w="444" w:type="pct"/>
                  <w:shd w:val="clear" w:color="auto" w:fill="auto"/>
                  <w:vAlign w:val="bottom"/>
                </w:tcPr>
                <w:p w14:paraId="1F44BD7B"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-23</w:t>
                  </w:r>
                </w:p>
              </w:tc>
            </w:tr>
            <w:tr w:rsidR="00B63F9F" w:rsidRPr="00622079" w14:paraId="3595DF1E" w14:textId="77777777" w:rsidTr="000839FB">
              <w:trPr>
                <w:trHeight w:val="57"/>
                <w:jc w:val="center"/>
              </w:trPr>
              <w:tc>
                <w:tcPr>
                  <w:tcW w:w="3651" w:type="pct"/>
                  <w:vAlign w:val="bottom"/>
                </w:tcPr>
                <w:p w14:paraId="689B7FC4" w14:textId="77777777" w:rsidR="00B63F9F" w:rsidRPr="00622079" w:rsidRDefault="00B63F9F" w:rsidP="000839FB">
                  <w:pPr>
                    <w:spacing w:after="0" w:line="240" w:lineRule="auto"/>
                    <w:jc w:val="left"/>
                    <w:rPr>
                      <w:rFonts w:eastAsia="Calibri" w:cs="Segoe UI"/>
                      <w:sz w:val="16"/>
                      <w:szCs w:val="16"/>
                    </w:rPr>
                  </w:pPr>
                  <w:r w:rsidRPr="00622079">
                    <w:rPr>
                      <w:rFonts w:cs="Segoe UI"/>
                      <w:color w:val="000000"/>
                      <w:sz w:val="16"/>
                      <w:szCs w:val="16"/>
                    </w:rPr>
                    <w:t>Znížená sadzba DPH registrované sociálne podniky (5 %)</w:t>
                  </w:r>
                </w:p>
              </w:tc>
              <w:tc>
                <w:tcPr>
                  <w:tcW w:w="493" w:type="pct"/>
                  <w:vAlign w:val="bottom"/>
                </w:tcPr>
                <w:p w14:paraId="30816795"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-4</w:t>
                  </w:r>
                </w:p>
              </w:tc>
              <w:tc>
                <w:tcPr>
                  <w:tcW w:w="412" w:type="pct"/>
                  <w:vAlign w:val="bottom"/>
                </w:tcPr>
                <w:p w14:paraId="6F6F8FC0"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-4</w:t>
                  </w:r>
                </w:p>
              </w:tc>
              <w:tc>
                <w:tcPr>
                  <w:tcW w:w="444" w:type="pct"/>
                  <w:shd w:val="clear" w:color="auto" w:fill="auto"/>
                  <w:vAlign w:val="bottom"/>
                </w:tcPr>
                <w:p w14:paraId="25EAA3AD"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-4</w:t>
                  </w:r>
                </w:p>
              </w:tc>
            </w:tr>
            <w:tr w:rsidR="00B63F9F" w:rsidRPr="00622079" w14:paraId="5A2A6F1D" w14:textId="77777777" w:rsidTr="000839FB">
              <w:trPr>
                <w:trHeight w:val="57"/>
                <w:jc w:val="center"/>
              </w:trPr>
              <w:tc>
                <w:tcPr>
                  <w:tcW w:w="3651" w:type="pct"/>
                  <w:vAlign w:val="bottom"/>
                </w:tcPr>
                <w:p w14:paraId="519D4F60" w14:textId="77777777" w:rsidR="00B63F9F" w:rsidRPr="00622079" w:rsidRDefault="00B63F9F" w:rsidP="000839FB">
                  <w:pPr>
                    <w:spacing w:after="0" w:line="240" w:lineRule="auto"/>
                    <w:jc w:val="left"/>
                    <w:rPr>
                      <w:rFonts w:eastAsia="Calibri" w:cs="Segoe UI"/>
                      <w:sz w:val="16"/>
                      <w:szCs w:val="16"/>
                    </w:rPr>
                  </w:pPr>
                  <w:r w:rsidRPr="00622079">
                    <w:rPr>
                      <w:rFonts w:cs="Segoe UI"/>
                      <w:color w:val="000000"/>
                      <w:sz w:val="16"/>
                      <w:szCs w:val="16"/>
                    </w:rPr>
                    <w:t>Zvýšenie hranice zdaniteľných príjmov pre uplatnenie zníženej 15 % sadzby DPFO pre SZČO z 60 tis. na 100 tis. eur</w:t>
                  </w:r>
                </w:p>
              </w:tc>
              <w:tc>
                <w:tcPr>
                  <w:tcW w:w="493" w:type="pct"/>
                  <w:vAlign w:val="bottom"/>
                </w:tcPr>
                <w:p w14:paraId="1AFAE8AC"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-4</w:t>
                  </w:r>
                </w:p>
              </w:tc>
              <w:tc>
                <w:tcPr>
                  <w:tcW w:w="412" w:type="pct"/>
                  <w:vAlign w:val="bottom"/>
                </w:tcPr>
                <w:p w14:paraId="26BCDD50"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-4</w:t>
                  </w:r>
                </w:p>
              </w:tc>
              <w:tc>
                <w:tcPr>
                  <w:tcW w:w="444" w:type="pct"/>
                  <w:shd w:val="clear" w:color="auto" w:fill="auto"/>
                  <w:vAlign w:val="bottom"/>
                </w:tcPr>
                <w:p w14:paraId="3682FCD6"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-4</w:t>
                  </w:r>
                </w:p>
              </w:tc>
            </w:tr>
            <w:tr w:rsidR="00B63F9F" w:rsidRPr="00622079" w14:paraId="2DA36D64" w14:textId="77777777" w:rsidTr="000839FB">
              <w:trPr>
                <w:trHeight w:val="57"/>
                <w:jc w:val="center"/>
              </w:trPr>
              <w:tc>
                <w:tcPr>
                  <w:tcW w:w="3651" w:type="pct"/>
                  <w:vAlign w:val="bottom"/>
                </w:tcPr>
                <w:p w14:paraId="28F58F6B" w14:textId="77777777" w:rsidR="00B63F9F" w:rsidRPr="00622079" w:rsidRDefault="00B63F9F" w:rsidP="000839FB">
                  <w:pPr>
                    <w:spacing w:after="0" w:line="240" w:lineRule="auto"/>
                    <w:jc w:val="left"/>
                    <w:rPr>
                      <w:rFonts w:eastAsia="Calibri" w:cs="Segoe UI"/>
                      <w:sz w:val="16"/>
                      <w:szCs w:val="16"/>
                    </w:rPr>
                  </w:pPr>
                  <w:r w:rsidRPr="00622079">
                    <w:rPr>
                      <w:rFonts w:cs="Segoe UI"/>
                      <w:color w:val="000000"/>
                      <w:sz w:val="16"/>
                      <w:szCs w:val="16"/>
                    </w:rPr>
                    <w:t>Znížená sadzba DPH učebnice* (5 %)</w:t>
                  </w:r>
                </w:p>
              </w:tc>
              <w:tc>
                <w:tcPr>
                  <w:tcW w:w="493" w:type="pct"/>
                  <w:vAlign w:val="bottom"/>
                </w:tcPr>
                <w:p w14:paraId="6F8BB437"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-3</w:t>
                  </w:r>
                </w:p>
              </w:tc>
              <w:tc>
                <w:tcPr>
                  <w:tcW w:w="412" w:type="pct"/>
                  <w:vAlign w:val="bottom"/>
                </w:tcPr>
                <w:p w14:paraId="5D8D9299"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-3</w:t>
                  </w:r>
                </w:p>
              </w:tc>
              <w:tc>
                <w:tcPr>
                  <w:tcW w:w="444" w:type="pct"/>
                  <w:shd w:val="clear" w:color="auto" w:fill="auto"/>
                  <w:vAlign w:val="bottom"/>
                </w:tcPr>
                <w:p w14:paraId="1B3DD1B9"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-4</w:t>
                  </w:r>
                </w:p>
              </w:tc>
            </w:tr>
            <w:tr w:rsidR="00B63F9F" w:rsidRPr="00622079" w14:paraId="58733C69" w14:textId="77777777" w:rsidTr="000839FB">
              <w:trPr>
                <w:trHeight w:val="57"/>
                <w:jc w:val="center"/>
              </w:trPr>
              <w:tc>
                <w:tcPr>
                  <w:tcW w:w="3651" w:type="pct"/>
                  <w:vAlign w:val="bottom"/>
                </w:tcPr>
                <w:p w14:paraId="71A85E3B" w14:textId="77777777" w:rsidR="00B63F9F" w:rsidRPr="00622079" w:rsidRDefault="00B63F9F" w:rsidP="000839FB">
                  <w:pPr>
                    <w:spacing w:after="0" w:line="240" w:lineRule="auto"/>
                    <w:jc w:val="left"/>
                    <w:rPr>
                      <w:rFonts w:cs="Segoe UI"/>
                      <w:color w:val="000000"/>
                      <w:sz w:val="16"/>
                      <w:szCs w:val="16"/>
                    </w:rPr>
                  </w:pPr>
                  <w:r w:rsidRPr="00622079">
                    <w:rPr>
                      <w:rFonts w:cs="Segoe UI"/>
                      <w:color w:val="000000"/>
                      <w:sz w:val="16"/>
                      <w:szCs w:val="16"/>
                    </w:rPr>
                    <w:t>Znížená sadzba DPH pre vstup na štadióny (5%)</w:t>
                  </w:r>
                </w:p>
              </w:tc>
              <w:tc>
                <w:tcPr>
                  <w:tcW w:w="493" w:type="pct"/>
                  <w:vAlign w:val="bottom"/>
                </w:tcPr>
                <w:p w14:paraId="6333F385" w14:textId="77777777" w:rsidR="00B63F9F" w:rsidRPr="00622079" w:rsidRDefault="00B63F9F" w:rsidP="000839FB">
                  <w:pPr>
                    <w:spacing w:after="0" w:line="240" w:lineRule="auto"/>
                    <w:jc w:val="right"/>
                    <w:rPr>
                      <w:rFonts w:cs="Segoe UI"/>
                      <w:color w:val="000000"/>
                      <w:sz w:val="16"/>
                      <w:szCs w:val="16"/>
                    </w:rPr>
                  </w:pPr>
                  <w:r w:rsidRPr="00622079">
                    <w:rPr>
                      <w:rFonts w:cs="Segoe UI"/>
                      <w:color w:val="000000"/>
                      <w:sz w:val="16"/>
                      <w:szCs w:val="16"/>
                    </w:rPr>
                    <w:t>-2</w:t>
                  </w:r>
                </w:p>
              </w:tc>
              <w:tc>
                <w:tcPr>
                  <w:tcW w:w="412" w:type="pct"/>
                  <w:vAlign w:val="bottom"/>
                </w:tcPr>
                <w:p w14:paraId="5B121958" w14:textId="77777777" w:rsidR="00B63F9F" w:rsidRPr="00622079" w:rsidRDefault="00B63F9F" w:rsidP="000839FB">
                  <w:pPr>
                    <w:spacing w:after="0" w:line="240" w:lineRule="auto"/>
                    <w:jc w:val="right"/>
                    <w:rPr>
                      <w:rFonts w:cs="Segoe UI"/>
                      <w:color w:val="000000"/>
                      <w:sz w:val="16"/>
                      <w:szCs w:val="16"/>
                    </w:rPr>
                  </w:pPr>
                  <w:r w:rsidRPr="00622079">
                    <w:rPr>
                      <w:rFonts w:cs="Segoe UI"/>
                      <w:color w:val="000000"/>
                      <w:sz w:val="16"/>
                      <w:szCs w:val="16"/>
                    </w:rPr>
                    <w:t>-2</w:t>
                  </w:r>
                </w:p>
              </w:tc>
              <w:tc>
                <w:tcPr>
                  <w:tcW w:w="444" w:type="pct"/>
                  <w:shd w:val="clear" w:color="auto" w:fill="auto"/>
                  <w:vAlign w:val="bottom"/>
                </w:tcPr>
                <w:p w14:paraId="6063319D" w14:textId="77777777" w:rsidR="00B63F9F" w:rsidRPr="00622079" w:rsidRDefault="00B63F9F" w:rsidP="000839FB">
                  <w:pPr>
                    <w:spacing w:after="0" w:line="240" w:lineRule="auto"/>
                    <w:jc w:val="right"/>
                    <w:rPr>
                      <w:rFonts w:cs="Segoe UI"/>
                      <w:color w:val="000000"/>
                      <w:sz w:val="16"/>
                      <w:szCs w:val="16"/>
                    </w:rPr>
                  </w:pPr>
                  <w:r w:rsidRPr="00622079">
                    <w:rPr>
                      <w:rFonts w:cs="Segoe UI"/>
                      <w:color w:val="000000"/>
                      <w:sz w:val="16"/>
                      <w:szCs w:val="16"/>
                    </w:rPr>
                    <w:t>-2</w:t>
                  </w:r>
                </w:p>
              </w:tc>
            </w:tr>
            <w:tr w:rsidR="00B63F9F" w:rsidRPr="00622079" w14:paraId="417260F9" w14:textId="77777777" w:rsidTr="000839FB">
              <w:trPr>
                <w:trHeight w:val="57"/>
                <w:jc w:val="center"/>
              </w:trPr>
              <w:tc>
                <w:tcPr>
                  <w:tcW w:w="3651" w:type="pct"/>
                  <w:vAlign w:val="bottom"/>
                </w:tcPr>
                <w:p w14:paraId="57E162F5" w14:textId="77777777" w:rsidR="00B63F9F" w:rsidRPr="00622079" w:rsidRDefault="00B63F9F" w:rsidP="000839FB">
                  <w:pPr>
                    <w:spacing w:after="0" w:line="240" w:lineRule="auto"/>
                    <w:jc w:val="left"/>
                    <w:rPr>
                      <w:rFonts w:eastAsia="Calibri" w:cs="Segoe UI"/>
                      <w:sz w:val="16"/>
                      <w:szCs w:val="16"/>
                    </w:rPr>
                  </w:pPr>
                  <w:r w:rsidRPr="00622079">
                    <w:rPr>
                      <w:rFonts w:cs="Segoe UI"/>
                      <w:color w:val="000000"/>
                      <w:sz w:val="16"/>
                      <w:szCs w:val="16"/>
                    </w:rPr>
                    <w:t>Znížená sadzba DPH služby fitnescentier (5%)</w:t>
                  </w:r>
                </w:p>
              </w:tc>
              <w:tc>
                <w:tcPr>
                  <w:tcW w:w="493" w:type="pct"/>
                  <w:vAlign w:val="bottom"/>
                </w:tcPr>
                <w:p w14:paraId="7C9E3089"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-1</w:t>
                  </w:r>
                </w:p>
              </w:tc>
              <w:tc>
                <w:tcPr>
                  <w:tcW w:w="412" w:type="pct"/>
                  <w:vAlign w:val="bottom"/>
                </w:tcPr>
                <w:p w14:paraId="5BB8E84F"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-1</w:t>
                  </w:r>
                </w:p>
              </w:tc>
              <w:tc>
                <w:tcPr>
                  <w:tcW w:w="444" w:type="pct"/>
                  <w:shd w:val="clear" w:color="auto" w:fill="auto"/>
                  <w:vAlign w:val="bottom"/>
                </w:tcPr>
                <w:p w14:paraId="5FB5184E"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-1</w:t>
                  </w:r>
                </w:p>
              </w:tc>
            </w:tr>
            <w:tr w:rsidR="00B63F9F" w:rsidRPr="00622079" w14:paraId="007FAF37" w14:textId="77777777" w:rsidTr="000839FB">
              <w:trPr>
                <w:trHeight w:val="57"/>
                <w:jc w:val="center"/>
              </w:trPr>
              <w:tc>
                <w:tcPr>
                  <w:tcW w:w="3651" w:type="pct"/>
                  <w:vAlign w:val="bottom"/>
                </w:tcPr>
                <w:p w14:paraId="5BFEF4DD" w14:textId="77777777" w:rsidR="00B63F9F" w:rsidRPr="00622079" w:rsidRDefault="00B63F9F" w:rsidP="000839FB">
                  <w:pPr>
                    <w:spacing w:after="0" w:line="240" w:lineRule="auto"/>
                    <w:jc w:val="left"/>
                    <w:rPr>
                      <w:rFonts w:eastAsia="Calibri" w:cs="Segoe UI"/>
                      <w:sz w:val="16"/>
                      <w:szCs w:val="16"/>
                    </w:rPr>
                  </w:pPr>
                  <w:r w:rsidRPr="00622079">
                    <w:rPr>
                      <w:rFonts w:cs="Segoe UI"/>
                      <w:color w:val="000000"/>
                      <w:sz w:val="16"/>
                      <w:szCs w:val="16"/>
                    </w:rPr>
                    <w:t>Sociálne podniky a daňová licencia</w:t>
                  </w:r>
                </w:p>
              </w:tc>
              <w:tc>
                <w:tcPr>
                  <w:tcW w:w="493" w:type="pct"/>
                  <w:vAlign w:val="bottom"/>
                </w:tcPr>
                <w:p w14:paraId="5F04BC44"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-1</w:t>
                  </w:r>
                </w:p>
              </w:tc>
              <w:tc>
                <w:tcPr>
                  <w:tcW w:w="412" w:type="pct"/>
                  <w:vAlign w:val="bottom"/>
                </w:tcPr>
                <w:p w14:paraId="53B771D1"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-1</w:t>
                  </w:r>
                </w:p>
              </w:tc>
              <w:tc>
                <w:tcPr>
                  <w:tcW w:w="444" w:type="pct"/>
                  <w:shd w:val="clear" w:color="auto" w:fill="auto"/>
                  <w:vAlign w:val="bottom"/>
                </w:tcPr>
                <w:p w14:paraId="3F963518"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-1</w:t>
                  </w:r>
                </w:p>
              </w:tc>
            </w:tr>
            <w:tr w:rsidR="00B63F9F" w:rsidRPr="00622079" w14:paraId="768E5516" w14:textId="77777777" w:rsidTr="000839FB">
              <w:trPr>
                <w:trHeight w:val="57"/>
                <w:jc w:val="center"/>
              </w:trPr>
              <w:tc>
                <w:tcPr>
                  <w:tcW w:w="3651" w:type="pct"/>
                  <w:shd w:val="clear" w:color="auto" w:fill="auto"/>
                  <w:vAlign w:val="bottom"/>
                </w:tcPr>
                <w:p w14:paraId="3D718E1F" w14:textId="77777777" w:rsidR="00B63F9F" w:rsidRPr="00622079" w:rsidRDefault="00B63F9F" w:rsidP="000839FB">
                  <w:pPr>
                    <w:spacing w:after="0" w:line="240" w:lineRule="auto"/>
                    <w:jc w:val="left"/>
                    <w:rPr>
                      <w:rFonts w:eastAsia="Calibri" w:cs="Segoe UI"/>
                      <w:sz w:val="16"/>
                      <w:szCs w:val="16"/>
                    </w:rPr>
                  </w:pPr>
                  <w:r w:rsidRPr="00622079">
                    <w:rPr>
                      <w:rFonts w:cs="Segoe UI"/>
                      <w:color w:val="000000"/>
                      <w:sz w:val="16"/>
                      <w:szCs w:val="16"/>
                    </w:rPr>
                    <w:t>Predĺženie daňového superodpisu na investície do priemyslu 4.0</w:t>
                  </w:r>
                </w:p>
              </w:tc>
              <w:tc>
                <w:tcPr>
                  <w:tcW w:w="493" w:type="pct"/>
                  <w:shd w:val="clear" w:color="auto" w:fill="auto"/>
                  <w:vAlign w:val="bottom"/>
                </w:tcPr>
                <w:p w14:paraId="48661D7E"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0</w:t>
                  </w:r>
                </w:p>
              </w:tc>
              <w:tc>
                <w:tcPr>
                  <w:tcW w:w="412" w:type="pct"/>
                  <w:shd w:val="clear" w:color="auto" w:fill="auto"/>
                  <w:vAlign w:val="bottom"/>
                </w:tcPr>
                <w:p w14:paraId="1086551A"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-1</w:t>
                  </w:r>
                </w:p>
              </w:tc>
              <w:tc>
                <w:tcPr>
                  <w:tcW w:w="444" w:type="pct"/>
                  <w:shd w:val="clear" w:color="auto" w:fill="auto"/>
                  <w:vAlign w:val="bottom"/>
                </w:tcPr>
                <w:p w14:paraId="0C7B7042"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-2</w:t>
                  </w:r>
                </w:p>
              </w:tc>
            </w:tr>
            <w:tr w:rsidR="00B63F9F" w:rsidRPr="00622079" w14:paraId="191E9C30" w14:textId="77777777" w:rsidTr="000839FB">
              <w:trPr>
                <w:trHeight w:val="57"/>
                <w:jc w:val="center"/>
              </w:trPr>
              <w:tc>
                <w:tcPr>
                  <w:tcW w:w="3651" w:type="pct"/>
                  <w:vAlign w:val="center"/>
                </w:tcPr>
                <w:p w14:paraId="4D632746" w14:textId="77777777" w:rsidR="00B63F9F" w:rsidRPr="00622079" w:rsidRDefault="00B63F9F" w:rsidP="000839FB">
                  <w:pPr>
                    <w:spacing w:after="0" w:line="240" w:lineRule="auto"/>
                    <w:jc w:val="left"/>
                    <w:rPr>
                      <w:rFonts w:eastAsia="Calibri" w:cs="Segoe UI"/>
                      <w:sz w:val="16"/>
                      <w:szCs w:val="16"/>
                    </w:rPr>
                  </w:pPr>
                  <w:r w:rsidRPr="0027295D">
                    <w:rPr>
                      <w:rFonts w:cs="Segoe UI"/>
                      <w:b/>
                      <w:bCs/>
                      <w:color w:val="000000"/>
                      <w:sz w:val="16"/>
                      <w:szCs w:val="16"/>
                    </w:rPr>
                    <w:t xml:space="preserve">Výdavkové opatrenia </w:t>
                  </w:r>
                </w:p>
              </w:tc>
              <w:tc>
                <w:tcPr>
                  <w:tcW w:w="493" w:type="pct"/>
                  <w:vAlign w:val="bottom"/>
                </w:tcPr>
                <w:p w14:paraId="6FE6930D" w14:textId="77777777" w:rsidR="00B63F9F" w:rsidRPr="00622079" w:rsidRDefault="00B63F9F" w:rsidP="000839FB">
                  <w:pPr>
                    <w:spacing w:after="0" w:line="240" w:lineRule="auto"/>
                    <w:jc w:val="right"/>
                    <w:rPr>
                      <w:rFonts w:eastAsia="Calibri" w:cs="Segoe UI"/>
                      <w:sz w:val="16"/>
                      <w:szCs w:val="16"/>
                    </w:rPr>
                  </w:pPr>
                  <w:r w:rsidRPr="00622079">
                    <w:rPr>
                      <w:rFonts w:cs="Segoe UI"/>
                      <w:b/>
                      <w:bCs/>
                      <w:color w:val="000000"/>
                      <w:sz w:val="16"/>
                      <w:szCs w:val="16"/>
                    </w:rPr>
                    <w:t>-795</w:t>
                  </w:r>
                </w:p>
              </w:tc>
              <w:tc>
                <w:tcPr>
                  <w:tcW w:w="412" w:type="pct"/>
                  <w:vAlign w:val="bottom"/>
                </w:tcPr>
                <w:p w14:paraId="7BA445C4" w14:textId="77777777" w:rsidR="00B63F9F" w:rsidRPr="00622079" w:rsidRDefault="00B63F9F" w:rsidP="000839FB">
                  <w:pPr>
                    <w:spacing w:after="0" w:line="240" w:lineRule="auto"/>
                    <w:jc w:val="right"/>
                    <w:rPr>
                      <w:rFonts w:eastAsia="Calibri" w:cs="Segoe UI"/>
                      <w:sz w:val="16"/>
                      <w:szCs w:val="16"/>
                    </w:rPr>
                  </w:pPr>
                  <w:r w:rsidRPr="00622079">
                    <w:rPr>
                      <w:rFonts w:cs="Segoe UI"/>
                      <w:b/>
                      <w:bCs/>
                      <w:color w:val="000000"/>
                      <w:sz w:val="16"/>
                      <w:szCs w:val="16"/>
                    </w:rPr>
                    <w:t>-836</w:t>
                  </w:r>
                </w:p>
              </w:tc>
              <w:tc>
                <w:tcPr>
                  <w:tcW w:w="444" w:type="pct"/>
                  <w:shd w:val="clear" w:color="auto" w:fill="auto"/>
                  <w:vAlign w:val="bottom"/>
                </w:tcPr>
                <w:p w14:paraId="68156DB5" w14:textId="77777777" w:rsidR="00B63F9F" w:rsidRPr="00622079" w:rsidRDefault="00B63F9F" w:rsidP="000839FB">
                  <w:pPr>
                    <w:spacing w:after="0" w:line="240" w:lineRule="auto"/>
                    <w:jc w:val="right"/>
                    <w:rPr>
                      <w:rFonts w:eastAsia="Calibri" w:cs="Segoe UI"/>
                      <w:sz w:val="16"/>
                      <w:szCs w:val="16"/>
                    </w:rPr>
                  </w:pPr>
                  <w:r w:rsidRPr="00622079">
                    <w:rPr>
                      <w:rFonts w:cs="Segoe UI"/>
                      <w:b/>
                      <w:bCs/>
                      <w:color w:val="000000"/>
                      <w:sz w:val="16"/>
                      <w:szCs w:val="16"/>
                    </w:rPr>
                    <w:t>-865</w:t>
                  </w:r>
                </w:p>
              </w:tc>
            </w:tr>
            <w:tr w:rsidR="00B63F9F" w:rsidRPr="00622079" w14:paraId="00C2BFC1" w14:textId="77777777" w:rsidTr="000839FB">
              <w:trPr>
                <w:trHeight w:val="57"/>
                <w:jc w:val="center"/>
              </w:trPr>
              <w:tc>
                <w:tcPr>
                  <w:tcW w:w="3651" w:type="pct"/>
                  <w:vAlign w:val="bottom"/>
                </w:tcPr>
                <w:p w14:paraId="465A9256" w14:textId="77777777" w:rsidR="00B63F9F" w:rsidRPr="00622079" w:rsidRDefault="00B63F9F" w:rsidP="000839FB">
                  <w:pPr>
                    <w:spacing w:after="0" w:line="240" w:lineRule="auto"/>
                    <w:jc w:val="left"/>
                    <w:rPr>
                      <w:rFonts w:eastAsia="Calibri" w:cs="Segoe UI"/>
                      <w:sz w:val="16"/>
                      <w:szCs w:val="16"/>
                    </w:rPr>
                  </w:pPr>
                  <w:r w:rsidRPr="00622079">
                    <w:rPr>
                      <w:rFonts w:cs="Segoe UI"/>
                      <w:color w:val="000000"/>
                      <w:sz w:val="16"/>
                      <w:szCs w:val="16"/>
                    </w:rPr>
                    <w:t>Nahradenie rodičovského dôchodku daňovou asignáciou rodičom (viac opatrení)</w:t>
                  </w:r>
                </w:p>
              </w:tc>
              <w:tc>
                <w:tcPr>
                  <w:tcW w:w="493" w:type="pct"/>
                  <w:vAlign w:val="bottom"/>
                </w:tcPr>
                <w:p w14:paraId="1BACD03A"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-353</w:t>
                  </w:r>
                </w:p>
              </w:tc>
              <w:tc>
                <w:tcPr>
                  <w:tcW w:w="412" w:type="pct"/>
                  <w:vAlign w:val="bottom"/>
                </w:tcPr>
                <w:p w14:paraId="4FBCF286"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-307</w:t>
                  </w:r>
                </w:p>
              </w:tc>
              <w:tc>
                <w:tcPr>
                  <w:tcW w:w="444" w:type="pct"/>
                  <w:shd w:val="clear" w:color="auto" w:fill="auto"/>
                  <w:vAlign w:val="bottom"/>
                </w:tcPr>
                <w:p w14:paraId="1EB0D406"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-322</w:t>
                  </w:r>
                </w:p>
              </w:tc>
            </w:tr>
            <w:tr w:rsidR="00B63F9F" w:rsidRPr="00622079" w14:paraId="63557D3C" w14:textId="77777777" w:rsidTr="000839FB">
              <w:trPr>
                <w:trHeight w:val="57"/>
                <w:jc w:val="center"/>
              </w:trPr>
              <w:tc>
                <w:tcPr>
                  <w:tcW w:w="3651" w:type="pct"/>
                  <w:vAlign w:val="bottom"/>
                </w:tcPr>
                <w:p w14:paraId="4A42ECDC" w14:textId="77777777" w:rsidR="00B63F9F" w:rsidRPr="00622079" w:rsidRDefault="00B63F9F" w:rsidP="000839FB">
                  <w:pPr>
                    <w:spacing w:after="0" w:line="240" w:lineRule="auto"/>
                    <w:jc w:val="left"/>
                    <w:rPr>
                      <w:rFonts w:eastAsia="Calibri" w:cs="Segoe UI"/>
                      <w:b/>
                      <w:sz w:val="16"/>
                      <w:szCs w:val="16"/>
                    </w:rPr>
                  </w:pPr>
                  <w:r w:rsidRPr="00622079">
                    <w:rPr>
                      <w:rFonts w:cs="Segoe UI"/>
                      <w:color w:val="000000"/>
                      <w:sz w:val="16"/>
                      <w:szCs w:val="16"/>
                    </w:rPr>
                    <w:t>Jednoročné zníženie valorizácie platov zdravotníkov na 3%</w:t>
                  </w:r>
                </w:p>
              </w:tc>
              <w:tc>
                <w:tcPr>
                  <w:tcW w:w="493" w:type="pct"/>
                  <w:vAlign w:val="bottom"/>
                </w:tcPr>
                <w:p w14:paraId="04859209" w14:textId="77777777" w:rsidR="00B63F9F" w:rsidRPr="00622079" w:rsidRDefault="00B63F9F" w:rsidP="000839FB">
                  <w:pPr>
                    <w:spacing w:after="0" w:line="240" w:lineRule="auto"/>
                    <w:jc w:val="right"/>
                    <w:rPr>
                      <w:rFonts w:eastAsia="Calibri" w:cs="Segoe UI"/>
                      <w:b/>
                      <w:sz w:val="16"/>
                      <w:szCs w:val="16"/>
                    </w:rPr>
                  </w:pPr>
                  <w:r w:rsidRPr="00622079">
                    <w:rPr>
                      <w:rFonts w:cs="Segoe UI"/>
                      <w:color w:val="000000"/>
                      <w:sz w:val="16"/>
                      <w:szCs w:val="16"/>
                    </w:rPr>
                    <w:t>-259</w:t>
                  </w:r>
                </w:p>
              </w:tc>
              <w:tc>
                <w:tcPr>
                  <w:tcW w:w="412" w:type="pct"/>
                  <w:vAlign w:val="bottom"/>
                </w:tcPr>
                <w:p w14:paraId="1340279B" w14:textId="77777777" w:rsidR="00B63F9F" w:rsidRPr="00622079" w:rsidRDefault="00B63F9F" w:rsidP="000839FB">
                  <w:pPr>
                    <w:spacing w:after="0" w:line="240" w:lineRule="auto"/>
                    <w:jc w:val="right"/>
                    <w:rPr>
                      <w:rFonts w:eastAsia="Calibri" w:cs="Segoe UI"/>
                      <w:b/>
                      <w:sz w:val="16"/>
                      <w:szCs w:val="16"/>
                    </w:rPr>
                  </w:pPr>
                  <w:r w:rsidRPr="00622079">
                    <w:rPr>
                      <w:rFonts w:cs="Segoe UI"/>
                      <w:color w:val="000000"/>
                      <w:sz w:val="16"/>
                      <w:szCs w:val="16"/>
                    </w:rPr>
                    <w:t>-277</w:t>
                  </w:r>
                </w:p>
              </w:tc>
              <w:tc>
                <w:tcPr>
                  <w:tcW w:w="444" w:type="pct"/>
                  <w:shd w:val="clear" w:color="auto" w:fill="auto"/>
                  <w:vAlign w:val="bottom"/>
                </w:tcPr>
                <w:p w14:paraId="1F3C31F6" w14:textId="77777777" w:rsidR="00B63F9F" w:rsidRPr="00622079" w:rsidRDefault="00B63F9F" w:rsidP="000839FB">
                  <w:pPr>
                    <w:spacing w:after="0" w:line="240" w:lineRule="auto"/>
                    <w:jc w:val="right"/>
                    <w:rPr>
                      <w:rFonts w:eastAsia="Calibri" w:cs="Segoe UI"/>
                      <w:b/>
                      <w:sz w:val="16"/>
                      <w:szCs w:val="16"/>
                    </w:rPr>
                  </w:pPr>
                  <w:r w:rsidRPr="00622079">
                    <w:rPr>
                      <w:rFonts w:cs="Segoe UI"/>
                      <w:color w:val="000000"/>
                      <w:sz w:val="16"/>
                      <w:szCs w:val="16"/>
                    </w:rPr>
                    <w:t>-294</w:t>
                  </w:r>
                </w:p>
              </w:tc>
            </w:tr>
            <w:tr w:rsidR="00B63F9F" w:rsidRPr="00622079" w14:paraId="247DF7C6" w14:textId="77777777" w:rsidTr="000839FB">
              <w:trPr>
                <w:trHeight w:val="57"/>
                <w:jc w:val="center"/>
              </w:trPr>
              <w:tc>
                <w:tcPr>
                  <w:tcW w:w="3651" w:type="pct"/>
                  <w:vAlign w:val="bottom"/>
                </w:tcPr>
                <w:p w14:paraId="61B262F4" w14:textId="706F831A" w:rsidR="00B63F9F" w:rsidRPr="00622079" w:rsidRDefault="00B63F9F" w:rsidP="0037637D">
                  <w:pPr>
                    <w:spacing w:after="0" w:line="240" w:lineRule="auto"/>
                    <w:jc w:val="left"/>
                    <w:rPr>
                      <w:rFonts w:eastAsia="Calibri" w:cs="Segoe UI"/>
                      <w:i/>
                      <w:sz w:val="16"/>
                      <w:szCs w:val="16"/>
                    </w:rPr>
                  </w:pPr>
                  <w:r w:rsidRPr="00622079">
                    <w:rPr>
                      <w:rFonts w:cs="Segoe UI"/>
                      <w:color w:val="000000"/>
                      <w:sz w:val="16"/>
                      <w:szCs w:val="16"/>
                    </w:rPr>
                    <w:t xml:space="preserve">Reforma </w:t>
                  </w:r>
                  <w:r w:rsidR="0037637D">
                    <w:rPr>
                      <w:rFonts w:cs="Segoe UI"/>
                      <w:color w:val="000000"/>
                      <w:sz w:val="16"/>
                      <w:szCs w:val="16"/>
                    </w:rPr>
                    <w:t>d</w:t>
                  </w:r>
                  <w:r w:rsidRPr="00622079">
                    <w:rPr>
                      <w:rFonts w:cs="Segoe UI"/>
                      <w:color w:val="000000"/>
                      <w:sz w:val="16"/>
                      <w:szCs w:val="16"/>
                    </w:rPr>
                    <w:t>aňového bonusu</w:t>
                  </w:r>
                </w:p>
              </w:tc>
              <w:tc>
                <w:tcPr>
                  <w:tcW w:w="493" w:type="pct"/>
                  <w:vAlign w:val="bottom"/>
                </w:tcPr>
                <w:p w14:paraId="138B03A9"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-174</w:t>
                  </w:r>
                </w:p>
              </w:tc>
              <w:tc>
                <w:tcPr>
                  <w:tcW w:w="412" w:type="pct"/>
                  <w:vAlign w:val="bottom"/>
                </w:tcPr>
                <w:p w14:paraId="571815C7"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-172</w:t>
                  </w:r>
                </w:p>
              </w:tc>
              <w:tc>
                <w:tcPr>
                  <w:tcW w:w="444" w:type="pct"/>
                  <w:shd w:val="clear" w:color="auto" w:fill="auto"/>
                  <w:vAlign w:val="bottom"/>
                </w:tcPr>
                <w:p w14:paraId="520853A6"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-172</w:t>
                  </w:r>
                </w:p>
              </w:tc>
            </w:tr>
            <w:tr w:rsidR="00B63F9F" w:rsidRPr="00622079" w14:paraId="6C057E00" w14:textId="77777777" w:rsidTr="000839FB">
              <w:trPr>
                <w:trHeight w:val="57"/>
                <w:jc w:val="center"/>
              </w:trPr>
              <w:tc>
                <w:tcPr>
                  <w:tcW w:w="3651" w:type="pct"/>
                  <w:vAlign w:val="bottom"/>
                </w:tcPr>
                <w:p w14:paraId="0F97330F" w14:textId="77777777" w:rsidR="00B63F9F" w:rsidRPr="00622079" w:rsidRDefault="00B63F9F" w:rsidP="000839FB">
                  <w:pPr>
                    <w:spacing w:after="0" w:line="240" w:lineRule="auto"/>
                    <w:jc w:val="left"/>
                    <w:rPr>
                      <w:rFonts w:eastAsia="Calibri" w:cs="Segoe UI"/>
                      <w:i/>
                      <w:sz w:val="16"/>
                      <w:szCs w:val="16"/>
                    </w:rPr>
                  </w:pPr>
                  <w:r w:rsidRPr="00622079">
                    <w:rPr>
                      <w:rFonts w:cs="Segoe UI"/>
                      <w:color w:val="000000"/>
                      <w:sz w:val="16"/>
                      <w:szCs w:val="16"/>
                    </w:rPr>
                    <w:t>Úprava limitov počtu zamestnancov (10</w:t>
                  </w:r>
                  <w:r>
                    <w:rPr>
                      <w:rFonts w:cs="Segoe UI"/>
                      <w:color w:val="000000"/>
                      <w:sz w:val="16"/>
                      <w:szCs w:val="16"/>
                    </w:rPr>
                    <w:t xml:space="preserve"> </w:t>
                  </w:r>
                  <w:r w:rsidRPr="00622079">
                    <w:rPr>
                      <w:rFonts w:cs="Segoe UI"/>
                      <w:color w:val="000000"/>
                      <w:sz w:val="16"/>
                      <w:szCs w:val="16"/>
                    </w:rPr>
                    <w:t xml:space="preserve">% </w:t>
                  </w:r>
                  <w:r>
                    <w:rPr>
                      <w:rFonts w:cs="Segoe UI"/>
                      <w:color w:val="000000"/>
                      <w:sz w:val="16"/>
                      <w:szCs w:val="16"/>
                    </w:rPr>
                    <w:t>zníženie</w:t>
                  </w:r>
                  <w:r w:rsidRPr="00622079">
                    <w:rPr>
                      <w:rFonts w:cs="Segoe UI"/>
                      <w:color w:val="000000"/>
                      <w:sz w:val="16"/>
                      <w:szCs w:val="16"/>
                    </w:rPr>
                    <w:t>)</w:t>
                  </w:r>
                </w:p>
              </w:tc>
              <w:tc>
                <w:tcPr>
                  <w:tcW w:w="493" w:type="pct"/>
                  <w:vAlign w:val="bottom"/>
                </w:tcPr>
                <w:p w14:paraId="368E8EE8"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-49</w:t>
                  </w:r>
                </w:p>
              </w:tc>
              <w:tc>
                <w:tcPr>
                  <w:tcW w:w="412" w:type="pct"/>
                  <w:vAlign w:val="bottom"/>
                </w:tcPr>
                <w:p w14:paraId="160D2690"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-124</w:t>
                  </w:r>
                </w:p>
              </w:tc>
              <w:tc>
                <w:tcPr>
                  <w:tcW w:w="444" w:type="pct"/>
                  <w:shd w:val="clear" w:color="auto" w:fill="auto"/>
                  <w:vAlign w:val="bottom"/>
                </w:tcPr>
                <w:p w14:paraId="118D1258"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-124</w:t>
                  </w:r>
                </w:p>
              </w:tc>
            </w:tr>
            <w:tr w:rsidR="00B63F9F" w:rsidRPr="00622079" w14:paraId="33D21212" w14:textId="77777777" w:rsidTr="000839FB">
              <w:trPr>
                <w:trHeight w:val="57"/>
                <w:jc w:val="center"/>
              </w:trPr>
              <w:tc>
                <w:tcPr>
                  <w:tcW w:w="3651" w:type="pct"/>
                  <w:vAlign w:val="bottom"/>
                </w:tcPr>
                <w:p w14:paraId="29BFC382" w14:textId="77777777" w:rsidR="00B63F9F" w:rsidRPr="00622079" w:rsidRDefault="00B63F9F" w:rsidP="000839FB">
                  <w:pPr>
                    <w:spacing w:after="0" w:line="240" w:lineRule="auto"/>
                    <w:jc w:val="left"/>
                    <w:rPr>
                      <w:rFonts w:eastAsia="Calibri" w:cs="Segoe UI"/>
                      <w:i/>
                      <w:sz w:val="16"/>
                      <w:szCs w:val="16"/>
                    </w:rPr>
                  </w:pPr>
                  <w:r>
                    <w:rPr>
                      <w:rFonts w:cs="Segoe UI"/>
                      <w:color w:val="000000"/>
                      <w:sz w:val="16"/>
                      <w:szCs w:val="16"/>
                    </w:rPr>
                    <w:t>Ú</w:t>
                  </w:r>
                  <w:r w:rsidRPr="00622079">
                    <w:rPr>
                      <w:rFonts w:cs="Segoe UI"/>
                      <w:color w:val="000000"/>
                      <w:sz w:val="16"/>
                      <w:szCs w:val="16"/>
                    </w:rPr>
                    <w:t>prava jednoročného zníženia platov zdravotníkov (+ pre najnižšie zarábajúcich)</w:t>
                  </w:r>
                </w:p>
              </w:tc>
              <w:tc>
                <w:tcPr>
                  <w:tcW w:w="493" w:type="pct"/>
                  <w:vAlign w:val="bottom"/>
                </w:tcPr>
                <w:p w14:paraId="3CBC0F4B"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40</w:t>
                  </w:r>
                </w:p>
              </w:tc>
              <w:tc>
                <w:tcPr>
                  <w:tcW w:w="412" w:type="pct"/>
                  <w:vAlign w:val="bottom"/>
                </w:tcPr>
                <w:p w14:paraId="15A38B83"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44</w:t>
                  </w:r>
                </w:p>
              </w:tc>
              <w:tc>
                <w:tcPr>
                  <w:tcW w:w="444" w:type="pct"/>
                  <w:shd w:val="clear" w:color="auto" w:fill="auto"/>
                  <w:vAlign w:val="bottom"/>
                </w:tcPr>
                <w:p w14:paraId="3E2BDD35" w14:textId="77777777" w:rsidR="00B63F9F" w:rsidRPr="00622079" w:rsidRDefault="00B63F9F" w:rsidP="000839FB">
                  <w:pPr>
                    <w:spacing w:after="0" w:line="240" w:lineRule="auto"/>
                    <w:jc w:val="right"/>
                    <w:rPr>
                      <w:rFonts w:eastAsia="Calibri" w:cs="Segoe UI"/>
                      <w:sz w:val="16"/>
                      <w:szCs w:val="16"/>
                    </w:rPr>
                  </w:pPr>
                  <w:r w:rsidRPr="00622079">
                    <w:rPr>
                      <w:rFonts w:cs="Segoe UI"/>
                      <w:color w:val="000000"/>
                      <w:sz w:val="16"/>
                      <w:szCs w:val="16"/>
                    </w:rPr>
                    <w:t>47</w:t>
                  </w:r>
                </w:p>
              </w:tc>
            </w:tr>
            <w:tr w:rsidR="00B63F9F" w:rsidRPr="00622079" w14:paraId="3B24009F" w14:textId="77777777" w:rsidTr="000839FB">
              <w:trPr>
                <w:trHeight w:val="57"/>
                <w:jc w:val="center"/>
              </w:trPr>
              <w:tc>
                <w:tcPr>
                  <w:tcW w:w="3651" w:type="pct"/>
                  <w:tcBorders>
                    <w:bottom w:val="single" w:sz="4" w:space="0" w:color="314364"/>
                  </w:tcBorders>
                  <w:vAlign w:val="bottom"/>
                </w:tcPr>
                <w:p w14:paraId="1D0C11E3" w14:textId="77777777" w:rsidR="00B63F9F" w:rsidRPr="00622079" w:rsidRDefault="00B63F9F" w:rsidP="000839FB">
                  <w:pPr>
                    <w:spacing w:after="0" w:line="240" w:lineRule="auto"/>
                    <w:jc w:val="left"/>
                    <w:rPr>
                      <w:rFonts w:eastAsia="Calibri" w:cs="Segoe UI"/>
                      <w:i/>
                      <w:sz w:val="16"/>
                      <w:szCs w:val="16"/>
                    </w:rPr>
                  </w:pPr>
                  <w:r w:rsidRPr="00622079">
                    <w:rPr>
                      <w:rFonts w:cs="Segoe UI"/>
                      <w:b/>
                      <w:bCs/>
                      <w:color w:val="000000"/>
                      <w:sz w:val="16"/>
                      <w:szCs w:val="16"/>
                    </w:rPr>
                    <w:t>SPOLU</w:t>
                  </w:r>
                </w:p>
              </w:tc>
              <w:tc>
                <w:tcPr>
                  <w:tcW w:w="493" w:type="pct"/>
                  <w:tcBorders>
                    <w:bottom w:val="single" w:sz="4" w:space="0" w:color="314364"/>
                  </w:tcBorders>
                  <w:vAlign w:val="bottom"/>
                </w:tcPr>
                <w:p w14:paraId="7316E0AB" w14:textId="77777777" w:rsidR="00B63F9F" w:rsidRPr="00622079" w:rsidRDefault="00B63F9F" w:rsidP="000839FB">
                  <w:pPr>
                    <w:spacing w:after="0" w:line="240" w:lineRule="auto"/>
                    <w:jc w:val="right"/>
                    <w:rPr>
                      <w:rFonts w:eastAsia="Calibri" w:cs="Segoe UI"/>
                      <w:sz w:val="16"/>
                      <w:szCs w:val="16"/>
                    </w:rPr>
                  </w:pPr>
                  <w:r w:rsidRPr="00622079">
                    <w:rPr>
                      <w:rFonts w:cs="Segoe UI"/>
                      <w:b/>
                      <w:bCs/>
                      <w:color w:val="000000"/>
                      <w:sz w:val="16"/>
                      <w:szCs w:val="16"/>
                    </w:rPr>
                    <w:t>2 701</w:t>
                  </w:r>
                </w:p>
              </w:tc>
              <w:tc>
                <w:tcPr>
                  <w:tcW w:w="412" w:type="pct"/>
                  <w:tcBorders>
                    <w:bottom w:val="single" w:sz="4" w:space="0" w:color="314364"/>
                  </w:tcBorders>
                  <w:vAlign w:val="bottom"/>
                </w:tcPr>
                <w:p w14:paraId="4FB5EA98" w14:textId="77777777" w:rsidR="00B63F9F" w:rsidRPr="00622079" w:rsidRDefault="00B63F9F" w:rsidP="000839FB">
                  <w:pPr>
                    <w:spacing w:after="0" w:line="240" w:lineRule="auto"/>
                    <w:jc w:val="right"/>
                    <w:rPr>
                      <w:rFonts w:eastAsia="Calibri" w:cs="Segoe UI"/>
                      <w:sz w:val="16"/>
                      <w:szCs w:val="16"/>
                    </w:rPr>
                  </w:pPr>
                  <w:r w:rsidRPr="00622079">
                    <w:rPr>
                      <w:rFonts w:cs="Segoe UI"/>
                      <w:b/>
                      <w:bCs/>
                      <w:color w:val="000000"/>
                      <w:sz w:val="16"/>
                      <w:szCs w:val="16"/>
                    </w:rPr>
                    <w:t>3 052</w:t>
                  </w:r>
                </w:p>
              </w:tc>
              <w:tc>
                <w:tcPr>
                  <w:tcW w:w="444" w:type="pct"/>
                  <w:tcBorders>
                    <w:bottom w:val="single" w:sz="4" w:space="0" w:color="314364"/>
                  </w:tcBorders>
                  <w:shd w:val="clear" w:color="auto" w:fill="auto"/>
                  <w:vAlign w:val="bottom"/>
                </w:tcPr>
                <w:p w14:paraId="10F5A768" w14:textId="77777777" w:rsidR="00B63F9F" w:rsidRPr="00622079" w:rsidRDefault="00B63F9F" w:rsidP="000839FB">
                  <w:pPr>
                    <w:spacing w:after="0" w:line="240" w:lineRule="auto"/>
                    <w:jc w:val="right"/>
                    <w:rPr>
                      <w:rFonts w:eastAsia="Calibri" w:cs="Segoe UI"/>
                      <w:sz w:val="16"/>
                      <w:szCs w:val="16"/>
                    </w:rPr>
                  </w:pPr>
                  <w:r w:rsidRPr="00622079">
                    <w:rPr>
                      <w:rFonts w:cs="Segoe UI"/>
                      <w:b/>
                      <w:bCs/>
                      <w:color w:val="000000"/>
                      <w:sz w:val="16"/>
                      <w:szCs w:val="16"/>
                    </w:rPr>
                    <w:t>3 087</w:t>
                  </w:r>
                </w:p>
              </w:tc>
            </w:tr>
          </w:tbl>
          <w:p w14:paraId="6F38A44F" w14:textId="5596A7FC" w:rsidR="00B63F9F" w:rsidRPr="00547395" w:rsidRDefault="00B63F9F" w:rsidP="000839FB">
            <w:pPr>
              <w:rPr>
                <w:rFonts w:cs="Times New Roman"/>
                <w:sz w:val="18"/>
              </w:rPr>
            </w:pPr>
            <w:r>
              <w:rPr>
                <w:rFonts w:cs="Times New Roman"/>
                <w:i/>
                <w:color w:val="314364"/>
                <w:sz w:val="16"/>
              </w:rPr>
              <w:t xml:space="preserve">Zdroj: MF SR, VpDP. </w:t>
            </w:r>
          </w:p>
        </w:tc>
      </w:tr>
    </w:tbl>
    <w:p w14:paraId="654BCBCD" w14:textId="7A0F42C3" w:rsidR="006800A5" w:rsidRDefault="00547395" w:rsidP="00E9301A">
      <w:pPr>
        <w:spacing w:before="120"/>
      </w:pPr>
      <w:r w:rsidRPr="00547395">
        <w:rPr>
          <w:b/>
        </w:rPr>
        <w:lastRenderedPageBreak/>
        <w:t xml:space="preserve">Najvýznamnejšou zmenou je úprava sadzieb pri DPH s celkovým očakávaným </w:t>
      </w:r>
      <w:r w:rsidR="003461D3">
        <w:rPr>
          <w:b/>
        </w:rPr>
        <w:t>rastom</w:t>
      </w:r>
      <w:r w:rsidRPr="00547395">
        <w:rPr>
          <w:b/>
        </w:rPr>
        <w:t xml:space="preserve"> príjmov o </w:t>
      </w:r>
      <w:r w:rsidR="003461D3">
        <w:rPr>
          <w:b/>
        </w:rPr>
        <w:t> </w:t>
      </w:r>
      <w:r w:rsidRPr="00547395">
        <w:rPr>
          <w:b/>
        </w:rPr>
        <w:t>756 mil. eur.</w:t>
      </w:r>
      <w:r w:rsidRPr="00547395">
        <w:t xml:space="preserve"> Zvýšenie základnej sadzby DPH </w:t>
      </w:r>
      <w:r w:rsidR="00582CD7">
        <w:t xml:space="preserve">o 3 </w:t>
      </w:r>
      <w:r w:rsidR="001210F2">
        <w:t>p. b.</w:t>
      </w:r>
      <w:r w:rsidR="00582CD7">
        <w:t xml:space="preserve"> z 20 % na </w:t>
      </w:r>
      <w:r w:rsidRPr="00547395">
        <w:t xml:space="preserve">23 % predstavuje opatrenie pri DPH zvyšujúce príjmy celkovo o 1 </w:t>
      </w:r>
      <w:r w:rsidR="005709CC">
        <w:t>216</w:t>
      </w:r>
      <w:r w:rsidRPr="00547395">
        <w:t xml:space="preserve"> mil. eur v 2025.</w:t>
      </w:r>
      <w:r w:rsidR="001210F2">
        <w:t xml:space="preserve"> </w:t>
      </w:r>
      <w:r w:rsidRPr="00547395">
        <w:t>V</w:t>
      </w:r>
      <w:r w:rsidR="005709CC">
        <w:t xml:space="preserve">äčšina ďalších </w:t>
      </w:r>
      <w:r w:rsidRPr="00547395">
        <w:t>úprav DPH m</w:t>
      </w:r>
      <w:r w:rsidR="005709CC">
        <w:t>á</w:t>
      </w:r>
      <w:r w:rsidRPr="00547395">
        <w:t xml:space="preserve"> charakter daňových výdavkov, pričom kumulatívne dosahujú </w:t>
      </w:r>
      <w:r w:rsidR="005709CC">
        <w:t>493</w:t>
      </w:r>
      <w:r w:rsidRPr="00547395">
        <w:t xml:space="preserve"> mil. eur. </w:t>
      </w:r>
      <w:r w:rsidR="001210F2">
        <w:t>Okrem základnej sadzby umožňuje smernica EÚ</w:t>
      </w:r>
      <w:r w:rsidR="001210F2">
        <w:rPr>
          <w:rStyle w:val="Odkaznapoznmkupodiarou"/>
        </w:rPr>
        <w:footnoteReference w:id="7"/>
      </w:r>
      <w:r w:rsidR="001210F2">
        <w:t xml:space="preserve"> členským štátom uplatňovať ešte jednu alebo dve znížené sadzby vo výške najmenej 5 % na osobitný tovar alebo služby. Nakoľko je </w:t>
      </w:r>
      <w:r w:rsidR="001210F2" w:rsidRPr="00921972">
        <w:t xml:space="preserve">DPH </w:t>
      </w:r>
      <w:r w:rsidR="001210F2">
        <w:t xml:space="preserve">regresívna daň, teda málo zarábajúci sú nútení minúť väčšiu časť svojej mzdy hlavne na základné potreby, vláda </w:t>
      </w:r>
      <w:r w:rsidR="00753F30">
        <w:t xml:space="preserve">sa </w:t>
      </w:r>
      <w:r w:rsidR="001210F2">
        <w:t>rozhodl</w:t>
      </w:r>
      <w:r w:rsidR="00753F30">
        <w:t xml:space="preserve">a zaviesť aj zníženú sadzbu DPH, a to </w:t>
      </w:r>
      <w:r w:rsidR="001210F2">
        <w:t xml:space="preserve">19 % a 5 % na vybrané potraviny, knihy, gastro a ubytovacie služby či zdravotnícke pomôcky atď. </w:t>
      </w:r>
      <w:r w:rsidRPr="00547395">
        <w:t>Celkové daňové výdavky na DPH sa</w:t>
      </w:r>
      <w:r w:rsidR="00753F30">
        <w:t xml:space="preserve"> tak</w:t>
      </w:r>
      <w:r w:rsidRPr="00547395">
        <w:t xml:space="preserve"> medziročne takmer zdvojnásobi</w:t>
      </w:r>
      <w:r w:rsidR="00E17FB4">
        <w:t>a</w:t>
      </w:r>
      <w:r w:rsidRPr="00547395">
        <w:t xml:space="preserve">, keď </w:t>
      </w:r>
      <w:r w:rsidR="00E17FB4">
        <w:t xml:space="preserve">majú </w:t>
      </w:r>
      <w:r w:rsidRPr="00547395">
        <w:t>vzr</w:t>
      </w:r>
      <w:r w:rsidR="00E17FB4">
        <w:t>ásť</w:t>
      </w:r>
      <w:r w:rsidRPr="00547395">
        <w:t xml:space="preserve"> z 995 mil. eur v</w:t>
      </w:r>
      <w:r w:rsidR="001210F2">
        <w:t xml:space="preserve"> 2024 na 1 816 mil. eur v</w:t>
      </w:r>
      <w:r w:rsidR="00416D0A">
        <w:t> </w:t>
      </w:r>
      <w:r w:rsidR="001210F2">
        <w:t>2025</w:t>
      </w:r>
      <w:r w:rsidR="00416D0A">
        <w:t>, čo zodpovedá 15,7 % očakávaného výberu v 2025</w:t>
      </w:r>
      <w:r w:rsidR="001210F2">
        <w:t>.</w:t>
      </w:r>
    </w:p>
    <w:p w14:paraId="2508C583" w14:textId="5EDA31E6" w:rsidR="00C031E5" w:rsidRDefault="00547395" w:rsidP="006D2B49">
      <w:pPr>
        <w:spacing w:before="120"/>
      </w:pPr>
      <w:r w:rsidRPr="006800A5">
        <w:rPr>
          <w:b/>
        </w:rPr>
        <w:t>Pri DPH je dôležitá nielen samotná sadzba či prehľadnosť systému, ale aj úspešnosť výberu.</w:t>
      </w:r>
      <w:r w:rsidRPr="00547395">
        <w:t xml:space="preserve"> Tá sa môže merať prostredníctvom sektorovej daňovej medzery ako rozdiel potenciálnej a skutočne zaplatenej DPH. Najväčším a najvýznamnejším</w:t>
      </w:r>
      <w:r w:rsidR="00582CD7">
        <w:t>i</w:t>
      </w:r>
      <w:r w:rsidRPr="00547395">
        <w:t xml:space="preserve"> sektorm</w:t>
      </w:r>
      <w:r w:rsidR="00582CD7">
        <w:t>i sú</w:t>
      </w:r>
      <w:r w:rsidRPr="00547395">
        <w:t xml:space="preserve"> maloobchod, veľkoobchod a doprava a skladovanie s medzerou vo výške 17 %, pričom napr. sektor ubytovacích a stravovacích služieb vykazuje medzeru 53 %</w:t>
      </w:r>
      <w:r w:rsidR="00347D8F">
        <w:rPr>
          <w:rStyle w:val="Odkaznapoznmkupodiarou"/>
        </w:rPr>
        <w:footnoteReference w:id="8"/>
      </w:r>
      <w:r w:rsidR="00347D8F" w:rsidRPr="00547395">
        <w:t>,</w:t>
      </w:r>
      <w:r w:rsidRPr="00547395">
        <w:t xml:space="preserve"> čo znamená, že sa </w:t>
      </w:r>
      <w:r w:rsidR="00347D8F">
        <w:t xml:space="preserve">v ňom </w:t>
      </w:r>
      <w:r w:rsidRPr="00547395">
        <w:t>vyberie necelá polovica z potenciálne</w:t>
      </w:r>
      <w:r w:rsidR="00BA4E6C">
        <w:t>ho výberu</w:t>
      </w:r>
      <w:r w:rsidR="00416D0A">
        <w:t xml:space="preserve"> DPH. </w:t>
      </w:r>
    </w:p>
    <w:p w14:paraId="2B279CFB" w14:textId="1CD74BF1" w:rsidR="00416D0A" w:rsidRPr="005709CC" w:rsidRDefault="005709CC" w:rsidP="00416D0A">
      <w:pPr>
        <w:spacing w:before="120"/>
        <w:rPr>
          <w:b/>
        </w:rPr>
      </w:pPr>
      <w:r w:rsidRPr="00547395">
        <w:rPr>
          <w:b/>
        </w:rPr>
        <w:t>NKÚ SR opätovne upozorňuje na veľký priestor pri zvyšovaní úspešnosti výberu nielen DPH</w:t>
      </w:r>
      <w:r>
        <w:rPr>
          <w:b/>
        </w:rPr>
        <w:t>,</w:t>
      </w:r>
      <w:r w:rsidRPr="00547395">
        <w:rPr>
          <w:b/>
        </w:rPr>
        <w:t xml:space="preserve"> ale aj iných daní</w:t>
      </w:r>
      <w:r>
        <w:rPr>
          <w:b/>
        </w:rPr>
        <w:t>.</w:t>
      </w:r>
      <w:r w:rsidRPr="00547395">
        <w:rPr>
          <w:b/>
        </w:rPr>
        <w:t xml:space="preserve"> </w:t>
      </w:r>
      <w:r>
        <w:rPr>
          <w:b/>
        </w:rPr>
        <w:t>P</w:t>
      </w:r>
      <w:r w:rsidRPr="00547395">
        <w:rPr>
          <w:b/>
        </w:rPr>
        <w:t>reto zároveň pozitívne hodnotí záväzok vlády z</w:t>
      </w:r>
      <w:r>
        <w:rPr>
          <w:b/>
        </w:rPr>
        <w:t xml:space="preserve"> MTP</w:t>
      </w:r>
      <w:r w:rsidRPr="00547395">
        <w:rPr>
          <w:b/>
        </w:rPr>
        <w:t xml:space="preserve"> na zabezpečenie lepšieho výberu daní.</w:t>
      </w:r>
      <w:r>
        <w:rPr>
          <w:b/>
        </w:rPr>
        <w:t xml:space="preserve"> </w:t>
      </w:r>
      <w:r w:rsidR="00416D0A">
        <w:t xml:space="preserve">MTP pri konsolidačných opatreniach na nasledujúce roky uvádza, že na dosiahnutie stanoveného poklesu nominálneho deficitu budú podľa aktuálnych prognóz potrebné ešte dodatočné opatrenia </w:t>
      </w:r>
      <w:r w:rsidR="00EB6518">
        <w:t>v objeme</w:t>
      </w:r>
      <w:r w:rsidR="00416D0A">
        <w:t xml:space="preserve"> 0,6 % HDP. Tie chce vláda zabezpečiť lepším výberom daní, ktorý podporí aj konkrétnymi opatreniami v pripravovanom Akčnom pláne boja proti daňovým únikom. </w:t>
      </w:r>
    </w:p>
    <w:p w14:paraId="417F630C" w14:textId="087293BE" w:rsidR="00AB6CA8" w:rsidRDefault="00E17FB4" w:rsidP="009048B9">
      <w:pPr>
        <w:spacing w:before="120"/>
      </w:pPr>
      <w:r w:rsidRPr="00547395">
        <w:rPr>
          <w:b/>
        </w:rPr>
        <w:t xml:space="preserve">Druhou najvýznamnejšou zmenou je zavedenie dane z finančných transakcií </w:t>
      </w:r>
      <w:r w:rsidR="009048B9">
        <w:rPr>
          <w:b/>
        </w:rPr>
        <w:t xml:space="preserve">od apríla 2025 </w:t>
      </w:r>
      <w:r w:rsidRPr="00547395">
        <w:rPr>
          <w:b/>
        </w:rPr>
        <w:t xml:space="preserve">s </w:t>
      </w:r>
      <w:r w:rsidR="00CE20EB">
        <w:rPr>
          <w:b/>
        </w:rPr>
        <w:t> </w:t>
      </w:r>
      <w:r w:rsidRPr="00547395">
        <w:rPr>
          <w:b/>
        </w:rPr>
        <w:t>celkovým očakávaným výnosom 517 mil. eur.</w:t>
      </w:r>
      <w:r w:rsidRPr="00547395">
        <w:t xml:space="preserve"> </w:t>
      </w:r>
      <w:r w:rsidR="009048B9" w:rsidRPr="009048B9">
        <w:t>N</w:t>
      </w:r>
      <w:r w:rsidR="00AB6CA8" w:rsidRPr="009048B9">
        <w:t>ová daň sa bude týkať ako právnických osôb, tak aj živnostníkov.</w:t>
      </w:r>
      <w:r w:rsidR="00AB6CA8">
        <w:t xml:space="preserve"> </w:t>
      </w:r>
      <w:r w:rsidR="00AB6CA8" w:rsidRPr="001B3748">
        <w:t xml:space="preserve">Vo </w:t>
      </w:r>
      <w:r w:rsidR="00AB6CA8">
        <w:t>svojom programovom vyhlásení</w:t>
      </w:r>
      <w:r w:rsidR="00AB6CA8">
        <w:rPr>
          <w:rStyle w:val="Odkaznapoznmkupodiarou"/>
        </w:rPr>
        <w:footnoteReference w:id="9"/>
      </w:r>
      <w:r w:rsidR="00AB6CA8">
        <w:t xml:space="preserve"> </w:t>
      </w:r>
      <w:r w:rsidR="00FA498D">
        <w:t>de</w:t>
      </w:r>
      <w:r w:rsidR="00AB6CA8">
        <w:t>kla</w:t>
      </w:r>
      <w:r w:rsidR="00FA498D">
        <w:t>r</w:t>
      </w:r>
      <w:r w:rsidR="00AB6CA8">
        <w:t xml:space="preserve">ovala vláda cieľ vytvoriť podmienky pre udržateľný hospodársky rast. </w:t>
      </w:r>
      <w:r w:rsidR="00AB2FCD">
        <w:t>Plánovala z</w:t>
      </w:r>
      <w:r w:rsidR="00AB6CA8">
        <w:t>ároveň vytvori</w:t>
      </w:r>
      <w:r w:rsidR="00AB2FCD">
        <w:t>ť</w:t>
      </w:r>
      <w:r w:rsidR="00AB6CA8">
        <w:t xml:space="preserve"> prostredi</w:t>
      </w:r>
      <w:r w:rsidR="00AB2FCD">
        <w:t>e</w:t>
      </w:r>
      <w:r w:rsidR="00AB6CA8">
        <w:t xml:space="preserve"> pre podnikateľov stimulujúce k ekonomickej aktivite, a to zjednodušovaním povinností a odstra</w:t>
      </w:r>
      <w:r w:rsidR="00733AFC">
        <w:t>ň</w:t>
      </w:r>
      <w:r w:rsidR="00AB6CA8">
        <w:t>ovaním prekážok. Avšak zaveden</w:t>
      </w:r>
      <w:r w:rsidR="00D31E03">
        <w:t>ie</w:t>
      </w:r>
      <w:r w:rsidR="00AB6CA8">
        <w:t xml:space="preserve"> dane z finančných transakcií je </w:t>
      </w:r>
      <w:r w:rsidR="00D31E03">
        <w:t xml:space="preserve">v rozpore s týmto </w:t>
      </w:r>
      <w:r w:rsidR="00AB6CA8">
        <w:t>cieľ</w:t>
      </w:r>
      <w:r w:rsidR="00D31E03">
        <w:t>om</w:t>
      </w:r>
      <w:r w:rsidR="00AB6CA8">
        <w:t xml:space="preserve">. Dôvodom je, že túto daň budú musieť platiť všetky </w:t>
      </w:r>
      <w:r w:rsidR="00387EF3">
        <w:t>nefinančné spoločnosti</w:t>
      </w:r>
      <w:r w:rsidR="00AB6CA8">
        <w:t xml:space="preserve"> a to bez ohľadu na ich zisk, čo môže pre niektoré podniky znamenať vyššie finančné zaťaženie (napr. menšie podniky s nižšou likviditou alebo podniky v stratovom období). </w:t>
      </w:r>
    </w:p>
    <w:p w14:paraId="4F0787D8" w14:textId="2CD20151" w:rsidR="00AB6CA8" w:rsidRPr="001B3748" w:rsidRDefault="00733AFC" w:rsidP="00AB6CA8">
      <w:r w:rsidRPr="00733AFC">
        <w:rPr>
          <w:b/>
        </w:rPr>
        <w:t xml:space="preserve">NKÚ SR upozorňuje, že </w:t>
      </w:r>
      <w:r>
        <w:rPr>
          <w:b/>
        </w:rPr>
        <w:t xml:space="preserve">v súvislosti so zavedením dane z finančných transakcií </w:t>
      </w:r>
      <w:r w:rsidRPr="00733AFC">
        <w:rPr>
          <w:b/>
        </w:rPr>
        <w:t>existuje riziko zvýšenia objemu finančnej hotovosti v slovenskej ekonomike, ktorý môže viesť k rozvoju šedej ekonomiky a vyšším daňový únikom.</w:t>
      </w:r>
      <w:r>
        <w:t xml:space="preserve"> </w:t>
      </w:r>
      <w:r w:rsidR="00F32162">
        <w:t>Slovensko je prvou krajinou eurozóny, ktorá túto daň</w:t>
      </w:r>
      <w:r w:rsidR="00201E68">
        <w:t xml:space="preserve"> zavádza</w:t>
      </w:r>
      <w:r w:rsidR="00F32162">
        <w:t>. Navyše</w:t>
      </w:r>
      <w:r w:rsidR="00AB6CA8">
        <w:t xml:space="preserve"> okrem Maďarska s touto daňou </w:t>
      </w:r>
      <w:r w:rsidR="00F32162">
        <w:t xml:space="preserve">ani </w:t>
      </w:r>
      <w:r w:rsidR="00AB6CA8">
        <w:t>v rámci EÚ n</w:t>
      </w:r>
      <w:r>
        <w:t>i</w:t>
      </w:r>
      <w:r w:rsidR="00AB6CA8">
        <w:t>e</w:t>
      </w:r>
      <w:r>
        <w:t xml:space="preserve"> sú</w:t>
      </w:r>
      <w:r w:rsidR="00AB6CA8">
        <w:t xml:space="preserve"> skúsenosti</w:t>
      </w:r>
      <w:r w:rsidR="00201E68">
        <w:t>. K</w:t>
      </w:r>
      <w:r w:rsidR="00AB6CA8">
        <w:t xml:space="preserve">onečný výnos dane </w:t>
      </w:r>
      <w:r w:rsidR="00F32162">
        <w:t xml:space="preserve">tak môže byť </w:t>
      </w:r>
      <w:r w:rsidR="00AB6CA8">
        <w:t>nižší</w:t>
      </w:r>
      <w:r>
        <w:t xml:space="preserve"> než</w:t>
      </w:r>
      <w:r w:rsidR="00AB6CA8">
        <w:t xml:space="preserve"> predpokladá rozpo</w:t>
      </w:r>
      <w:r>
        <w:t>čet.</w:t>
      </w:r>
    </w:p>
    <w:p w14:paraId="1ED689CC" w14:textId="53996342" w:rsidR="009B3C56" w:rsidRDefault="00A21B50" w:rsidP="003314A4">
      <w:pPr>
        <w:spacing w:before="120"/>
      </w:pPr>
      <w:r w:rsidRPr="00B60C19">
        <w:rPr>
          <w:b/>
        </w:rPr>
        <w:t>Tretím najväčším opatrením v rámci konsolidačného balí</w:t>
      </w:r>
      <w:r w:rsidR="006F7254">
        <w:rPr>
          <w:b/>
        </w:rPr>
        <w:t>č</w:t>
      </w:r>
      <w:r w:rsidRPr="00B60C19">
        <w:rPr>
          <w:b/>
        </w:rPr>
        <w:t xml:space="preserve">ka je zvýšenie </w:t>
      </w:r>
      <w:r w:rsidR="009A05BC">
        <w:rPr>
          <w:b/>
        </w:rPr>
        <w:t>DPPO</w:t>
      </w:r>
      <w:r w:rsidRPr="00B60C19">
        <w:rPr>
          <w:b/>
        </w:rPr>
        <w:t xml:space="preserve"> z 21 % na 24 % pre </w:t>
      </w:r>
      <w:r>
        <w:rPr>
          <w:b/>
        </w:rPr>
        <w:t>podniky</w:t>
      </w:r>
      <w:r w:rsidRPr="00B60C19">
        <w:rPr>
          <w:b/>
        </w:rPr>
        <w:t xml:space="preserve"> so zdaniteľným príjmom nad 5 mil. eur</w:t>
      </w:r>
      <w:r w:rsidR="006F7254">
        <w:rPr>
          <w:b/>
        </w:rPr>
        <w:t>, ktoré</w:t>
      </w:r>
      <w:r w:rsidR="00300709">
        <w:rPr>
          <w:b/>
        </w:rPr>
        <w:t xml:space="preserve"> by </w:t>
      </w:r>
      <w:r w:rsidR="006F7254">
        <w:rPr>
          <w:b/>
        </w:rPr>
        <w:t xml:space="preserve">malo </w:t>
      </w:r>
      <w:r w:rsidR="00300709">
        <w:rPr>
          <w:b/>
        </w:rPr>
        <w:t xml:space="preserve">priniesť výnos </w:t>
      </w:r>
      <w:r w:rsidR="00300709" w:rsidRPr="00300709">
        <w:rPr>
          <w:b/>
        </w:rPr>
        <w:t>489 mil. eur v roku 2025</w:t>
      </w:r>
      <w:r w:rsidRPr="00300709">
        <w:rPr>
          <w:b/>
        </w:rPr>
        <w:t>.</w:t>
      </w:r>
      <w:r>
        <w:rPr>
          <w:b/>
        </w:rPr>
        <w:t xml:space="preserve"> </w:t>
      </w:r>
      <w:r w:rsidR="00347D8F" w:rsidRPr="00347D8F">
        <w:t>T</w:t>
      </w:r>
      <w:r w:rsidRPr="00347D8F">
        <w:t>o</w:t>
      </w:r>
      <w:r>
        <w:t xml:space="preserve">to opatrenie </w:t>
      </w:r>
      <w:r w:rsidR="00347D8F">
        <w:t xml:space="preserve">by sa </w:t>
      </w:r>
      <w:r>
        <w:t xml:space="preserve">malo týkať približne 5 400 </w:t>
      </w:r>
      <w:r w:rsidR="009B3C56">
        <w:t xml:space="preserve">(2 %) </w:t>
      </w:r>
      <w:r>
        <w:t>z viac než 277-tisíc nefinančných podnikov</w:t>
      </w:r>
      <w:r w:rsidR="00347D8F">
        <w:rPr>
          <w:rStyle w:val="Odkaznapoznmkupodiarou"/>
        </w:rPr>
        <w:footnoteReference w:id="10"/>
      </w:r>
      <w:r>
        <w:t xml:space="preserve">. </w:t>
      </w:r>
      <w:r>
        <w:lastRenderedPageBreak/>
        <w:t>Tie</w:t>
      </w:r>
      <w:r w:rsidR="00A72886">
        <w:t>to podniky</w:t>
      </w:r>
      <w:r>
        <w:t xml:space="preserve"> na dani z príjmov odviedli v roku 2023 </w:t>
      </w:r>
      <w:r w:rsidR="00A72886">
        <w:t xml:space="preserve">spolu </w:t>
      </w:r>
      <w:r>
        <w:t xml:space="preserve">takmer 2,6 mld. eur, čo predstavuje 70 % z celkového daňového výnosu </w:t>
      </w:r>
      <w:r w:rsidR="00A72886">
        <w:t xml:space="preserve">DPPO </w:t>
      </w:r>
      <w:r>
        <w:t xml:space="preserve">(graf 2). </w:t>
      </w:r>
      <w:r w:rsidR="00300709" w:rsidRPr="00547395">
        <w:t xml:space="preserve">Táto úprava spolu s ďalšími zmenami pri DPPO a DPFO nesie riziko, že sa </w:t>
      </w:r>
      <w:r w:rsidR="003314A4">
        <w:t>budú využívať rôzne nástroje daňovej optimalizácie či transferového oceňovania a očakávaný výnos sa tak nemusí dosiahnuť. Napríklad sa</w:t>
      </w:r>
      <w:r w:rsidR="003314A4" w:rsidRPr="00547395">
        <w:t xml:space="preserve"> príslušné subjekty </w:t>
      </w:r>
      <w:r w:rsidR="003314A4">
        <w:t>môžu</w:t>
      </w:r>
      <w:r w:rsidR="003314A4" w:rsidRPr="00547395">
        <w:t xml:space="preserve"> zhlukovať okolo stanovených hraníc obdobne, ako sa to udialo pri zavádzaní daňovej lic</w:t>
      </w:r>
      <w:r w:rsidR="003314A4">
        <w:t>encie (minimálnej sadzby dane).</w:t>
      </w:r>
    </w:p>
    <w:p w14:paraId="3724C307" w14:textId="77777777" w:rsidR="001C2034" w:rsidRPr="000C6806" w:rsidRDefault="001C2034" w:rsidP="001C2034">
      <w:pPr>
        <w:pStyle w:val="Popis"/>
        <w:keepNext/>
      </w:pPr>
      <w:r w:rsidRPr="000C6806">
        <w:t>Graf 2: Výber dane z príjmu právnických osôb podľa veľkosti ich tržieb v roku 2023 (v %)</w:t>
      </w:r>
    </w:p>
    <w:tbl>
      <w:tblPr>
        <w:tblStyle w:val="Mriekatabuky"/>
        <w:tblW w:w="503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0"/>
      </w:tblGrid>
      <w:tr w:rsidR="001C2034" w:rsidRPr="000F43AE" w14:paraId="6D50DC90" w14:textId="77777777" w:rsidTr="00F63B8F">
        <w:trPr>
          <w:trHeight w:val="2700"/>
        </w:trPr>
        <w:tc>
          <w:tcPr>
            <w:tcW w:w="9130" w:type="dxa"/>
            <w:tcBorders>
              <w:top w:val="single" w:sz="4" w:space="0" w:color="314364"/>
              <w:bottom w:val="single" w:sz="4" w:space="0" w:color="314364"/>
            </w:tcBorders>
            <w:vAlign w:val="center"/>
          </w:tcPr>
          <w:p w14:paraId="185AC554" w14:textId="77777777" w:rsidR="001C2034" w:rsidRPr="000F43AE" w:rsidRDefault="001C2034" w:rsidP="00F63B8F">
            <w:pPr>
              <w:spacing w:after="0"/>
              <w:rPr>
                <w:b/>
                <w:color w:val="576431"/>
                <w:highlight w:val="yellow"/>
              </w:rPr>
            </w:pPr>
            <w:r>
              <w:rPr>
                <w:noProof/>
                <w:lang w:eastAsia="sk-SK"/>
              </w:rPr>
              <w:drawing>
                <wp:inline distT="0" distB="0" distL="0" distR="0" wp14:anchorId="4146B415" wp14:editId="507766B0">
                  <wp:extent cx="5759450" cy="1609725"/>
                  <wp:effectExtent l="0" t="0" r="0" b="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14:paraId="522A713B" w14:textId="77777777" w:rsidR="001C2034" w:rsidRDefault="001C2034" w:rsidP="001C2034">
      <w:pPr>
        <w:pStyle w:val="Zdroj"/>
      </w:pPr>
      <w:r>
        <w:t>Zdroj: Finstat.</w:t>
      </w:r>
    </w:p>
    <w:p w14:paraId="0888F29A" w14:textId="1F0EC7FE" w:rsidR="00482FDD" w:rsidRPr="003A09E8" w:rsidRDefault="00482FDD" w:rsidP="00482FDD">
      <w:r w:rsidRPr="003F0A7D">
        <w:rPr>
          <w:b/>
        </w:rPr>
        <w:t>Potom, čo vláda minulý rok zvýšila zrážkovú daň z dividend zo 7 % na 10 %, pristúpila v tomto roku k jej opätovnému zníženiu</w:t>
      </w:r>
      <w:r>
        <w:rPr>
          <w:b/>
        </w:rPr>
        <w:t xml:space="preserve"> z 10 % na 7 %</w:t>
      </w:r>
      <w:r w:rsidRPr="003F0A7D">
        <w:rPr>
          <w:b/>
        </w:rPr>
        <w:t>.</w:t>
      </w:r>
      <w:r>
        <w:rPr>
          <w:b/>
        </w:rPr>
        <w:t xml:space="preserve"> </w:t>
      </w:r>
      <w:r>
        <w:t xml:space="preserve">Dividendy vyplatené zo ziskov za rok 2023 tak budú zdaňované 7 % sadzbou, dividendy zo ziskov za rok 2024 sa zdania 10 % sadzbou dane a dividendy zo ziskov za roky 2025 a neskôr sa zdania opäť 7 % sadzbou dane. Takéto časté zmeny zvyšujú nepredvídateľnosť podnikateľského prostredia. Niektorí podnikatelia to môžu vnímať </w:t>
      </w:r>
      <w:r w:rsidR="00A8324D">
        <w:t xml:space="preserve">aj </w:t>
      </w:r>
      <w:r>
        <w:t>ako riziko pre plánovanie investícií a strategické rozhodnutia.</w:t>
      </w:r>
    </w:p>
    <w:p w14:paraId="4C8A08B8" w14:textId="01B8A2AA" w:rsidR="00AB6CA8" w:rsidRDefault="00DA66B5" w:rsidP="00A9155E">
      <w:pPr>
        <w:pStyle w:val="Nadpis3"/>
      </w:pPr>
      <w:bookmarkStart w:id="13" w:name="_Toc178602799"/>
      <w:r>
        <w:t xml:space="preserve"> </w:t>
      </w:r>
      <w:bookmarkStart w:id="14" w:name="_Toc182559176"/>
      <w:r w:rsidR="00AB6CA8">
        <w:t>Zdravotné odvody</w:t>
      </w:r>
      <w:bookmarkEnd w:id="13"/>
      <w:bookmarkEnd w:id="14"/>
    </w:p>
    <w:p w14:paraId="422044A1" w14:textId="41DEDC5A" w:rsidR="002C14FD" w:rsidRDefault="002C14FD" w:rsidP="002C14FD">
      <w:r>
        <w:rPr>
          <w:b/>
        </w:rPr>
        <w:t>Na základe d</w:t>
      </w:r>
      <w:r w:rsidRPr="00C31DF0">
        <w:rPr>
          <w:b/>
        </w:rPr>
        <w:t>aňovo-odvodov</w:t>
      </w:r>
      <w:r>
        <w:rPr>
          <w:b/>
        </w:rPr>
        <w:t>ej</w:t>
      </w:r>
      <w:r w:rsidRPr="00C31DF0">
        <w:rPr>
          <w:b/>
        </w:rPr>
        <w:t xml:space="preserve"> prognóz</w:t>
      </w:r>
      <w:r>
        <w:rPr>
          <w:b/>
        </w:rPr>
        <w:t>y</w:t>
      </w:r>
      <w:r w:rsidRPr="00C31DF0">
        <w:rPr>
          <w:b/>
        </w:rPr>
        <w:t xml:space="preserve"> </w:t>
      </w:r>
      <w:r>
        <w:rPr>
          <w:b/>
        </w:rPr>
        <w:t>sa očakávajú</w:t>
      </w:r>
      <w:r w:rsidRPr="00C31DF0">
        <w:rPr>
          <w:b/>
        </w:rPr>
        <w:t xml:space="preserve"> príjmy za ekonomicky aktívne obyvateľstvo </w:t>
      </w:r>
      <w:r w:rsidRPr="001D1DCB">
        <w:t>(EAO)</w:t>
      </w:r>
      <w:r w:rsidRPr="00C31DF0">
        <w:rPr>
          <w:b/>
        </w:rPr>
        <w:t xml:space="preserve"> na rok 2025 vyššie o 400 mil. eur oproti odhadu na rok 2024</w:t>
      </w:r>
      <w:r w:rsidR="002D2F4B">
        <w:t xml:space="preserve"> (graf 3)</w:t>
      </w:r>
      <w:r w:rsidRPr="00C31DF0">
        <w:rPr>
          <w:b/>
        </w:rPr>
        <w:t>.</w:t>
      </w:r>
      <w:r>
        <w:t xml:space="preserve"> </w:t>
      </w:r>
      <w:r w:rsidR="00BF545F">
        <w:t>P</w:t>
      </w:r>
      <w:r>
        <w:t>ríjmy zo zdravotných odvodov EAO môžu v roku 2025 dosiahnuť 6,27 mld. eur. Podobne ako v roku 2024, aj v 2025 budú hlavným zdrojom príjmov do systému verejného zdravotného poistenia (VZP) platby EAO</w:t>
      </w:r>
      <w:r w:rsidRPr="0092408B">
        <w:t>.</w:t>
      </w:r>
    </w:p>
    <w:p w14:paraId="6CCFB363" w14:textId="77777777" w:rsidR="002877E1" w:rsidRDefault="002877E1" w:rsidP="002877E1">
      <w:pPr>
        <w:pStyle w:val="Popis"/>
        <w:keepNext/>
      </w:pPr>
      <w:r>
        <w:t>Graf 3:</w:t>
      </w:r>
      <w:r w:rsidRPr="007E6742">
        <w:rPr>
          <w:color w:val="314364"/>
        </w:rPr>
        <w:t xml:space="preserve"> </w:t>
      </w:r>
      <w:r w:rsidRPr="00FE2686">
        <w:rPr>
          <w:color w:val="314364"/>
        </w:rPr>
        <w:t>Príjmy VZP a vývoj priemernej mesačnej platby za poistencov štátu v rokoch 20</w:t>
      </w:r>
      <w:r>
        <w:rPr>
          <w:color w:val="314364"/>
        </w:rPr>
        <w:t>13 – 2024</w:t>
      </w:r>
    </w:p>
    <w:tbl>
      <w:tblPr>
        <w:tblStyle w:val="Mriekatabuky"/>
        <w:tblW w:w="0" w:type="auto"/>
        <w:tblCellMar>
          <w:left w:w="70" w:type="dxa"/>
          <w:right w:w="70" w:type="dxa"/>
        </w:tblCellMar>
        <w:tblLook w:val="04A0" w:firstRow="1" w:lastRow="0" w:firstColumn="1" w:lastColumn="0" w:noHBand="0" w:noVBand="1"/>
      </w:tblPr>
      <w:tblGrid>
        <w:gridCol w:w="9070"/>
      </w:tblGrid>
      <w:tr w:rsidR="002877E1" w14:paraId="682EB7F3" w14:textId="77777777" w:rsidTr="00BF545F">
        <w:trPr>
          <w:trHeight w:val="2910"/>
        </w:trPr>
        <w:tc>
          <w:tcPr>
            <w:tcW w:w="9070" w:type="dxa"/>
            <w:tcBorders>
              <w:top w:val="single" w:sz="4" w:space="0" w:color="314364" w:themeColor="text2"/>
              <w:left w:val="nil"/>
              <w:bottom w:val="single" w:sz="4" w:space="0" w:color="314364" w:themeColor="text2"/>
              <w:right w:val="nil"/>
            </w:tcBorders>
          </w:tcPr>
          <w:p w14:paraId="7721D67F" w14:textId="77777777" w:rsidR="002877E1" w:rsidRDefault="002877E1" w:rsidP="008F2824">
            <w:pPr>
              <w:spacing w:after="0"/>
            </w:pPr>
            <w:r>
              <w:rPr>
                <w:noProof/>
                <w:lang w:eastAsia="sk-SK"/>
              </w:rPr>
              <w:drawing>
                <wp:inline distT="0" distB="0" distL="0" distR="0" wp14:anchorId="2418F70C" wp14:editId="2EEE7BEF">
                  <wp:extent cx="5759450" cy="1847850"/>
                  <wp:effectExtent l="0" t="0" r="0" b="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14:paraId="6353E22E" w14:textId="5EA2E0DF" w:rsidR="002877E1" w:rsidRDefault="002877E1" w:rsidP="002877E1">
      <w:pPr>
        <w:pStyle w:val="Zdroj"/>
      </w:pPr>
      <w:r>
        <w:t>Zdroj: ÚDZS SR, spracovanie NKÚ SR.</w:t>
      </w:r>
      <w:r w:rsidR="00BF545F">
        <w:t xml:space="preserve">      </w:t>
      </w:r>
      <w:r>
        <w:t>Poznámka: Údaj za rok 2024 je očakávaná skutočnosť z augusta 2024.</w:t>
      </w:r>
    </w:p>
    <w:p w14:paraId="5937ABD7" w14:textId="1421122E" w:rsidR="002D2F4B" w:rsidRDefault="002D2F4B" w:rsidP="002D2F4B">
      <w:pPr>
        <w:pStyle w:val="Textkomentra"/>
        <w:spacing w:line="276" w:lineRule="auto"/>
        <w:rPr>
          <w:szCs w:val="22"/>
        </w:rPr>
      </w:pPr>
      <w:r w:rsidRPr="00B41BF7">
        <w:rPr>
          <w:b/>
          <w:szCs w:val="22"/>
        </w:rPr>
        <w:t xml:space="preserve">Podľa predbežných údajov budú mesačné odvody EAO v roku 2024 viac než 3,5-násobkom odvodov za poistencov štátu. </w:t>
      </w:r>
      <w:r w:rsidRPr="00B41BF7">
        <w:rPr>
          <w:szCs w:val="22"/>
        </w:rPr>
        <w:t xml:space="preserve">Na základe údajov z augusta 2024 je zrejmé, že príjmy VZP sú ťahané najmä platbami EAO, pričom očakávané príjmy za poistencov štátu by mali v roku 2024 stagnovať. Výška mesačnej platby za poistenca štátu je nastavená na úrovni 60 eur/mesiac a očakávaná hodnota priemernej mesačnej platby za EAO je na úrovni 215 eur/mesiac. Podiel EAO na celkovom počte </w:t>
      </w:r>
      <w:r w:rsidRPr="00B41BF7">
        <w:rPr>
          <w:szCs w:val="22"/>
        </w:rPr>
        <w:lastRenderedPageBreak/>
        <w:t xml:space="preserve">poistencov v SR je približne 44 %, pričom zvyšných 56 % tvoria poistenci štátu. Platba za každého poistenca štátu je vypočítaná ako sadzba 4,5 % z vymeriavacieho základu, ktorým je 12-násobok priemernej mesačnej mzdy spred dvoch rokov. Na rok 2025 je plánované zachovať výšku platby na úrovni 4,5 % a na rok 2026 sa plánuje zvýšenie tejto sadzby o 0,5 p. b. na úroveň </w:t>
      </w:r>
      <w:r w:rsidR="007254BB">
        <w:rPr>
          <w:szCs w:val="22"/>
        </w:rPr>
        <w:t>5 %</w:t>
      </w:r>
      <w:r w:rsidRPr="00B41BF7">
        <w:rPr>
          <w:szCs w:val="22"/>
        </w:rPr>
        <w:t>.</w:t>
      </w:r>
      <w:r>
        <w:rPr>
          <w:rStyle w:val="Odkaznapoznmkupodiarou"/>
        </w:rPr>
        <w:footnoteReference w:id="11"/>
      </w:r>
    </w:p>
    <w:p w14:paraId="45CB7AC7" w14:textId="18821B88" w:rsidR="004D6BE5" w:rsidRPr="00AB6CA8" w:rsidRDefault="004D6BE5" w:rsidP="004D6BE5">
      <w:r w:rsidRPr="0069714C">
        <w:rPr>
          <w:b/>
        </w:rPr>
        <w:t xml:space="preserve">Výška mesačnej platby za poistenca štátu je </w:t>
      </w:r>
      <w:r>
        <w:rPr>
          <w:b/>
        </w:rPr>
        <w:t>v SR</w:t>
      </w:r>
      <w:r w:rsidRPr="0069714C">
        <w:rPr>
          <w:b/>
        </w:rPr>
        <w:t xml:space="preserve"> </w:t>
      </w:r>
      <w:r>
        <w:rPr>
          <w:b/>
        </w:rPr>
        <w:t>v porovnaní napríklad s ČR dlhodobo nízka</w:t>
      </w:r>
      <w:r w:rsidRPr="0069714C">
        <w:rPr>
          <w:b/>
        </w:rPr>
        <w:t>.</w:t>
      </w:r>
      <w:r>
        <w:t xml:space="preserve"> Po stagnácii mesačnej platby za poistenca štátu v rokoch 2021 a 2022 bola výška mesačnej platby v roku 2023 navýšená, čím sa SR priblížila k ČR </w:t>
      </w:r>
      <w:r w:rsidRPr="0092408B">
        <w:t>(graf 4). Napriek</w:t>
      </w:r>
      <w:r>
        <w:t xml:space="preserve"> zvýšeniu platby za poistenca štátu na 60 </w:t>
      </w:r>
      <w:r w:rsidR="001D2E77">
        <w:t> </w:t>
      </w:r>
      <w:r>
        <w:t>eur/mesiac počas roka 2023, platba v ČR rastie rýchlejšie a v SR naďalej stagnuje</w:t>
      </w:r>
      <w:r>
        <w:rPr>
          <w:rStyle w:val="Odkaznapoznmkupodiarou"/>
        </w:rPr>
        <w:footnoteReference w:id="12"/>
      </w:r>
      <w:r>
        <w:t>. Na dobehnutie ČR vo výške mesačnej platby za poistencov štátu tak stagnácia na úrovni 4,5 % vymeriavacieho základu v roku 2025 stačiť nebude.</w:t>
      </w:r>
    </w:p>
    <w:p w14:paraId="26923394" w14:textId="77777777" w:rsidR="004C535B" w:rsidRDefault="004C535B" w:rsidP="004C535B">
      <w:pPr>
        <w:pStyle w:val="Popis"/>
        <w:keepNext/>
      </w:pPr>
      <w:r>
        <w:t>Graf 4: Vývoj mesačnej platby za poistenca štátu v SR a ČR (v eurách)</w:t>
      </w:r>
    </w:p>
    <w:tbl>
      <w:tblPr>
        <w:tblStyle w:val="Mriekatabuky"/>
        <w:tblW w:w="0" w:type="auto"/>
        <w:tblLook w:val="04A0" w:firstRow="1" w:lastRow="0" w:firstColumn="1" w:lastColumn="0" w:noHBand="0" w:noVBand="1"/>
      </w:tblPr>
      <w:tblGrid>
        <w:gridCol w:w="9070"/>
      </w:tblGrid>
      <w:tr w:rsidR="004C535B" w14:paraId="6D6D1818" w14:textId="77777777" w:rsidTr="006257C9">
        <w:trPr>
          <w:trHeight w:val="2835"/>
        </w:trPr>
        <w:tc>
          <w:tcPr>
            <w:tcW w:w="9060" w:type="dxa"/>
            <w:tcBorders>
              <w:top w:val="single" w:sz="4" w:space="0" w:color="314364" w:themeColor="text2"/>
              <w:left w:val="nil"/>
              <w:bottom w:val="single" w:sz="4" w:space="0" w:color="314364" w:themeColor="text2"/>
              <w:right w:val="nil"/>
            </w:tcBorders>
          </w:tcPr>
          <w:p w14:paraId="51D181CB" w14:textId="77777777" w:rsidR="004C535B" w:rsidRDefault="004C535B" w:rsidP="006257C9">
            <w:pPr>
              <w:spacing w:after="0"/>
            </w:pPr>
            <w:r>
              <w:rPr>
                <w:noProof/>
                <w:lang w:eastAsia="sk-SK"/>
              </w:rPr>
              <w:drawing>
                <wp:inline distT="0" distB="0" distL="0" distR="0" wp14:anchorId="40758A1B" wp14:editId="783FFBE1">
                  <wp:extent cx="5760720" cy="1781175"/>
                  <wp:effectExtent l="0" t="0" r="0" b="0"/>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14:paraId="0D423846" w14:textId="456384C3" w:rsidR="004C535B" w:rsidRDefault="004C535B" w:rsidP="004C535B">
      <w:pPr>
        <w:pStyle w:val="Zdroj"/>
      </w:pPr>
      <w:r>
        <w:t>Zdroj: ÚDZ SR, spracovanie NKÚ SR</w:t>
      </w:r>
      <w:r w:rsidR="002027E3">
        <w:t>.</w:t>
      </w:r>
    </w:p>
    <w:p w14:paraId="6E67C866" w14:textId="0D717C5F" w:rsidR="004708FE" w:rsidRDefault="004708FE" w:rsidP="00DA66B5">
      <w:pPr>
        <w:pStyle w:val="Nadpis2"/>
      </w:pPr>
      <w:bookmarkStart w:id="15" w:name="_Toc182559177"/>
      <w:r>
        <w:t>Vybrané výdavky VS</w:t>
      </w:r>
      <w:bookmarkEnd w:id="15"/>
    </w:p>
    <w:p w14:paraId="00F7E745" w14:textId="0DDA2099" w:rsidR="00330D39" w:rsidRDefault="00330D39" w:rsidP="000E3CD2">
      <w:r w:rsidRPr="009D3F12">
        <w:rPr>
          <w:b/>
        </w:rPr>
        <w:t xml:space="preserve">Pri rozpočtovaní budúcoročných výdavkov </w:t>
      </w:r>
      <w:r w:rsidR="00A62E97">
        <w:rPr>
          <w:b/>
        </w:rPr>
        <w:t xml:space="preserve">bolo úlohou </w:t>
      </w:r>
      <w:r w:rsidR="000E3CD2" w:rsidRPr="009D3F12">
        <w:rPr>
          <w:b/>
        </w:rPr>
        <w:t>v</w:t>
      </w:r>
      <w:r w:rsidRPr="009D3F12">
        <w:rPr>
          <w:b/>
        </w:rPr>
        <w:t>lád</w:t>
      </w:r>
      <w:r w:rsidR="00A62E97">
        <w:rPr>
          <w:b/>
        </w:rPr>
        <w:t xml:space="preserve">y SR </w:t>
      </w:r>
      <w:r w:rsidR="00D143AE" w:rsidRPr="009D3F12">
        <w:rPr>
          <w:b/>
        </w:rPr>
        <w:t>súčasne</w:t>
      </w:r>
      <w:r w:rsidR="000E3CD2" w:rsidRPr="009D3F12">
        <w:rPr>
          <w:b/>
        </w:rPr>
        <w:t xml:space="preserve"> </w:t>
      </w:r>
      <w:r w:rsidRPr="009D3F12">
        <w:rPr>
          <w:b/>
        </w:rPr>
        <w:t>zabezpečiť dlhodobú udržateľnosť verejných financií a</w:t>
      </w:r>
      <w:r w:rsidR="0012753F" w:rsidRPr="009D3F12">
        <w:rPr>
          <w:b/>
        </w:rPr>
        <w:t> </w:t>
      </w:r>
      <w:r w:rsidRPr="009D3F12">
        <w:rPr>
          <w:b/>
        </w:rPr>
        <w:t>zároveň</w:t>
      </w:r>
      <w:r w:rsidR="005F2AE9" w:rsidRPr="009D3F12">
        <w:rPr>
          <w:b/>
        </w:rPr>
        <w:t xml:space="preserve"> </w:t>
      </w:r>
      <w:r w:rsidRPr="009D3F12">
        <w:rPr>
          <w:b/>
        </w:rPr>
        <w:t>ochrániť sociálny štát v súlade s cieľmi P</w:t>
      </w:r>
      <w:r w:rsidR="00AB2FCD" w:rsidRPr="009D3F12">
        <w:rPr>
          <w:b/>
        </w:rPr>
        <w:t>rogramového vyhlásenia vlády</w:t>
      </w:r>
      <w:r w:rsidR="00AB2FCD">
        <w:t xml:space="preserve"> (P</w:t>
      </w:r>
      <w:r w:rsidR="0012753F">
        <w:t>VV</w:t>
      </w:r>
      <w:r w:rsidR="00AB2FCD">
        <w:t>)</w:t>
      </w:r>
      <w:r w:rsidRPr="009D3F12">
        <w:rPr>
          <w:b/>
        </w:rPr>
        <w:t>.</w:t>
      </w:r>
      <w:r>
        <w:t xml:space="preserve"> Prijatím konsolidačných opatrení </w:t>
      </w:r>
      <w:r w:rsidR="00A62E97">
        <w:t xml:space="preserve">našla </w:t>
      </w:r>
      <w:r w:rsidR="0012753F">
        <w:t xml:space="preserve">vláda </w:t>
      </w:r>
      <w:r w:rsidR="00A62E97">
        <w:t xml:space="preserve">spôsob ako získať </w:t>
      </w:r>
      <w:r w:rsidR="0012753F">
        <w:t>dodatočné prostriedky</w:t>
      </w:r>
      <w:r>
        <w:t xml:space="preserve"> na dôchodky a na </w:t>
      </w:r>
      <w:r w:rsidR="0012753F">
        <w:t xml:space="preserve">financovanie </w:t>
      </w:r>
      <w:r>
        <w:t>rodinn</w:t>
      </w:r>
      <w:r w:rsidR="0012753F">
        <w:t>ej</w:t>
      </w:r>
      <w:r>
        <w:t xml:space="preserve"> politik</w:t>
      </w:r>
      <w:r w:rsidR="0012753F">
        <w:t>y</w:t>
      </w:r>
      <w:r>
        <w:t xml:space="preserve">, ktoré predstavujú výraznú záťaž pre ŠR, avšak pomáhajú </w:t>
      </w:r>
      <w:r w:rsidR="004F04E6">
        <w:t>znížiť negatívne vplyvy na príjmy vybraných sociálnych skupín obyvateľ</w:t>
      </w:r>
      <w:r w:rsidR="00886A48">
        <w:t>ov</w:t>
      </w:r>
      <w:r>
        <w:t>.</w:t>
      </w:r>
      <w:r w:rsidR="00D143AE">
        <w:t xml:space="preserve"> Otázna je však adresnosť niektorých sociálnych výdavkov.</w:t>
      </w:r>
    </w:p>
    <w:p w14:paraId="5A3A306E" w14:textId="1081039F" w:rsidR="005709CC" w:rsidRPr="00330D39" w:rsidRDefault="005709CC" w:rsidP="005709CC">
      <w:r w:rsidRPr="000C6806">
        <w:rPr>
          <w:b/>
        </w:rPr>
        <w:t>NKÚ SR upozorňuje na zákonnú povinnosť vykonať revíziu polovice výdavkov RVS počas volebného obdobia.</w:t>
      </w:r>
      <w:r>
        <w:t xml:space="preserve"> Podľa RPVS by malo MF SR súčasne s návrhom RVS predkladať revízie výdavkov tak, aby počas štyroch rokov od schválenia PVV zodpovedali 50 % výdavkov VS za rok pred schválením PVV. Celkové výdavky VS v roku 2022 dosiahli 46,5 mld. eur, čiže revízie by mali pokrývať približne 23,2 mld. eur. </w:t>
      </w:r>
      <w:r w:rsidR="009D3F12">
        <w:t>Revízie výdavkov neboli s</w:t>
      </w:r>
      <w:r>
        <w:t>účasťou RVS na roky 2024</w:t>
      </w:r>
      <w:r w:rsidR="009D3F12">
        <w:t xml:space="preserve"> až </w:t>
      </w:r>
      <w:r>
        <w:t xml:space="preserve">2026 ani </w:t>
      </w:r>
      <w:r w:rsidR="009D3F12">
        <w:t xml:space="preserve">návrhu </w:t>
      </w:r>
      <w:r>
        <w:t xml:space="preserve">RVS </w:t>
      </w:r>
      <w:r w:rsidR="009D3F12">
        <w:t xml:space="preserve">na roky </w:t>
      </w:r>
      <w:r>
        <w:t>2025</w:t>
      </w:r>
      <w:r w:rsidR="009D3F12">
        <w:t xml:space="preserve"> až </w:t>
      </w:r>
      <w:r>
        <w:t>2027, čím sa MF SR významne skracuje čas na ich predloženie. H</w:t>
      </w:r>
      <w:r w:rsidRPr="007F5E42">
        <w:t>odnotenie plnenia opatrení navrhnutých v</w:t>
      </w:r>
      <w:r>
        <w:t> predchádzajúcich revíziách</w:t>
      </w:r>
      <w:r w:rsidRPr="007F5E42">
        <w:t xml:space="preserve"> výdavkov</w:t>
      </w:r>
      <w:r>
        <w:t xml:space="preserve"> predložené bolo</w:t>
      </w:r>
      <w:r w:rsidR="00566E45">
        <w:t>, konkrétne v</w:t>
      </w:r>
      <w:r w:rsidR="008757F2">
        <w:t> </w:t>
      </w:r>
      <w:r w:rsidR="00566E45">
        <w:t>oblasti</w:t>
      </w:r>
      <w:r w:rsidR="008757F2">
        <w:t xml:space="preserve"> obrany, kultúry, pôdohospodárstva, informatizácie, zdravotníctva a vnútra.</w:t>
      </w:r>
    </w:p>
    <w:p w14:paraId="2552F874" w14:textId="0046D148" w:rsidR="004708FE" w:rsidRDefault="004F6A96" w:rsidP="00A9155E">
      <w:pPr>
        <w:pStyle w:val="Nadpis3"/>
      </w:pPr>
      <w:r>
        <w:t xml:space="preserve"> </w:t>
      </w:r>
      <w:bookmarkStart w:id="16" w:name="_Toc182559178"/>
      <w:r w:rsidR="004708FE">
        <w:t>Výdavky na dôchodky</w:t>
      </w:r>
      <w:bookmarkEnd w:id="16"/>
    </w:p>
    <w:p w14:paraId="0A27B88F" w14:textId="77777777" w:rsidR="003F497D" w:rsidRDefault="0012753F" w:rsidP="0012753F">
      <w:r w:rsidRPr="00E10A9C">
        <w:rPr>
          <w:b/>
        </w:rPr>
        <w:t>Výdavky na starobn</w:t>
      </w:r>
      <w:r>
        <w:rPr>
          <w:b/>
        </w:rPr>
        <w:t>é dôchod</w:t>
      </w:r>
      <w:r w:rsidRPr="00E10A9C">
        <w:rPr>
          <w:b/>
        </w:rPr>
        <w:t>k</w:t>
      </w:r>
      <w:r>
        <w:rPr>
          <w:b/>
        </w:rPr>
        <w:t>y</w:t>
      </w:r>
      <w:r w:rsidRPr="00E10A9C">
        <w:rPr>
          <w:b/>
        </w:rPr>
        <w:t xml:space="preserve"> </w:t>
      </w:r>
      <w:r w:rsidRPr="00183E6C">
        <w:t>(SD)</w:t>
      </w:r>
      <w:r w:rsidRPr="00183E6C">
        <w:rPr>
          <w:rStyle w:val="Odkaznapoznmkupodiarou"/>
        </w:rPr>
        <w:footnoteReference w:id="13"/>
      </w:r>
      <w:r w:rsidRPr="00E10A9C">
        <w:rPr>
          <w:b/>
        </w:rPr>
        <w:t xml:space="preserve"> sa v budúcom roku predpokladajú v rekordnej výške viac ako 10 mld. </w:t>
      </w:r>
      <w:r>
        <w:rPr>
          <w:b/>
        </w:rPr>
        <w:t>eur</w:t>
      </w:r>
      <w:r>
        <w:t xml:space="preserve"> (graf </w:t>
      </w:r>
      <w:r w:rsidR="0092408B">
        <w:t>5</w:t>
      </w:r>
      <w:r>
        <w:t>)</w:t>
      </w:r>
      <w:r>
        <w:rPr>
          <w:b/>
        </w:rPr>
        <w:t>.</w:t>
      </w:r>
      <w:r>
        <w:t xml:space="preserve"> Dôvodom je tohtoročná dvojciferná valorizácia novopriznaných dôchodkov, </w:t>
      </w:r>
      <w:r>
        <w:lastRenderedPageBreak/>
        <w:t xml:space="preserve">dve výrazné valorizácie dôchodkov a rozmrazenie minimálnych dôchodkov, ktoré prebehli v roku 2023, ako aj zavedenie 13. dôchodku od roku 2022. Predčasné starobné dôchodky (PSD) sa očakávajú vo výške 563,5 mil. eur </w:t>
      </w:r>
      <w:r w:rsidR="003C479D">
        <w:t>a</w:t>
      </w:r>
      <w:r w:rsidR="004C535B">
        <w:t xml:space="preserve"> </w:t>
      </w:r>
      <w:r>
        <w:t xml:space="preserve">oproti minuloročnému </w:t>
      </w:r>
      <w:r w:rsidRPr="003850E4">
        <w:t xml:space="preserve">rozpočtu stúpnu dvojnásobne. </w:t>
      </w:r>
      <w:r w:rsidR="004C535B">
        <w:t xml:space="preserve">Hlavným dôvodom je </w:t>
      </w:r>
      <w:r w:rsidR="004C535B" w:rsidRPr="00D143AE">
        <w:rPr>
          <w:szCs w:val="16"/>
        </w:rPr>
        <w:t>priznanie 20 274 nových predčasných dôchodkov s priemernou výškou 740,94 eur.</w:t>
      </w:r>
      <w:r w:rsidR="004C535B">
        <w:rPr>
          <w:rStyle w:val="Odkaznapoznmkupodiarou"/>
          <w:szCs w:val="16"/>
        </w:rPr>
        <w:footnoteReference w:id="14"/>
      </w:r>
      <w:r w:rsidR="004C535B" w:rsidRPr="003850E4">
        <w:t xml:space="preserve"> </w:t>
      </w:r>
      <w:r>
        <w:t xml:space="preserve">K zlepšeniu hospodárenia </w:t>
      </w:r>
      <w:r w:rsidR="00AB2FCD">
        <w:t>Sociálnej poisťovne (</w:t>
      </w:r>
      <w:r>
        <w:t>SP</w:t>
      </w:r>
      <w:r w:rsidR="00AB2FCD">
        <w:t>)</w:t>
      </w:r>
      <w:r>
        <w:t xml:space="preserve"> prispeje zmena v rodičovskom dôchodku, ktorý prestáva byť dávkou starobného poistenia. V rozpočte SP sa už s ním nepočíta a bude nahradený asignáciou dane, čo ovplyvní ŠR v roku 2026.</w:t>
      </w:r>
    </w:p>
    <w:tbl>
      <w:tblPr>
        <w:tblStyle w:val="Mriekatabuky"/>
        <w:tblW w:w="528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791"/>
        <w:gridCol w:w="4789"/>
      </w:tblGrid>
      <w:tr w:rsidR="006F50B6" w:rsidRPr="00C75134" w14:paraId="12D68ED3" w14:textId="77777777" w:rsidTr="00B55645">
        <w:trPr>
          <w:trHeight w:val="360"/>
        </w:trPr>
        <w:tc>
          <w:tcPr>
            <w:tcW w:w="4791" w:type="dxa"/>
            <w:tcBorders>
              <w:bottom w:val="single" w:sz="4" w:space="0" w:color="314364"/>
            </w:tcBorders>
            <w:vAlign w:val="center"/>
          </w:tcPr>
          <w:p w14:paraId="03A6195E" w14:textId="77777777" w:rsidR="006F50B6" w:rsidRDefault="006F50B6" w:rsidP="00B55645">
            <w:pPr>
              <w:pStyle w:val="Popis"/>
              <w:keepNext/>
              <w:ind w:right="150"/>
              <w:jc w:val="left"/>
              <w:rPr>
                <w:noProof/>
                <w:lang w:eastAsia="sk-SK"/>
              </w:rPr>
            </w:pPr>
            <w:r w:rsidRPr="00F51C17">
              <w:rPr>
                <w:color w:val="314364"/>
              </w:rPr>
              <w:t xml:space="preserve">Graf </w:t>
            </w:r>
            <w:r>
              <w:rPr>
                <w:color w:val="314364"/>
              </w:rPr>
              <w:t>5</w:t>
            </w:r>
            <w:r w:rsidRPr="00F51C17">
              <w:rPr>
                <w:color w:val="314364"/>
              </w:rPr>
              <w:t xml:space="preserve">: </w:t>
            </w:r>
            <w:r>
              <w:rPr>
                <w:color w:val="314364"/>
              </w:rPr>
              <w:t xml:space="preserve">Výdavky na SD, PSD a rodičovský dôchodok v rokoch 2014 až </w:t>
            </w:r>
            <w:r w:rsidRPr="00F51C17">
              <w:rPr>
                <w:color w:val="314364"/>
              </w:rPr>
              <w:t>202</w:t>
            </w:r>
            <w:r>
              <w:rPr>
                <w:color w:val="314364"/>
              </w:rPr>
              <w:t>7 (</w:t>
            </w:r>
            <w:r w:rsidRPr="00F51C17">
              <w:rPr>
                <w:color w:val="314364"/>
              </w:rPr>
              <w:t xml:space="preserve">v </w:t>
            </w:r>
            <w:r>
              <w:rPr>
                <w:color w:val="314364"/>
              </w:rPr>
              <w:t xml:space="preserve">mil. </w:t>
            </w:r>
            <w:r w:rsidRPr="00F51C17">
              <w:rPr>
                <w:color w:val="314364"/>
              </w:rPr>
              <w:t>eur</w:t>
            </w:r>
            <w:r>
              <w:rPr>
                <w:color w:val="314364"/>
              </w:rPr>
              <w:t>)</w:t>
            </w:r>
            <w:r w:rsidRPr="00187A03">
              <w:rPr>
                <w:color w:val="314364"/>
              </w:rPr>
              <w:t xml:space="preserve"> </w:t>
            </w:r>
            <w:r>
              <w:rPr>
                <w:color w:val="314364"/>
              </w:rPr>
              <w:t xml:space="preserve"> </w:t>
            </w:r>
          </w:p>
        </w:tc>
        <w:tc>
          <w:tcPr>
            <w:tcW w:w="4789" w:type="dxa"/>
            <w:tcBorders>
              <w:bottom w:val="single" w:sz="4" w:space="0" w:color="314364"/>
            </w:tcBorders>
            <w:vAlign w:val="center"/>
          </w:tcPr>
          <w:p w14:paraId="1627E05A" w14:textId="77777777" w:rsidR="006F50B6" w:rsidRDefault="006F50B6" w:rsidP="00B55645">
            <w:pPr>
              <w:pStyle w:val="Popis"/>
              <w:keepNext/>
              <w:jc w:val="left"/>
              <w:rPr>
                <w:noProof/>
                <w:lang w:eastAsia="sk-SK"/>
              </w:rPr>
            </w:pPr>
            <w:r w:rsidRPr="00F51C17">
              <w:rPr>
                <w:color w:val="314364"/>
              </w:rPr>
              <w:t xml:space="preserve">Graf </w:t>
            </w:r>
            <w:r>
              <w:rPr>
                <w:color w:val="314364"/>
              </w:rPr>
              <w:t>6</w:t>
            </w:r>
            <w:r w:rsidRPr="00F51C17">
              <w:rPr>
                <w:color w:val="314364"/>
              </w:rPr>
              <w:t xml:space="preserve">: </w:t>
            </w:r>
            <w:r>
              <w:rPr>
                <w:color w:val="314364"/>
              </w:rPr>
              <w:t>Výdavky na 13. dôchodok, resp. vianočný príspevok v rokoch 2014 až 2027 (v mil. eur)</w:t>
            </w:r>
          </w:p>
        </w:tc>
      </w:tr>
      <w:tr w:rsidR="006F50B6" w:rsidRPr="00C75134" w14:paraId="349CC964" w14:textId="77777777" w:rsidTr="00B55645">
        <w:trPr>
          <w:trHeight w:val="2643"/>
        </w:trPr>
        <w:tc>
          <w:tcPr>
            <w:tcW w:w="9580" w:type="dxa"/>
            <w:gridSpan w:val="2"/>
            <w:tcBorders>
              <w:top w:val="single" w:sz="4" w:space="0" w:color="314364"/>
              <w:bottom w:val="single" w:sz="4" w:space="0" w:color="314364"/>
            </w:tcBorders>
            <w:vAlign w:val="center"/>
          </w:tcPr>
          <w:p w14:paraId="4C31FBFC" w14:textId="77777777" w:rsidR="006F50B6" w:rsidRPr="00C75134" w:rsidRDefault="006F50B6" w:rsidP="00B55645">
            <w:pPr>
              <w:spacing w:after="0"/>
              <w:jc w:val="center"/>
              <w:rPr>
                <w:b/>
                <w:color w:val="576431"/>
              </w:rPr>
            </w:pPr>
            <w:r>
              <w:rPr>
                <w:noProof/>
                <w:lang w:eastAsia="sk-SK"/>
              </w:rPr>
              <w:drawing>
                <wp:inline distT="0" distB="0" distL="0" distR="0" wp14:anchorId="19B291FB" wp14:editId="7297097F">
                  <wp:extent cx="3052445" cy="1730326"/>
                  <wp:effectExtent l="0" t="0" r="0" b="3810"/>
                  <wp:docPr id="42" name="Graf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noProof/>
                <w:lang w:eastAsia="sk-SK"/>
              </w:rPr>
              <w:t xml:space="preserve"> </w:t>
            </w:r>
            <w:r>
              <w:rPr>
                <w:noProof/>
                <w:lang w:eastAsia="sk-SK"/>
              </w:rPr>
              <w:drawing>
                <wp:inline distT="0" distB="0" distL="0" distR="0" wp14:anchorId="275439A2" wp14:editId="6533D64A">
                  <wp:extent cx="2785110" cy="1716258"/>
                  <wp:effectExtent l="0" t="0" r="0" b="0"/>
                  <wp:docPr id="41"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14:paraId="7DE6C8CE" w14:textId="77777777" w:rsidR="006F50B6" w:rsidRDefault="006F50B6" w:rsidP="006F50B6">
      <w:pPr>
        <w:pStyle w:val="Zdroj"/>
      </w:pPr>
      <w:r w:rsidRPr="00627D87">
        <w:t xml:space="preserve">Zdroj: </w:t>
      </w:r>
      <w:r>
        <w:t>Sociálna poisťovňa. MPSVR SR. RIS BI.</w:t>
      </w:r>
    </w:p>
    <w:p w14:paraId="358350A5" w14:textId="77777777" w:rsidR="00A03C6B" w:rsidRDefault="00A03C6B" w:rsidP="00330D39">
      <w:r w:rsidRPr="003F497D">
        <w:rPr>
          <w:b/>
        </w:rPr>
        <w:t xml:space="preserve">Od 1. </w:t>
      </w:r>
      <w:r>
        <w:rPr>
          <w:b/>
        </w:rPr>
        <w:t>januára</w:t>
      </w:r>
      <w:r w:rsidRPr="003F497D">
        <w:rPr>
          <w:b/>
        </w:rPr>
        <w:t xml:space="preserve"> 2025 sa ruší rodičovský dôchodok vyplácaný SP a nahrádza sa asignáciou podielu zaplatenej dane z príjmov.</w:t>
      </w:r>
      <w:r w:rsidRPr="003F497D">
        <w:t xml:space="preserve"> Prvýkrát sa bude uplatňovať v roku 2026 z dane za zdaňovacie obdobie 2025. Fyzické osoby budú môcť poukázať každému žijúcemu rodičovi, ktorý poberá starobný dôchodok, podiel zaplatenej dane vo výške 2 % matke a 2 % otcovi, a to okrem poukázania 2 %, resp. 3 % neziskovým organizáciám, ktoré zostáva v platnosti.</w:t>
      </w:r>
    </w:p>
    <w:p w14:paraId="45E20C7E" w14:textId="53132E46" w:rsidR="00AE2AB7" w:rsidRDefault="00330D39" w:rsidP="00330D39">
      <w:pPr>
        <w:rPr>
          <w:b/>
        </w:rPr>
      </w:pPr>
      <w:r w:rsidRPr="00870F39">
        <w:rPr>
          <w:b/>
        </w:rPr>
        <w:t>Budúcoročné výdavky</w:t>
      </w:r>
      <w:r w:rsidRPr="00E10A9C">
        <w:rPr>
          <w:b/>
        </w:rPr>
        <w:t xml:space="preserve"> na 13. dôchodk</w:t>
      </w:r>
      <w:r w:rsidR="005B257E">
        <w:rPr>
          <w:b/>
        </w:rPr>
        <w:t>y</w:t>
      </w:r>
      <w:r w:rsidRPr="00E10A9C">
        <w:rPr>
          <w:b/>
        </w:rPr>
        <w:t xml:space="preserve"> dosiahnu 920,8 mil. eur </w:t>
      </w:r>
      <w:r>
        <w:t>(graf</w:t>
      </w:r>
      <w:r w:rsidR="0012753F">
        <w:t xml:space="preserve"> </w:t>
      </w:r>
      <w:r w:rsidR="0092408B">
        <w:t>6</w:t>
      </w:r>
      <w:r>
        <w:t>). Ťažisko výdavkov na 13. dôchodok sa presunie z MPSVR SR na SP, ktorá v roku 2024 poskytne 97 % jeho celkových výdavkov (807,9 mil. eur), rezort práce zvyšné 3 % (24 mil. eur)</w:t>
      </w:r>
      <w:r>
        <w:rPr>
          <w:rStyle w:val="Odkaznapoznmkupodiarou"/>
        </w:rPr>
        <w:footnoteReference w:id="15"/>
      </w:r>
      <w:r w:rsidR="00D43A46">
        <w:t>.</w:t>
      </w:r>
      <w:r>
        <w:t xml:space="preserve"> </w:t>
      </w:r>
      <w:r w:rsidR="00D43A46">
        <w:t>V</w:t>
      </w:r>
      <w:r>
        <w:t xml:space="preserve"> roku 2025 </w:t>
      </w:r>
      <w:r w:rsidR="00A03C6B">
        <w:t>pôjde</w:t>
      </w:r>
      <w:r>
        <w:t xml:space="preserve"> 98,6 % </w:t>
      </w:r>
      <w:r w:rsidR="00D43A46">
        <w:t xml:space="preserve">týchto </w:t>
      </w:r>
      <w:r>
        <w:t xml:space="preserve">výdavkov (908,3 mil. eur) z rozpočtu SP. </w:t>
      </w:r>
    </w:p>
    <w:p w14:paraId="4EDE2BDB" w14:textId="0B5D11BB" w:rsidR="00966EF9" w:rsidRPr="00ED47D3" w:rsidRDefault="00966EF9" w:rsidP="00966EF9">
      <w:pPr>
        <w:autoSpaceDE w:val="0"/>
        <w:autoSpaceDN w:val="0"/>
        <w:adjustRightInd w:val="0"/>
        <w:spacing w:after="0" w:line="240" w:lineRule="auto"/>
        <w:rPr>
          <w:rFonts w:cs="Segoe UI"/>
          <w:b/>
          <w:bCs/>
          <w:color w:val="304363"/>
          <w:szCs w:val="20"/>
        </w:rPr>
      </w:pPr>
      <w:r w:rsidRPr="00ED47D3">
        <w:rPr>
          <w:rFonts w:cs="Segoe UI"/>
          <w:b/>
          <w:bCs/>
          <w:color w:val="304363"/>
          <w:szCs w:val="20"/>
        </w:rPr>
        <w:t xml:space="preserve">Graf </w:t>
      </w:r>
      <w:r>
        <w:rPr>
          <w:rFonts w:cs="Segoe UI"/>
          <w:b/>
          <w:bCs/>
          <w:color w:val="304363"/>
          <w:szCs w:val="20"/>
        </w:rPr>
        <w:t>7</w:t>
      </w:r>
      <w:r w:rsidRPr="00ED47D3">
        <w:rPr>
          <w:rFonts w:cs="Segoe UI"/>
          <w:b/>
          <w:bCs/>
          <w:color w:val="304363"/>
          <w:szCs w:val="20"/>
        </w:rPr>
        <w:t xml:space="preserve">: </w:t>
      </w:r>
      <w:r>
        <w:rPr>
          <w:rFonts w:cs="Segoe UI"/>
          <w:b/>
          <w:bCs/>
          <w:color w:val="304363"/>
          <w:szCs w:val="20"/>
        </w:rPr>
        <w:t xml:space="preserve">Transfer zo ŠR pre SP </w:t>
      </w:r>
      <w:r w:rsidRPr="00ED47D3">
        <w:rPr>
          <w:rFonts w:cs="Segoe UI"/>
          <w:b/>
          <w:bCs/>
          <w:color w:val="304363"/>
          <w:szCs w:val="20"/>
        </w:rPr>
        <w:t>v rokoch 201</w:t>
      </w:r>
      <w:r>
        <w:rPr>
          <w:rFonts w:cs="Segoe UI"/>
          <w:b/>
          <w:bCs/>
          <w:color w:val="304363"/>
          <w:szCs w:val="20"/>
        </w:rPr>
        <w:t>4</w:t>
      </w:r>
      <w:r w:rsidRPr="00ED47D3">
        <w:rPr>
          <w:rFonts w:cs="Segoe UI"/>
          <w:b/>
          <w:bCs/>
          <w:color w:val="304363"/>
          <w:szCs w:val="20"/>
        </w:rPr>
        <w:t xml:space="preserve"> až 202</w:t>
      </w:r>
      <w:r w:rsidR="00D91297">
        <w:rPr>
          <w:rFonts w:cs="Segoe UI"/>
          <w:b/>
          <w:bCs/>
          <w:color w:val="304363"/>
          <w:szCs w:val="20"/>
        </w:rPr>
        <w:t>7</w:t>
      </w:r>
      <w:r>
        <w:rPr>
          <w:rFonts w:cs="Segoe UI"/>
          <w:b/>
          <w:bCs/>
          <w:color w:val="304363"/>
          <w:szCs w:val="20"/>
        </w:rPr>
        <w:t xml:space="preserve"> (</w:t>
      </w:r>
      <w:r w:rsidRPr="00ED47D3">
        <w:rPr>
          <w:rFonts w:cs="Segoe UI"/>
          <w:b/>
          <w:bCs/>
          <w:color w:val="304363"/>
          <w:szCs w:val="20"/>
        </w:rPr>
        <w:t xml:space="preserve">v </w:t>
      </w:r>
      <w:r>
        <w:rPr>
          <w:rFonts w:cs="Segoe UI"/>
          <w:b/>
          <w:bCs/>
          <w:color w:val="304363"/>
          <w:szCs w:val="20"/>
        </w:rPr>
        <w:t>mil. eur)</w:t>
      </w:r>
    </w:p>
    <w:tbl>
      <w:tblPr>
        <w:tblStyle w:val="Mriekatabuky7"/>
        <w:tblW w:w="0" w:type="auto"/>
        <w:tblCellMar>
          <w:left w:w="70" w:type="dxa"/>
          <w:right w:w="70" w:type="dxa"/>
        </w:tblCellMar>
        <w:tblLook w:val="04A0" w:firstRow="1" w:lastRow="0" w:firstColumn="1" w:lastColumn="0" w:noHBand="0" w:noVBand="1"/>
      </w:tblPr>
      <w:tblGrid>
        <w:gridCol w:w="9070"/>
      </w:tblGrid>
      <w:tr w:rsidR="00966EF9" w:rsidRPr="00ED47D3" w14:paraId="4C5D5908" w14:textId="77777777" w:rsidTr="00B571E8">
        <w:trPr>
          <w:trHeight w:val="2835"/>
        </w:trPr>
        <w:tc>
          <w:tcPr>
            <w:tcW w:w="9023" w:type="dxa"/>
            <w:tcBorders>
              <w:top w:val="single" w:sz="4" w:space="0" w:color="314364" w:themeColor="text2"/>
              <w:left w:val="nil"/>
              <w:bottom w:val="single" w:sz="4" w:space="0" w:color="314364" w:themeColor="text2"/>
              <w:right w:val="nil"/>
            </w:tcBorders>
          </w:tcPr>
          <w:p w14:paraId="3C455F14" w14:textId="77777777" w:rsidR="00966EF9" w:rsidRPr="00ED47D3" w:rsidRDefault="00966EF9" w:rsidP="00B571E8">
            <w:pPr>
              <w:autoSpaceDE w:val="0"/>
              <w:autoSpaceDN w:val="0"/>
              <w:adjustRightInd w:val="0"/>
              <w:spacing w:after="0" w:line="240" w:lineRule="auto"/>
              <w:rPr>
                <w:rFonts w:cs="Segoe UI"/>
                <w:color w:val="000000"/>
                <w:szCs w:val="20"/>
              </w:rPr>
            </w:pPr>
            <w:r>
              <w:rPr>
                <w:noProof/>
                <w:lang w:eastAsia="sk-SK"/>
              </w:rPr>
              <w:drawing>
                <wp:inline distT="0" distB="0" distL="0" distR="0" wp14:anchorId="4DFFD78E" wp14:editId="6AFD47D0">
                  <wp:extent cx="5704205" cy="1814732"/>
                  <wp:effectExtent l="0" t="0" r="0" b="0"/>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14:paraId="342D6EC9" w14:textId="2DBC7D8E" w:rsidR="00966EF9" w:rsidRDefault="00966EF9" w:rsidP="00966EF9">
      <w:pPr>
        <w:spacing w:line="240" w:lineRule="auto"/>
        <w:jc w:val="left"/>
        <w:rPr>
          <w:i/>
          <w:color w:val="314364" w:themeColor="text2"/>
          <w:sz w:val="16"/>
          <w:szCs w:val="16"/>
        </w:rPr>
      </w:pPr>
      <w:r w:rsidRPr="00516F8D">
        <w:rPr>
          <w:i/>
          <w:color w:val="314364" w:themeColor="text2"/>
          <w:sz w:val="16"/>
          <w:lang w:eastAsia="sk-SK"/>
        </w:rPr>
        <w:t xml:space="preserve">Zdroj: </w:t>
      </w:r>
      <w:r w:rsidRPr="00516F8D">
        <w:rPr>
          <w:i/>
          <w:color w:val="314364" w:themeColor="text2"/>
          <w:sz w:val="16"/>
          <w:szCs w:val="16"/>
        </w:rPr>
        <w:t>MF SR</w:t>
      </w:r>
      <w:r w:rsidR="00A03C6B">
        <w:rPr>
          <w:i/>
          <w:color w:val="314364" w:themeColor="text2"/>
          <w:sz w:val="16"/>
          <w:szCs w:val="16"/>
        </w:rPr>
        <w:t>,</w:t>
      </w:r>
      <w:r w:rsidRPr="00516F8D">
        <w:rPr>
          <w:i/>
          <w:color w:val="314364" w:themeColor="text2"/>
          <w:sz w:val="16"/>
          <w:szCs w:val="16"/>
        </w:rPr>
        <w:t xml:space="preserve"> </w:t>
      </w:r>
      <w:r>
        <w:rPr>
          <w:i/>
          <w:color w:val="314364" w:themeColor="text2"/>
          <w:sz w:val="16"/>
          <w:szCs w:val="16"/>
        </w:rPr>
        <w:t>Návrh</w:t>
      </w:r>
      <w:r w:rsidR="00A03C6B">
        <w:rPr>
          <w:i/>
          <w:color w:val="314364" w:themeColor="text2"/>
          <w:sz w:val="16"/>
          <w:szCs w:val="16"/>
        </w:rPr>
        <w:t xml:space="preserve"> RVS</w:t>
      </w:r>
      <w:r>
        <w:rPr>
          <w:i/>
          <w:color w:val="314364" w:themeColor="text2"/>
          <w:sz w:val="16"/>
          <w:szCs w:val="16"/>
        </w:rPr>
        <w:t xml:space="preserve"> 2025 až 2027. </w:t>
      </w:r>
      <w:r w:rsidRPr="00516F8D">
        <w:rPr>
          <w:i/>
          <w:color w:val="314364" w:themeColor="text2"/>
          <w:sz w:val="16"/>
          <w:szCs w:val="16"/>
        </w:rPr>
        <w:t>S</w:t>
      </w:r>
      <w:r w:rsidR="00D91297">
        <w:rPr>
          <w:i/>
          <w:color w:val="314364" w:themeColor="text2"/>
          <w:sz w:val="16"/>
          <w:szCs w:val="16"/>
        </w:rPr>
        <w:t>P</w:t>
      </w:r>
      <w:r w:rsidRPr="00516F8D">
        <w:rPr>
          <w:i/>
          <w:color w:val="314364" w:themeColor="text2"/>
          <w:sz w:val="16"/>
          <w:szCs w:val="16"/>
        </w:rPr>
        <w:t>.</w:t>
      </w:r>
    </w:p>
    <w:p w14:paraId="24414BEC" w14:textId="1E8DCD58" w:rsidR="009A57EB" w:rsidRDefault="009A57EB" w:rsidP="009A57EB">
      <w:pPr>
        <w:pStyle w:val="Textkomentra"/>
        <w:spacing w:line="276" w:lineRule="auto"/>
      </w:pPr>
      <w:r>
        <w:rPr>
          <w:b/>
        </w:rPr>
        <w:lastRenderedPageBreak/>
        <w:t xml:space="preserve">Aj z dôvodu financovania 13. dôchodkov </w:t>
      </w:r>
      <w:r w:rsidRPr="00847056">
        <w:rPr>
          <w:b/>
        </w:rPr>
        <w:t xml:space="preserve">bude </w:t>
      </w:r>
      <w:r>
        <w:rPr>
          <w:b/>
        </w:rPr>
        <w:t xml:space="preserve">v roku 2025 </w:t>
      </w:r>
      <w:r w:rsidRPr="00847056">
        <w:rPr>
          <w:b/>
        </w:rPr>
        <w:t>deficitné</w:t>
      </w:r>
      <w:r w:rsidRPr="00D351A7">
        <w:rPr>
          <w:b/>
        </w:rPr>
        <w:t xml:space="preserve"> hospodárenie SP </w:t>
      </w:r>
      <w:r w:rsidR="001B6FC4">
        <w:rPr>
          <w:b/>
        </w:rPr>
        <w:t>znova</w:t>
      </w:r>
      <w:r>
        <w:rPr>
          <w:b/>
        </w:rPr>
        <w:t xml:space="preserve"> </w:t>
      </w:r>
      <w:r w:rsidRPr="00D351A7">
        <w:rPr>
          <w:b/>
        </w:rPr>
        <w:t xml:space="preserve">kryté transferom zo </w:t>
      </w:r>
      <w:r>
        <w:rPr>
          <w:b/>
        </w:rPr>
        <w:t>ŠR</w:t>
      </w:r>
      <w:r w:rsidRPr="00D351A7">
        <w:rPr>
          <w:b/>
        </w:rPr>
        <w:t xml:space="preserve"> v rekordnej výške 2</w:t>
      </w:r>
      <w:r>
        <w:rPr>
          <w:b/>
        </w:rPr>
        <w:t>,</w:t>
      </w:r>
      <w:r w:rsidRPr="00D351A7">
        <w:rPr>
          <w:b/>
        </w:rPr>
        <w:t>75 m</w:t>
      </w:r>
      <w:r>
        <w:rPr>
          <w:b/>
        </w:rPr>
        <w:t>ld</w:t>
      </w:r>
      <w:r w:rsidRPr="00D351A7">
        <w:rPr>
          <w:b/>
        </w:rPr>
        <w:t>. eur</w:t>
      </w:r>
      <w:r>
        <w:t xml:space="preserve"> (graf 7). V roku 2024 pôvodne počítal rozpočet s transferom pre SP vo výške 1,6 mld. eur, ale očakávaná skutočnosť je vo výške 2,72 mld. eur.</w:t>
      </w:r>
    </w:p>
    <w:p w14:paraId="780A6ACE" w14:textId="77777777" w:rsidR="009A57EB" w:rsidRDefault="009A57EB" w:rsidP="009A57EB">
      <w:pPr>
        <w:pStyle w:val="Textkomentra"/>
        <w:spacing w:line="276" w:lineRule="auto"/>
      </w:pPr>
      <w:r w:rsidRPr="006F50B6">
        <w:rPr>
          <w:b/>
        </w:rPr>
        <w:t>Okrem navýšeného transferu zo ŠR mala SP v roku 2024 aj príjmy z oddlžovania zdravotníckych zariadení</w:t>
      </w:r>
      <w:r>
        <w:rPr>
          <w:b/>
        </w:rPr>
        <w:t>, a to</w:t>
      </w:r>
      <w:r w:rsidRPr="006F50B6">
        <w:rPr>
          <w:b/>
        </w:rPr>
        <w:t xml:space="preserve"> vo výške 167 mil. eur k augustu 2024</w:t>
      </w:r>
      <w:r>
        <w:t>. Existuje preto odôvodnený predpoklad, že ani v roku 2025 nemusia rozpočtované zdroje stačiť. Súčasne SP spadá pod LVV a akákoľvek úprava výdavkov by musela byť kompenzovaná inde, aby sa celkový LVV neprekročil.</w:t>
      </w:r>
    </w:p>
    <w:p w14:paraId="7B1230D6" w14:textId="1F5D8459" w:rsidR="004708FE" w:rsidRPr="00A9155E" w:rsidRDefault="004708FE" w:rsidP="00A9155E">
      <w:pPr>
        <w:pStyle w:val="Nadpis3"/>
      </w:pPr>
      <w:bookmarkStart w:id="17" w:name="_Toc182559179"/>
      <w:r w:rsidRPr="00A9155E">
        <w:t>Výdavky na rodinnú politiku</w:t>
      </w:r>
      <w:bookmarkEnd w:id="17"/>
    </w:p>
    <w:p w14:paraId="646FCFFD" w14:textId="339F3A30" w:rsidR="00330D39" w:rsidRDefault="00330D39" w:rsidP="00330D39">
      <w:pPr>
        <w:pStyle w:val="Default"/>
        <w:spacing w:after="120" w:line="276" w:lineRule="auto"/>
        <w:jc w:val="both"/>
        <w:rPr>
          <w:rFonts w:ascii="Segoe UI" w:hAnsi="Segoe UI" w:cs="Segoe UI"/>
          <w:color w:val="auto"/>
          <w:sz w:val="20"/>
          <w:szCs w:val="20"/>
        </w:rPr>
      </w:pPr>
      <w:r w:rsidRPr="00AD2356">
        <w:rPr>
          <w:rFonts w:ascii="Segoe UI" w:hAnsi="Segoe UI" w:cs="Segoe UI"/>
          <w:b/>
          <w:color w:val="auto"/>
          <w:sz w:val="20"/>
          <w:szCs w:val="20"/>
        </w:rPr>
        <w:t>Podpora rodinnej politiky sa realizuje hlavne pomocou dávok na podporu rodiny a daňového bonusu.</w:t>
      </w:r>
      <w:r w:rsidR="00AD2356">
        <w:rPr>
          <w:rFonts w:ascii="Segoe UI" w:hAnsi="Segoe UI" w:cs="Segoe UI"/>
          <w:b/>
          <w:color w:val="auto"/>
          <w:sz w:val="20"/>
          <w:szCs w:val="20"/>
        </w:rPr>
        <w:t xml:space="preserve"> </w:t>
      </w:r>
      <w:r>
        <w:rPr>
          <w:rFonts w:ascii="Segoe UI" w:hAnsi="Segoe UI" w:cs="Segoe UI"/>
          <w:color w:val="auto"/>
          <w:sz w:val="20"/>
          <w:szCs w:val="20"/>
        </w:rPr>
        <w:t xml:space="preserve">V rezorte práce </w:t>
      </w:r>
      <w:r w:rsidR="001B6FC4">
        <w:rPr>
          <w:rFonts w:ascii="Segoe UI" w:hAnsi="Segoe UI" w:cs="Segoe UI"/>
          <w:color w:val="auto"/>
          <w:sz w:val="20"/>
          <w:szCs w:val="20"/>
        </w:rPr>
        <w:t xml:space="preserve">bude mať </w:t>
      </w:r>
      <w:r>
        <w:rPr>
          <w:rFonts w:ascii="Segoe UI" w:hAnsi="Segoe UI" w:cs="Segoe UI"/>
          <w:color w:val="auto"/>
          <w:sz w:val="20"/>
          <w:szCs w:val="20"/>
        </w:rPr>
        <w:t>na výdavky na podporu rodiny vplyv júlová 1,9 % valorizácia dávok v závislosti od výšky životného minima, zvýšenie príspevku na pohreb zo 79,67 eur na 200 eur, ako aj pokračujúci rodičovský príspevok pre rodičov detí, ktoré nedostali miesto v materskej škole.</w:t>
      </w:r>
    </w:p>
    <w:p w14:paraId="319196EC" w14:textId="6B82B580" w:rsidR="00AD2356" w:rsidRDefault="00F63B8F" w:rsidP="00AD2356">
      <w:r>
        <w:rPr>
          <w:b/>
        </w:rPr>
        <w:t>V</w:t>
      </w:r>
      <w:r w:rsidR="00AD2356" w:rsidRPr="00E10A9C">
        <w:rPr>
          <w:b/>
        </w:rPr>
        <w:t xml:space="preserve">ýdavky </w:t>
      </w:r>
      <w:r>
        <w:rPr>
          <w:b/>
        </w:rPr>
        <w:t xml:space="preserve">MPSVR SR </w:t>
      </w:r>
      <w:r w:rsidR="00AD2356" w:rsidRPr="00E10A9C">
        <w:rPr>
          <w:b/>
        </w:rPr>
        <w:t xml:space="preserve">na </w:t>
      </w:r>
      <w:r>
        <w:rPr>
          <w:b/>
        </w:rPr>
        <w:t xml:space="preserve">podporu </w:t>
      </w:r>
      <w:r w:rsidR="00AD2356" w:rsidRPr="00E10A9C">
        <w:rPr>
          <w:b/>
        </w:rPr>
        <w:t>rodin</w:t>
      </w:r>
      <w:r>
        <w:rPr>
          <w:b/>
        </w:rPr>
        <w:t>y</w:t>
      </w:r>
      <w:r w:rsidR="00AD2356" w:rsidRPr="00E10A9C">
        <w:rPr>
          <w:b/>
        </w:rPr>
        <w:t xml:space="preserve"> sú </w:t>
      </w:r>
      <w:r w:rsidR="00AD2356">
        <w:rPr>
          <w:b/>
        </w:rPr>
        <w:t xml:space="preserve">na rok 2025 </w:t>
      </w:r>
      <w:r w:rsidR="00AD2356" w:rsidRPr="00E10A9C">
        <w:rPr>
          <w:b/>
        </w:rPr>
        <w:t>rozpočtované vo výške 1 854 mil. eur</w:t>
      </w:r>
      <w:r w:rsidR="00AD2356">
        <w:t xml:space="preserve"> (graf </w:t>
      </w:r>
      <w:r w:rsidR="0092408B">
        <w:t>8</w:t>
      </w:r>
      <w:r w:rsidR="00AD2356">
        <w:t>)</w:t>
      </w:r>
      <w:r w:rsidR="00AD2356" w:rsidRPr="00E10A9C">
        <w:rPr>
          <w:b/>
        </w:rPr>
        <w:t>.</w:t>
      </w:r>
      <w:r w:rsidR="00AD2356">
        <w:t xml:space="preserve"> Rozhodujúcou mierou sa na nich podieľa prídavok na dieťa v sume 830 mil. eur (44,8 % rozpočtu na podporu rodiny) a rodičovský príspevok v</w:t>
      </w:r>
      <w:r w:rsidR="00D91297">
        <w:t> čiastke 782,4 mil. eur (42,2 %</w:t>
      </w:r>
      <w:r w:rsidR="00AD2356">
        <w:t xml:space="preserve">) (graf </w:t>
      </w:r>
      <w:r w:rsidR="0092408B">
        <w:t>9</w:t>
      </w:r>
      <w:r w:rsidR="00AD2356">
        <w:t>)</w:t>
      </w:r>
      <w:r w:rsidR="00BF18F0">
        <w:t>.</w:t>
      </w:r>
      <w:r w:rsidR="00BF18F0">
        <w:rPr>
          <w:rStyle w:val="Odkaznapoznmkupodiarou"/>
        </w:rPr>
        <w:footnoteReference w:id="16"/>
      </w:r>
    </w:p>
    <w:tbl>
      <w:tblPr>
        <w:tblStyle w:val="Mriekatabuky"/>
        <w:tblW w:w="496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506"/>
        <w:gridCol w:w="4508"/>
      </w:tblGrid>
      <w:tr w:rsidR="00281987" w:rsidRPr="00C75134" w14:paraId="41579B31" w14:textId="77777777" w:rsidTr="00B571E8">
        <w:trPr>
          <w:trHeight w:val="460"/>
        </w:trPr>
        <w:tc>
          <w:tcPr>
            <w:tcW w:w="4506" w:type="dxa"/>
            <w:tcBorders>
              <w:bottom w:val="single" w:sz="4" w:space="0" w:color="314364"/>
            </w:tcBorders>
            <w:vAlign w:val="center"/>
          </w:tcPr>
          <w:p w14:paraId="514FE179" w14:textId="6736F445" w:rsidR="00281987" w:rsidRDefault="00281987" w:rsidP="00F63B8F">
            <w:pPr>
              <w:pStyle w:val="Popis"/>
              <w:keepNext/>
              <w:ind w:right="150"/>
              <w:jc w:val="left"/>
              <w:rPr>
                <w:noProof/>
                <w:lang w:eastAsia="sk-SK"/>
              </w:rPr>
            </w:pPr>
            <w:r w:rsidRPr="00F51C17">
              <w:rPr>
                <w:color w:val="314364"/>
              </w:rPr>
              <w:t xml:space="preserve">Graf </w:t>
            </w:r>
            <w:r>
              <w:rPr>
                <w:color w:val="314364"/>
              </w:rPr>
              <w:t>8</w:t>
            </w:r>
            <w:r w:rsidRPr="00F51C17">
              <w:rPr>
                <w:color w:val="314364"/>
              </w:rPr>
              <w:t xml:space="preserve">: </w:t>
            </w:r>
            <w:r w:rsidR="00F63B8F">
              <w:rPr>
                <w:color w:val="314364"/>
              </w:rPr>
              <w:t>V</w:t>
            </w:r>
            <w:r>
              <w:rPr>
                <w:color w:val="314364"/>
              </w:rPr>
              <w:t xml:space="preserve">ýdavky </w:t>
            </w:r>
            <w:r w:rsidR="00F63B8F">
              <w:rPr>
                <w:color w:val="314364"/>
              </w:rPr>
              <w:t xml:space="preserve">MPSVR SR </w:t>
            </w:r>
            <w:r>
              <w:rPr>
                <w:color w:val="314364"/>
              </w:rPr>
              <w:t>na podporu rodiny v rokoch 2014 až 2025 (v mil. eur)</w:t>
            </w:r>
          </w:p>
        </w:tc>
        <w:tc>
          <w:tcPr>
            <w:tcW w:w="4508" w:type="dxa"/>
            <w:tcBorders>
              <w:bottom w:val="single" w:sz="4" w:space="0" w:color="314364"/>
            </w:tcBorders>
            <w:vAlign w:val="center"/>
          </w:tcPr>
          <w:p w14:paraId="0089CBAF" w14:textId="29558B68" w:rsidR="00281987" w:rsidRDefault="00281987" w:rsidP="00281987">
            <w:pPr>
              <w:pStyle w:val="Popis"/>
              <w:keepNext/>
              <w:jc w:val="left"/>
              <w:rPr>
                <w:noProof/>
                <w:lang w:eastAsia="sk-SK"/>
              </w:rPr>
            </w:pPr>
            <w:r w:rsidRPr="00F51C17">
              <w:rPr>
                <w:color w:val="314364"/>
              </w:rPr>
              <w:t xml:space="preserve">Graf </w:t>
            </w:r>
            <w:r>
              <w:rPr>
                <w:color w:val="314364"/>
              </w:rPr>
              <w:t>9</w:t>
            </w:r>
            <w:r w:rsidRPr="00F51C17">
              <w:rPr>
                <w:color w:val="314364"/>
              </w:rPr>
              <w:t xml:space="preserve">: </w:t>
            </w:r>
            <w:r>
              <w:rPr>
                <w:color w:val="314364"/>
              </w:rPr>
              <w:t xml:space="preserve">Vybrané výdavky na podporu rodiny v </w:t>
            </w:r>
            <w:r w:rsidR="001B6FC4">
              <w:rPr>
                <w:color w:val="314364"/>
              </w:rPr>
              <w:t> </w:t>
            </w:r>
            <w:r>
              <w:rPr>
                <w:color w:val="314364"/>
              </w:rPr>
              <w:t>rokoch 2014 až 2025 (v mil. eur)</w:t>
            </w:r>
          </w:p>
        </w:tc>
      </w:tr>
      <w:tr w:rsidR="00281987" w:rsidRPr="00C75134" w14:paraId="10803626" w14:textId="77777777" w:rsidTr="00B571E8">
        <w:trPr>
          <w:trHeight w:val="2540"/>
        </w:trPr>
        <w:tc>
          <w:tcPr>
            <w:tcW w:w="9014" w:type="dxa"/>
            <w:gridSpan w:val="2"/>
            <w:tcBorders>
              <w:top w:val="single" w:sz="4" w:space="0" w:color="314364"/>
              <w:bottom w:val="single" w:sz="4" w:space="0" w:color="314364"/>
            </w:tcBorders>
            <w:vAlign w:val="center"/>
          </w:tcPr>
          <w:p w14:paraId="58E97D7E" w14:textId="77777777" w:rsidR="00281987" w:rsidRPr="00C75134" w:rsidRDefault="00281987" w:rsidP="00281987">
            <w:pPr>
              <w:spacing w:after="0"/>
              <w:jc w:val="center"/>
              <w:rPr>
                <w:b/>
                <w:color w:val="576431"/>
              </w:rPr>
            </w:pPr>
            <w:r>
              <w:rPr>
                <w:noProof/>
                <w:lang w:eastAsia="sk-SK"/>
              </w:rPr>
              <w:drawing>
                <wp:inline distT="0" distB="0" distL="0" distR="0" wp14:anchorId="13F8FF90" wp14:editId="5270EA1D">
                  <wp:extent cx="2721610" cy="1955409"/>
                  <wp:effectExtent l="0" t="0" r="2540" b="6985"/>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noProof/>
                <w:lang w:eastAsia="sk-SK"/>
              </w:rPr>
              <w:t xml:space="preserve">  </w:t>
            </w:r>
            <w:r>
              <w:rPr>
                <w:noProof/>
                <w:lang w:eastAsia="sk-SK"/>
              </w:rPr>
              <w:drawing>
                <wp:inline distT="0" distB="0" distL="0" distR="0" wp14:anchorId="50D23A38" wp14:editId="2C104E76">
                  <wp:extent cx="2813050" cy="1969477"/>
                  <wp:effectExtent l="0" t="0" r="6350" b="0"/>
                  <wp:docPr id="43" name="Graf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14:paraId="21AA0E72" w14:textId="68A0F459" w:rsidR="00281987" w:rsidRDefault="00281987" w:rsidP="00281987">
      <w:pPr>
        <w:pStyle w:val="Zdroj"/>
      </w:pPr>
      <w:r w:rsidRPr="00627D87">
        <w:t xml:space="preserve">Zdroj: </w:t>
      </w:r>
      <w:r>
        <w:t>MPSVR SR. RIS BI.</w:t>
      </w:r>
    </w:p>
    <w:p w14:paraId="204BEBA9" w14:textId="7F29143D" w:rsidR="00D91297" w:rsidRDefault="00D91297" w:rsidP="00D91297">
      <w:r w:rsidRPr="00BA127D">
        <w:rPr>
          <w:b/>
        </w:rPr>
        <w:t>Jedna z prijatých konsolidačných zmien prinesie väčšiu adresnosť a prístupnosť daňového bonusu pre rodiny s deťmi s nižšími príjmami, ako aj jeho krátenie pre daňovníkov s vyššími príjmami.</w:t>
      </w:r>
      <w:r w:rsidRPr="00BA127D">
        <w:t xml:space="preserve"> Výdavky na daňový bonus na rok 2025 sa oproti </w:t>
      </w:r>
      <w:r>
        <w:t xml:space="preserve">očakávanej skutočnosti </w:t>
      </w:r>
      <w:r w:rsidRPr="00BA127D">
        <w:t>roku 202</w:t>
      </w:r>
      <w:r>
        <w:t>4</w:t>
      </w:r>
      <w:r w:rsidRPr="00BA127D">
        <w:t xml:space="preserve"> znížia o</w:t>
      </w:r>
      <w:r>
        <w:t> </w:t>
      </w:r>
      <w:r w:rsidRPr="00BA127D">
        <w:t>42</w:t>
      </w:r>
      <w:r>
        <w:t>,9</w:t>
      </w:r>
      <w:r w:rsidRPr="00BA127D">
        <w:t xml:space="preserve"> % a sú rozpočtované vo výške 733,6 mil. eur (graf 10).</w:t>
      </w:r>
      <w:r>
        <w:rPr>
          <w:rStyle w:val="Odkaznapoznmkupodiarou"/>
        </w:rPr>
        <w:footnoteReference w:id="17"/>
      </w:r>
      <w:r w:rsidRPr="00BA127D">
        <w:t xml:space="preserve"> Daňový bonus na dieťa bol za posledných 20 rokov predmetom viacerých legislatívnych zmien. Najvýznamnejšie z nich prebehli v rokoch 2022 až 2024 a výrazným spôsobom ovplyvnili výdavky ŠR. V roku 2023 medziročne stúpli 2,5-násobne na 1 270,1 mil. eur.</w:t>
      </w:r>
    </w:p>
    <w:tbl>
      <w:tblPr>
        <w:tblStyle w:val="Mriekatabuky"/>
        <w:tblW w:w="507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606"/>
        <w:gridCol w:w="4605"/>
      </w:tblGrid>
      <w:tr w:rsidR="00281987" w:rsidRPr="00C75134" w14:paraId="69B446CD" w14:textId="77777777" w:rsidTr="00B571E8">
        <w:trPr>
          <w:trHeight w:val="423"/>
        </w:trPr>
        <w:tc>
          <w:tcPr>
            <w:tcW w:w="4606" w:type="dxa"/>
            <w:tcBorders>
              <w:bottom w:val="single" w:sz="4" w:space="0" w:color="314364"/>
            </w:tcBorders>
            <w:vAlign w:val="center"/>
          </w:tcPr>
          <w:p w14:paraId="627D6D0E" w14:textId="77777777" w:rsidR="00281987" w:rsidRDefault="00281987" w:rsidP="00B571E8">
            <w:pPr>
              <w:pStyle w:val="Popis"/>
              <w:keepNext/>
              <w:ind w:right="150"/>
              <w:jc w:val="left"/>
              <w:rPr>
                <w:noProof/>
                <w:lang w:eastAsia="sk-SK"/>
              </w:rPr>
            </w:pPr>
            <w:r w:rsidRPr="00F51C17">
              <w:rPr>
                <w:color w:val="314364"/>
              </w:rPr>
              <w:lastRenderedPageBreak/>
              <w:t xml:space="preserve">Graf </w:t>
            </w:r>
            <w:r>
              <w:rPr>
                <w:color w:val="314364"/>
              </w:rPr>
              <w:t>10</w:t>
            </w:r>
            <w:r w:rsidRPr="00F51C17">
              <w:rPr>
                <w:color w:val="314364"/>
              </w:rPr>
              <w:t xml:space="preserve">: </w:t>
            </w:r>
            <w:r>
              <w:rPr>
                <w:color w:val="314364"/>
              </w:rPr>
              <w:t>Daňový bonus na dieťa v rokoch 2014 až 2025 (v mil. eur)</w:t>
            </w:r>
          </w:p>
        </w:tc>
        <w:tc>
          <w:tcPr>
            <w:tcW w:w="4605" w:type="dxa"/>
            <w:tcBorders>
              <w:bottom w:val="single" w:sz="4" w:space="0" w:color="314364"/>
            </w:tcBorders>
            <w:vAlign w:val="center"/>
          </w:tcPr>
          <w:p w14:paraId="00CD9405" w14:textId="77777777" w:rsidR="00281987" w:rsidRDefault="00281987" w:rsidP="00B571E8">
            <w:pPr>
              <w:pStyle w:val="Popis"/>
              <w:keepNext/>
              <w:jc w:val="left"/>
              <w:rPr>
                <w:noProof/>
                <w:lang w:eastAsia="sk-SK"/>
              </w:rPr>
            </w:pPr>
            <w:r w:rsidRPr="00F51C17">
              <w:rPr>
                <w:color w:val="314364"/>
              </w:rPr>
              <w:t xml:space="preserve">Graf </w:t>
            </w:r>
            <w:r>
              <w:rPr>
                <w:color w:val="314364"/>
              </w:rPr>
              <w:t>11</w:t>
            </w:r>
            <w:r w:rsidRPr="00F51C17">
              <w:rPr>
                <w:color w:val="314364"/>
              </w:rPr>
              <w:t xml:space="preserve">: </w:t>
            </w:r>
            <w:r>
              <w:rPr>
                <w:color w:val="314364"/>
              </w:rPr>
              <w:t xml:space="preserve">Miera rizika chudoby alebo sociálneho vylúčenia v rokoch 2015 až 2023 </w:t>
            </w:r>
            <w:r w:rsidRPr="00F51C17">
              <w:rPr>
                <w:color w:val="314364"/>
              </w:rPr>
              <w:t>(</w:t>
            </w:r>
            <w:r>
              <w:rPr>
                <w:color w:val="314364"/>
              </w:rPr>
              <w:t>v %</w:t>
            </w:r>
            <w:r w:rsidRPr="00F51C17">
              <w:rPr>
                <w:color w:val="314364"/>
              </w:rPr>
              <w:t>)</w:t>
            </w:r>
            <w:r w:rsidRPr="00187A03">
              <w:rPr>
                <w:color w:val="314364"/>
              </w:rPr>
              <w:t xml:space="preserve"> </w:t>
            </w:r>
            <w:r>
              <w:rPr>
                <w:color w:val="314364"/>
              </w:rPr>
              <w:t xml:space="preserve"> </w:t>
            </w:r>
          </w:p>
        </w:tc>
      </w:tr>
      <w:tr w:rsidR="00281987" w:rsidRPr="00C75134" w14:paraId="440B0098" w14:textId="77777777" w:rsidTr="00B571E8">
        <w:trPr>
          <w:trHeight w:val="2336"/>
        </w:trPr>
        <w:tc>
          <w:tcPr>
            <w:tcW w:w="9211" w:type="dxa"/>
            <w:gridSpan w:val="2"/>
            <w:tcBorders>
              <w:top w:val="single" w:sz="4" w:space="0" w:color="314364"/>
              <w:bottom w:val="single" w:sz="4" w:space="0" w:color="314364"/>
            </w:tcBorders>
            <w:vAlign w:val="center"/>
          </w:tcPr>
          <w:p w14:paraId="440D0F26" w14:textId="77777777" w:rsidR="00281987" w:rsidRPr="00C75134" w:rsidRDefault="00281987" w:rsidP="00B571E8">
            <w:pPr>
              <w:spacing w:after="0"/>
              <w:jc w:val="center"/>
              <w:rPr>
                <w:b/>
                <w:color w:val="576431"/>
              </w:rPr>
            </w:pPr>
            <w:r>
              <w:rPr>
                <w:noProof/>
                <w:lang w:eastAsia="sk-SK"/>
              </w:rPr>
              <w:drawing>
                <wp:inline distT="0" distB="0" distL="0" distR="0" wp14:anchorId="49B80E95" wp14:editId="3514422C">
                  <wp:extent cx="2911475" cy="2032782"/>
                  <wp:effectExtent l="0" t="0" r="3175" b="5715"/>
                  <wp:docPr id="45" name="Graf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lang w:eastAsia="sk-SK"/>
              </w:rPr>
              <w:drawing>
                <wp:inline distT="0" distB="0" distL="0" distR="0" wp14:anchorId="653B55DE" wp14:editId="305A1538">
                  <wp:extent cx="2796540" cy="2026920"/>
                  <wp:effectExtent l="0" t="0" r="3810" b="0"/>
                  <wp:docPr id="27" name="Graf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noProof/>
                <w:lang w:eastAsia="sk-SK"/>
              </w:rPr>
              <w:t xml:space="preserve"> </w:t>
            </w:r>
          </w:p>
        </w:tc>
      </w:tr>
    </w:tbl>
    <w:p w14:paraId="75228E3F" w14:textId="77777777" w:rsidR="00281987" w:rsidRPr="00802BE3" w:rsidRDefault="00281987" w:rsidP="00281987">
      <w:pPr>
        <w:spacing w:line="240" w:lineRule="auto"/>
        <w:jc w:val="left"/>
        <w:rPr>
          <w:i/>
          <w:color w:val="314364" w:themeColor="text2"/>
          <w:sz w:val="16"/>
          <w:szCs w:val="16"/>
        </w:rPr>
      </w:pPr>
      <w:r w:rsidRPr="00802BE3">
        <w:rPr>
          <w:i/>
          <w:color w:val="314364" w:themeColor="text2"/>
          <w:sz w:val="16"/>
          <w:szCs w:val="16"/>
        </w:rPr>
        <w:t xml:space="preserve">Zdroj: </w:t>
      </w:r>
      <w:r w:rsidRPr="00802BE3">
        <w:rPr>
          <w:i/>
          <w:color w:val="314364" w:themeColor="text2"/>
          <w:sz w:val="16"/>
          <w:szCs w:val="16"/>
          <w:lang w:eastAsia="sk-SK"/>
        </w:rPr>
        <w:t xml:space="preserve">MF SR, Návrh rozpočtu verejnej správy, tabuľka: Prehľad daňových výdavkov podľa ich účelu (ESA2010, v tis. Eur). </w:t>
      </w:r>
      <w:r w:rsidRPr="00802BE3">
        <w:rPr>
          <w:i/>
          <w:color w:val="314364" w:themeColor="text2"/>
          <w:sz w:val="16"/>
          <w:szCs w:val="16"/>
        </w:rPr>
        <w:t>Eurostat.</w:t>
      </w:r>
    </w:p>
    <w:p w14:paraId="01CE17EC" w14:textId="0D09C0FC" w:rsidR="00B41DF2" w:rsidRPr="00BA127D" w:rsidRDefault="00330D39" w:rsidP="00330D39">
      <w:pPr>
        <w:rPr>
          <w:rFonts w:cs="Segoe UI"/>
          <w:szCs w:val="20"/>
        </w:rPr>
      </w:pPr>
      <w:r w:rsidRPr="00BA127D">
        <w:rPr>
          <w:rFonts w:cs="Segoe UI"/>
          <w:b/>
          <w:szCs w:val="20"/>
        </w:rPr>
        <w:t>NKÚ SR upozorňuje, že aj napriek vysokým výdavkom na dôchodky a rodinnú politiku sa sociálna situácia obyvateľov a hlavne rodín s deťmi zhoršuje.</w:t>
      </w:r>
      <w:r w:rsidRPr="00BA127D">
        <w:rPr>
          <w:rFonts w:cs="Segoe UI"/>
          <w:szCs w:val="20"/>
        </w:rPr>
        <w:t xml:space="preserve"> Kým pred rokom 2020 </w:t>
      </w:r>
      <w:r w:rsidR="00B41DF2" w:rsidRPr="00BA127D">
        <w:rPr>
          <w:rFonts w:cs="Segoe UI"/>
          <w:szCs w:val="20"/>
        </w:rPr>
        <w:t xml:space="preserve">patrila </w:t>
      </w:r>
      <w:r w:rsidRPr="00BA127D">
        <w:rPr>
          <w:rFonts w:cs="Segoe UI"/>
          <w:szCs w:val="20"/>
        </w:rPr>
        <w:t>S</w:t>
      </w:r>
      <w:r w:rsidR="00B41DF2" w:rsidRPr="00BA127D">
        <w:rPr>
          <w:rFonts w:cs="Segoe UI"/>
          <w:szCs w:val="20"/>
        </w:rPr>
        <w:t>R</w:t>
      </w:r>
      <w:r w:rsidRPr="00BA127D">
        <w:rPr>
          <w:rFonts w:cs="Segoe UI"/>
          <w:szCs w:val="20"/>
        </w:rPr>
        <w:t xml:space="preserve"> k premiantom v rámci EÚ, od roku 2020 chudobnie</w:t>
      </w:r>
      <w:r w:rsidR="00B41DF2" w:rsidRPr="00BA127D">
        <w:rPr>
          <w:rFonts w:cs="Segoe UI"/>
          <w:szCs w:val="20"/>
        </w:rPr>
        <w:t>, a to</w:t>
      </w:r>
      <w:r w:rsidRPr="00BA127D">
        <w:rPr>
          <w:rFonts w:cs="Segoe UI"/>
          <w:szCs w:val="20"/>
        </w:rPr>
        <w:t xml:space="preserve"> aj napriek vysokej miere zamestnanosti (2023: 77,5 %)</w:t>
      </w:r>
      <w:r w:rsidRPr="00BA127D">
        <w:rPr>
          <w:rStyle w:val="Odkaznapoznmkupodiarou"/>
          <w:rFonts w:cs="Segoe UI"/>
          <w:szCs w:val="20"/>
        </w:rPr>
        <w:footnoteReference w:id="18"/>
      </w:r>
      <w:r w:rsidRPr="00BA127D">
        <w:rPr>
          <w:rFonts w:cs="Segoe UI"/>
          <w:szCs w:val="20"/>
        </w:rPr>
        <w:t xml:space="preserve"> a nízkej miere evidovanej nezamestnanosti (2023: 5,08 %)</w:t>
      </w:r>
      <w:r w:rsidRPr="00BA127D">
        <w:rPr>
          <w:rStyle w:val="Odkaznapoznmkupodiarou"/>
          <w:rFonts w:cs="Segoe UI"/>
          <w:szCs w:val="20"/>
        </w:rPr>
        <w:footnoteReference w:id="19"/>
      </w:r>
      <w:r w:rsidRPr="00BA127D">
        <w:rPr>
          <w:rFonts w:cs="Segoe UI"/>
          <w:szCs w:val="20"/>
        </w:rPr>
        <w:t>. V roku 2023 c</w:t>
      </w:r>
      <w:r w:rsidRPr="00BA127D">
        <w:rPr>
          <w:rFonts w:eastAsia="Times New Roman" w:cs="Segoe UI"/>
          <w:szCs w:val="20"/>
          <w:lang w:eastAsia="sk-SK"/>
        </w:rPr>
        <w:t>hudoba alebo sociálne vylúčenie ohrozovali 17,6 % obyvateľov, čím sa SR dostala na úroveň pred rokom 2015 (graf</w:t>
      </w:r>
      <w:r w:rsidR="0092408B" w:rsidRPr="00BA127D">
        <w:rPr>
          <w:rFonts w:eastAsia="Times New Roman" w:cs="Segoe UI"/>
          <w:szCs w:val="20"/>
          <w:lang w:eastAsia="sk-SK"/>
        </w:rPr>
        <w:t xml:space="preserve"> 11</w:t>
      </w:r>
      <w:r w:rsidRPr="00BA127D">
        <w:rPr>
          <w:rFonts w:eastAsia="Times New Roman" w:cs="Segoe UI"/>
          <w:szCs w:val="20"/>
          <w:lang w:eastAsia="sk-SK"/>
        </w:rPr>
        <w:t>).</w:t>
      </w:r>
    </w:p>
    <w:p w14:paraId="765F7DC0" w14:textId="3C1276B6" w:rsidR="00330D39" w:rsidRPr="00D56A89" w:rsidRDefault="00330D39" w:rsidP="00330D39">
      <w:pPr>
        <w:rPr>
          <w:rFonts w:cs="Segoe UI"/>
          <w:szCs w:val="20"/>
        </w:rPr>
      </w:pPr>
      <w:r w:rsidRPr="00E10A9C">
        <w:rPr>
          <w:rFonts w:cs="Segoe UI"/>
          <w:b/>
          <w:szCs w:val="20"/>
        </w:rPr>
        <w:t>Počet osôb v</w:t>
      </w:r>
      <w:r w:rsidR="00A424C8">
        <w:rPr>
          <w:rFonts w:cs="Segoe UI"/>
          <w:b/>
          <w:szCs w:val="20"/>
        </w:rPr>
        <w:t> nepriaznivej sociálnej situácii</w:t>
      </w:r>
      <w:r w:rsidRPr="00E10A9C">
        <w:rPr>
          <w:rFonts w:cs="Segoe UI"/>
          <w:b/>
          <w:szCs w:val="20"/>
        </w:rPr>
        <w:t xml:space="preserve"> sa </w:t>
      </w:r>
      <w:r w:rsidR="00A424C8">
        <w:rPr>
          <w:rFonts w:cs="Segoe UI"/>
          <w:b/>
          <w:szCs w:val="20"/>
        </w:rPr>
        <w:t xml:space="preserve">v roku 2023 oproti roku 2020 </w:t>
      </w:r>
      <w:r w:rsidRPr="00E10A9C">
        <w:rPr>
          <w:rFonts w:cs="Segoe UI"/>
          <w:b/>
          <w:szCs w:val="20"/>
        </w:rPr>
        <w:t xml:space="preserve">zvýšil </w:t>
      </w:r>
      <w:r>
        <w:rPr>
          <w:rFonts w:cs="Segoe UI"/>
          <w:b/>
          <w:szCs w:val="20"/>
        </w:rPr>
        <w:t>o</w:t>
      </w:r>
      <w:r w:rsidR="00A424C8">
        <w:rPr>
          <w:rFonts w:cs="Segoe UI"/>
          <w:b/>
          <w:szCs w:val="20"/>
        </w:rPr>
        <w:t> </w:t>
      </w:r>
      <w:r>
        <w:rPr>
          <w:rFonts w:cs="Segoe UI"/>
          <w:b/>
          <w:szCs w:val="20"/>
        </w:rPr>
        <w:t>199</w:t>
      </w:r>
      <w:r w:rsidR="00A424C8">
        <w:rPr>
          <w:rFonts w:cs="Segoe UI"/>
          <w:b/>
          <w:szCs w:val="20"/>
        </w:rPr>
        <w:t>-</w:t>
      </w:r>
      <w:r>
        <w:rPr>
          <w:rFonts w:cs="Segoe UI"/>
          <w:b/>
          <w:szCs w:val="20"/>
        </w:rPr>
        <w:t xml:space="preserve">tisíc osôb </w:t>
      </w:r>
      <w:r w:rsidR="00A424C8" w:rsidRPr="00A424C8">
        <w:rPr>
          <w:rFonts w:cs="Segoe UI"/>
          <w:szCs w:val="20"/>
        </w:rPr>
        <w:t>(</w:t>
      </w:r>
      <w:r w:rsidRPr="00A424C8">
        <w:rPr>
          <w:rFonts w:cs="Segoe UI"/>
          <w:szCs w:val="20"/>
        </w:rPr>
        <w:t>zo 744</w:t>
      </w:r>
      <w:r w:rsidR="00A424C8" w:rsidRPr="00A424C8">
        <w:rPr>
          <w:rFonts w:cs="Segoe UI"/>
          <w:szCs w:val="20"/>
        </w:rPr>
        <w:t>-</w:t>
      </w:r>
      <w:r w:rsidRPr="00A424C8">
        <w:rPr>
          <w:rFonts w:cs="Segoe UI"/>
          <w:szCs w:val="20"/>
        </w:rPr>
        <w:t>tisíc na 943</w:t>
      </w:r>
      <w:r w:rsidR="00A424C8" w:rsidRPr="00A424C8">
        <w:rPr>
          <w:rFonts w:cs="Segoe UI"/>
          <w:szCs w:val="20"/>
        </w:rPr>
        <w:t>-</w:t>
      </w:r>
      <w:r w:rsidRPr="00A424C8">
        <w:rPr>
          <w:rFonts w:cs="Segoe UI"/>
          <w:szCs w:val="20"/>
        </w:rPr>
        <w:t xml:space="preserve">tisíc </w:t>
      </w:r>
      <w:r w:rsidR="00A424C8" w:rsidRPr="00A424C8">
        <w:rPr>
          <w:rFonts w:cs="Segoe UI"/>
          <w:szCs w:val="20"/>
        </w:rPr>
        <w:t>v</w:t>
      </w:r>
      <w:r w:rsidRPr="00A424C8">
        <w:rPr>
          <w:rFonts w:cs="Segoe UI"/>
          <w:szCs w:val="20"/>
        </w:rPr>
        <w:t> roku 2023</w:t>
      </w:r>
      <w:r w:rsidR="00A424C8" w:rsidRPr="00A424C8">
        <w:rPr>
          <w:rFonts w:cs="Segoe UI"/>
          <w:szCs w:val="20"/>
        </w:rPr>
        <w:t>)</w:t>
      </w:r>
      <w:r>
        <w:rPr>
          <w:rFonts w:cs="Segoe UI"/>
          <w:b/>
          <w:szCs w:val="20"/>
        </w:rPr>
        <w:t>.</w:t>
      </w:r>
      <w:r w:rsidRPr="00D56A89">
        <w:rPr>
          <w:rFonts w:cs="Segoe UI"/>
          <w:szCs w:val="20"/>
        </w:rPr>
        <w:t xml:space="preserve"> Podľa </w:t>
      </w:r>
      <w:r w:rsidR="001B6FC4">
        <w:rPr>
          <w:rFonts w:cs="Segoe UI"/>
          <w:szCs w:val="20"/>
        </w:rPr>
        <w:t xml:space="preserve">štatistického zisťovania </w:t>
      </w:r>
      <w:r w:rsidRPr="00D56A89">
        <w:rPr>
          <w:rFonts w:cs="Segoe UI"/>
          <w:szCs w:val="20"/>
        </w:rPr>
        <w:t>EU SILC 2023 je najhoršia situácia v Prešovskom (27,6 %</w:t>
      </w:r>
      <w:r>
        <w:rPr>
          <w:rFonts w:cs="Segoe UI"/>
          <w:szCs w:val="20"/>
        </w:rPr>
        <w:t>), Banskobystrickom (23,1 %</w:t>
      </w:r>
      <w:r w:rsidRPr="00D56A89">
        <w:rPr>
          <w:rFonts w:cs="Segoe UI"/>
          <w:szCs w:val="20"/>
        </w:rPr>
        <w:t>) a Košickom kraji (22,1 %)</w:t>
      </w:r>
      <w:r w:rsidRPr="00D56A89">
        <w:rPr>
          <w:rFonts w:cs="Segoe UI"/>
          <w:szCs w:val="20"/>
          <w:vertAlign w:val="superscript"/>
        </w:rPr>
        <w:footnoteReference w:id="20"/>
      </w:r>
      <w:r w:rsidRPr="00D56A89">
        <w:rPr>
          <w:rFonts w:cs="Segoe UI"/>
          <w:szCs w:val="20"/>
        </w:rPr>
        <w:t>.</w:t>
      </w:r>
      <w:r>
        <w:rPr>
          <w:rFonts w:cs="Segoe UI"/>
          <w:szCs w:val="20"/>
        </w:rPr>
        <w:t xml:space="preserve"> Už dnes je zrejmé, že cieľ, ktorý si SR stanovila pre rok 2030</w:t>
      </w:r>
      <w:r w:rsidR="00A424C8">
        <w:rPr>
          <w:rFonts w:cs="Segoe UI"/>
          <w:szCs w:val="20"/>
        </w:rPr>
        <w:t xml:space="preserve"> (miera rizika chudoby alebo sociálneho vylúčenia  na úrovni 13,6 %)</w:t>
      </w:r>
      <w:r w:rsidR="00A424C8">
        <w:rPr>
          <w:rStyle w:val="Odkaznapoznmkupodiarou"/>
          <w:rFonts w:cs="Segoe UI"/>
          <w:szCs w:val="20"/>
        </w:rPr>
        <w:footnoteReference w:id="21"/>
      </w:r>
      <w:r>
        <w:rPr>
          <w:rFonts w:cs="Segoe UI"/>
          <w:szCs w:val="20"/>
        </w:rPr>
        <w:t xml:space="preserve">, </w:t>
      </w:r>
      <w:r w:rsidR="00BA127D">
        <w:rPr>
          <w:rFonts w:cs="Segoe UI"/>
          <w:szCs w:val="20"/>
        </w:rPr>
        <w:t xml:space="preserve">bez zásadných zmien </w:t>
      </w:r>
      <w:r w:rsidR="001B6FC4">
        <w:rPr>
          <w:rFonts w:cs="Segoe UI"/>
          <w:szCs w:val="20"/>
        </w:rPr>
        <w:t xml:space="preserve">nebude </w:t>
      </w:r>
      <w:r>
        <w:rPr>
          <w:rFonts w:cs="Segoe UI"/>
          <w:szCs w:val="20"/>
        </w:rPr>
        <w:t>dosiahnutý.</w:t>
      </w:r>
      <w:r w:rsidRPr="00D56A89">
        <w:rPr>
          <w:rFonts w:cs="Segoe UI"/>
          <w:szCs w:val="20"/>
        </w:rPr>
        <w:t xml:space="preserve"> </w:t>
      </w:r>
    </w:p>
    <w:p w14:paraId="6CB77AC1" w14:textId="24BD513A" w:rsidR="004708FE" w:rsidRDefault="004708FE" w:rsidP="00A9155E">
      <w:pPr>
        <w:pStyle w:val="Nadpis3"/>
      </w:pPr>
      <w:bookmarkStart w:id="18" w:name="_Toc182559180"/>
      <w:r>
        <w:t>Mzdové výdavky</w:t>
      </w:r>
      <w:bookmarkEnd w:id="18"/>
    </w:p>
    <w:p w14:paraId="251E00A1" w14:textId="7336F7D5" w:rsidR="00BF12C9" w:rsidRDefault="00BF12C9" w:rsidP="00BF12C9">
      <w:r w:rsidRPr="00343E5D">
        <w:rPr>
          <w:b/>
        </w:rPr>
        <w:t>Vláda v návrhu rozpočtu na roky 2025 až 2027 deklaruje zámer zn</w:t>
      </w:r>
      <w:r>
        <w:rPr>
          <w:b/>
        </w:rPr>
        <w:t>ížiť</w:t>
      </w:r>
      <w:r w:rsidRPr="00343E5D">
        <w:rPr>
          <w:b/>
        </w:rPr>
        <w:t xml:space="preserve"> zamestnanos</w:t>
      </w:r>
      <w:r>
        <w:rPr>
          <w:b/>
        </w:rPr>
        <w:t>ť vo VS</w:t>
      </w:r>
      <w:r w:rsidRPr="00343E5D">
        <w:rPr>
          <w:b/>
        </w:rPr>
        <w:t xml:space="preserve">, čo je formálne </w:t>
      </w:r>
      <w:r>
        <w:rPr>
          <w:b/>
        </w:rPr>
        <w:t>splnené</w:t>
      </w:r>
      <w:r w:rsidRPr="00343E5D">
        <w:rPr>
          <w:b/>
        </w:rPr>
        <w:t>, keďže limit počtu zamestnancov pre rok 2025 je v porovnaní s rozpočtom na rok 2024 nižší o 4 494 osôb.</w:t>
      </w:r>
      <w:r>
        <w:t xml:space="preserve"> Avšak tento limit je stále vyšší, než je očakávaná skutočnosť pre rok 2024</w:t>
      </w:r>
      <w:r>
        <w:rPr>
          <w:rStyle w:val="Odkaznapoznmkupodiarou"/>
        </w:rPr>
        <w:footnoteReference w:id="22"/>
      </w:r>
      <w:r>
        <w:t xml:space="preserve">, a to celkovo o 5 068 osôb. To indikuje riziko, že zníženie zamestnanosti sa bude realizovať rušením dlhodobo neobsadených miest </w:t>
      </w:r>
      <w:r w:rsidR="002B1C1E">
        <w:t xml:space="preserve">v kapitolách </w:t>
      </w:r>
      <w:r w:rsidR="00FB5A49">
        <w:t>ŠR</w:t>
      </w:r>
      <w:r w:rsidR="002B1C1E">
        <w:t>, ktorým bol medziročne znížený limit počtu zamestnancov</w:t>
      </w:r>
      <w:r>
        <w:t>.</w:t>
      </w:r>
    </w:p>
    <w:p w14:paraId="46F51765" w14:textId="00E7B440" w:rsidR="00FB5A49" w:rsidRDefault="00FB5A49" w:rsidP="00FB5A49">
      <w:pPr>
        <w:rPr>
          <w:b/>
        </w:rPr>
      </w:pPr>
      <w:r>
        <w:rPr>
          <w:b/>
        </w:rPr>
        <w:t>NKÚ SR upozorňuje, že sa pristupuje k</w:t>
      </w:r>
      <w:r w:rsidR="00EA3AF2">
        <w:rPr>
          <w:b/>
        </w:rPr>
        <w:t> znižovaniu počtu zamestnancov</w:t>
      </w:r>
      <w:r>
        <w:rPr>
          <w:b/>
        </w:rPr>
        <w:t xml:space="preserve"> bez relevantných podkladových analýz, ktoré by zohľadňovali potreby a efektivitu </w:t>
      </w:r>
      <w:r w:rsidR="00456F13">
        <w:rPr>
          <w:b/>
        </w:rPr>
        <w:t xml:space="preserve">výdavkov </w:t>
      </w:r>
      <w:bookmarkStart w:id="19" w:name="_GoBack"/>
      <w:bookmarkEnd w:id="19"/>
      <w:r>
        <w:rPr>
          <w:b/>
        </w:rPr>
        <w:t>kapitol ŠR.</w:t>
      </w:r>
    </w:p>
    <w:p w14:paraId="0B0AE7F9" w14:textId="31CB5730" w:rsidR="00BF12C9" w:rsidRPr="00705977" w:rsidRDefault="00BF12C9" w:rsidP="00BF12C9">
      <w:r w:rsidRPr="00F52552">
        <w:rPr>
          <w:b/>
        </w:rPr>
        <w:t xml:space="preserve">Objem mzdových výdavkov zamestnancov VS je na rok 2025 rozpočtovaný vo výške 10 031 mil. eur, čo je </w:t>
      </w:r>
      <w:r>
        <w:rPr>
          <w:b/>
        </w:rPr>
        <w:t>oproti</w:t>
      </w:r>
      <w:r w:rsidRPr="00F52552">
        <w:rPr>
          <w:b/>
        </w:rPr>
        <w:t xml:space="preserve"> </w:t>
      </w:r>
      <w:r>
        <w:rPr>
          <w:b/>
        </w:rPr>
        <w:t>rozpočtu na rok 2024 viac o</w:t>
      </w:r>
      <w:r w:rsidR="002B1C1E">
        <w:rPr>
          <w:b/>
        </w:rPr>
        <w:t xml:space="preserve"> 6,78 % </w:t>
      </w:r>
      <w:r w:rsidR="002B1C1E" w:rsidRPr="002B1C1E">
        <w:t>(</w:t>
      </w:r>
      <w:r w:rsidRPr="002B1C1E">
        <w:t>637 tis. eur</w:t>
      </w:r>
      <w:r w:rsidR="002B1C1E" w:rsidRPr="002B1C1E">
        <w:t>)</w:t>
      </w:r>
      <w:r>
        <w:rPr>
          <w:b/>
        </w:rPr>
        <w:t xml:space="preserve"> a oproti </w:t>
      </w:r>
      <w:r w:rsidRPr="00F52552">
        <w:rPr>
          <w:b/>
        </w:rPr>
        <w:t>očakávan</w:t>
      </w:r>
      <w:r>
        <w:rPr>
          <w:b/>
        </w:rPr>
        <w:t xml:space="preserve">ej skutočnosti </w:t>
      </w:r>
      <w:r w:rsidRPr="00F52552">
        <w:rPr>
          <w:b/>
        </w:rPr>
        <w:t xml:space="preserve">v roku 2024 </w:t>
      </w:r>
      <w:r w:rsidR="002B1C1E">
        <w:rPr>
          <w:b/>
        </w:rPr>
        <w:t xml:space="preserve">ide </w:t>
      </w:r>
      <w:r>
        <w:rPr>
          <w:b/>
        </w:rPr>
        <w:t>o</w:t>
      </w:r>
      <w:r w:rsidRPr="00F52552">
        <w:rPr>
          <w:b/>
        </w:rPr>
        <w:t xml:space="preserve"> 5,24 %</w:t>
      </w:r>
      <w:r w:rsidR="002B1C1E">
        <w:rPr>
          <w:b/>
        </w:rPr>
        <w:t xml:space="preserve"> nárast</w:t>
      </w:r>
      <w:r w:rsidR="00FB5A49">
        <w:t xml:space="preserve"> (graf 12)</w:t>
      </w:r>
      <w:r w:rsidRPr="00343E5D">
        <w:rPr>
          <w:b/>
        </w:rPr>
        <w:t>.</w:t>
      </w:r>
      <w:r>
        <w:t xml:space="preserve"> V tomto roku prevyšujú výdavky na mzdy rozpočet </w:t>
      </w:r>
      <w:r>
        <w:rPr>
          <w:lang w:val="en-US"/>
        </w:rPr>
        <w:t xml:space="preserve">o </w:t>
      </w:r>
      <w:r w:rsidR="00FB5A49">
        <w:rPr>
          <w:lang w:val="en-US"/>
        </w:rPr>
        <w:t> </w:t>
      </w:r>
      <w:r>
        <w:rPr>
          <w:lang w:val="en-US"/>
        </w:rPr>
        <w:t xml:space="preserve">137,5 mil. eur. </w:t>
      </w:r>
      <w:r w:rsidRPr="00343E5D">
        <w:t>Mzdové výdavky vo VS každoročn</w:t>
      </w:r>
      <w:r w:rsidR="00237BC7">
        <w:t>e</w:t>
      </w:r>
      <w:r w:rsidRPr="00343E5D">
        <w:t xml:space="preserve"> </w:t>
      </w:r>
      <w:r w:rsidRPr="005F000B">
        <w:t xml:space="preserve">prekračujú rozpočtové plány, a to aj napriek tomu, že skutočný počet zamestnancov je často nižší než </w:t>
      </w:r>
      <w:r w:rsidR="00FB5A49">
        <w:t xml:space="preserve">je </w:t>
      </w:r>
      <w:r w:rsidRPr="005F000B">
        <w:t xml:space="preserve">stanovený limit. Napriek konsolidačnému opatreniu </w:t>
      </w:r>
      <w:r w:rsidRPr="005F000B">
        <w:lastRenderedPageBreak/>
        <w:t>v rozsahu 10 % šetrenia na mzdovej obálke štátu</w:t>
      </w:r>
      <w:r w:rsidRPr="005F000B">
        <w:rPr>
          <w:rStyle w:val="Odkaznapoznmkupodiarou"/>
        </w:rPr>
        <w:footnoteReference w:id="23"/>
      </w:r>
      <w:r w:rsidRPr="005F000B">
        <w:t xml:space="preserve"> (</w:t>
      </w:r>
      <w:r w:rsidR="002B1C1E">
        <w:t xml:space="preserve">91,3 </w:t>
      </w:r>
      <w:r w:rsidRPr="005F000B">
        <w:t>mil. eur), medziročne rastúci</w:t>
      </w:r>
      <w:r>
        <w:t xml:space="preserve"> trend mzdových výdavkov do roku 2027 naznačuje, že plánované mzdové úspory nebudú mať </w:t>
      </w:r>
      <w:r w:rsidR="005F000B">
        <w:t xml:space="preserve">významný </w:t>
      </w:r>
      <w:r>
        <w:t xml:space="preserve">dopad na fiškálnu konsolidáciu. Táto situácia zvýrazňuje potrebu systematických opatrení na zefektívnenie VS, ak má byť rozpočtová disciplína skutočne dosiahnutá. </w:t>
      </w:r>
    </w:p>
    <w:p w14:paraId="3C71F9DF" w14:textId="77777777" w:rsidR="00BF12C9" w:rsidRDefault="00BF12C9" w:rsidP="00BF12C9">
      <w:pPr>
        <w:pStyle w:val="Popis"/>
        <w:keepNext/>
      </w:pPr>
      <w:r>
        <w:t>Graf 12: Vývoj počtu zamestnancov VS (v tis.) a ich mzdových výdavkov (v mld. eur)</w:t>
      </w:r>
    </w:p>
    <w:tbl>
      <w:tblPr>
        <w:tblStyle w:val="Mriekatabuky"/>
        <w:tblW w:w="0" w:type="auto"/>
        <w:tblBorders>
          <w:top w:val="single" w:sz="4" w:space="0" w:color="314364" w:themeColor="text2"/>
          <w:left w:val="none" w:sz="0" w:space="0" w:color="auto"/>
          <w:bottom w:val="single" w:sz="4" w:space="0" w:color="314364" w:themeColor="text2"/>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70"/>
      </w:tblGrid>
      <w:tr w:rsidR="00BF12C9" w14:paraId="3C28FD90" w14:textId="77777777" w:rsidTr="00004331">
        <w:tc>
          <w:tcPr>
            <w:tcW w:w="9060" w:type="dxa"/>
          </w:tcPr>
          <w:p w14:paraId="7B8BC59C" w14:textId="77777777" w:rsidR="00BF12C9" w:rsidRDefault="00BF12C9" w:rsidP="00004331">
            <w:pPr>
              <w:spacing w:after="0"/>
            </w:pPr>
            <w:r>
              <w:rPr>
                <w:noProof/>
                <w:lang w:eastAsia="sk-SK"/>
              </w:rPr>
              <w:drawing>
                <wp:inline distT="0" distB="0" distL="0" distR="0" wp14:anchorId="70627456" wp14:editId="0C15FE28">
                  <wp:extent cx="5760000" cy="2160000"/>
                  <wp:effectExtent l="0" t="0" r="0" b="0"/>
                  <wp:docPr id="40"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14:paraId="0B945BF3" w14:textId="28DE3292" w:rsidR="00BF12C9" w:rsidRDefault="00BF12C9" w:rsidP="00BF12C9">
      <w:pPr>
        <w:pStyle w:val="Zdroj"/>
      </w:pPr>
      <w:r>
        <w:t>Zdroj: Návrh RVS 2025 – 2027.</w:t>
      </w:r>
      <w:r w:rsidR="002B1C1E">
        <w:t xml:space="preserve"> RIS.</w:t>
      </w:r>
      <w:r>
        <w:br/>
        <w:t xml:space="preserve">Poznámka: </w:t>
      </w:r>
      <w:r w:rsidRPr="005F08AF">
        <w:t xml:space="preserve">Od roku 2015 stúpol počet zamestnancov VS o 51 211 osôb, keď bola premietnutá metodická zmena súvisiaca so zaradením nových organizácií medzi subjekty </w:t>
      </w:r>
      <w:r>
        <w:t>VS</w:t>
      </w:r>
      <w:r w:rsidRPr="005F08AF">
        <w:t>, predovšetkým zdravotníckych zariadení (v počte cca 44,5 tis. osôb) a  Železničnej spoločnosti Slovensko, a. s., NDS a. s. a ďalších.</w:t>
      </w:r>
    </w:p>
    <w:p w14:paraId="55983C90" w14:textId="478BC34A" w:rsidR="00BF12C9" w:rsidRDefault="00BF12C9" w:rsidP="00BF12C9">
      <w:r w:rsidRPr="00343E5D">
        <w:rPr>
          <w:b/>
        </w:rPr>
        <w:t>Za posledných 10 rokov narástol objem vyplatených mzdových výdavkov zamestnancom VS viac ako dvojnásobne, a to</w:t>
      </w:r>
      <w:r w:rsidRPr="00343E5D">
        <w:rPr>
          <w:b/>
          <w:lang w:val="en-US"/>
        </w:rPr>
        <w:t xml:space="preserve"> </w:t>
      </w:r>
      <w:r w:rsidRPr="00343E5D">
        <w:rPr>
          <w:b/>
        </w:rPr>
        <w:t>z 4,61 mld. eur v roku 2014 na 9,53 mld. eur v roku 2024</w:t>
      </w:r>
      <w:r w:rsidRPr="000C6806">
        <w:rPr>
          <w:rStyle w:val="Odkaznapoznmkupodiarou"/>
        </w:rPr>
        <w:footnoteReference w:id="24"/>
      </w:r>
      <w:r w:rsidRPr="000C6806">
        <w:t>.</w:t>
      </w:r>
      <w:r>
        <w:t xml:space="preserve"> Počet zamestnancov VS za rovnaké obdobie stúpol o štvrtinu. V roku 2014 ich bolo 353 tisíc a v roku 2024 VS zamestnávala podľa očakávanej skutočnosti viac ako 442 tisíc zamestnancov. Mzdové výdavky na roky 2025 – 2027 sú plánované s priemerným medziročným rastom na úrovni 3,3 %, pričom limit počtu zamestnancov by mal zostať na úrovni približne 448 tisíc.</w:t>
      </w:r>
    </w:p>
    <w:p w14:paraId="4C583E7F" w14:textId="77777777" w:rsidR="00BF12C9" w:rsidRPr="00F57DA9" w:rsidRDefault="00BF12C9" w:rsidP="00BF12C9">
      <w:pPr>
        <w:rPr>
          <w:b/>
        </w:rPr>
      </w:pPr>
      <w:r w:rsidRPr="00F57DA9">
        <w:rPr>
          <w:b/>
        </w:rPr>
        <w:t xml:space="preserve">Aj napriek tomu, že Slovensko má v rámci medzinárodného porovnania nižší počet zamestnancov VS </w:t>
      </w:r>
      <w:r>
        <w:rPr>
          <w:b/>
        </w:rPr>
        <w:t xml:space="preserve">na 1000 obyvateľov </w:t>
      </w:r>
      <w:r w:rsidRPr="00F57DA9">
        <w:rPr>
          <w:b/>
        </w:rPr>
        <w:t xml:space="preserve">ako priemer </w:t>
      </w:r>
      <w:r>
        <w:rPr>
          <w:b/>
        </w:rPr>
        <w:t xml:space="preserve">krajín </w:t>
      </w:r>
      <w:r w:rsidRPr="00F57DA9">
        <w:rPr>
          <w:b/>
        </w:rPr>
        <w:t xml:space="preserve">EÚ, tak v posledných rokoch vynakladá na </w:t>
      </w:r>
      <w:r>
        <w:rPr>
          <w:b/>
        </w:rPr>
        <w:t xml:space="preserve">ich </w:t>
      </w:r>
      <w:r w:rsidRPr="00F57DA9">
        <w:rPr>
          <w:b/>
        </w:rPr>
        <w:t>mzdy</w:t>
      </w:r>
      <w:r>
        <w:rPr>
          <w:b/>
        </w:rPr>
        <w:t xml:space="preserve"> v pomere k HDP </w:t>
      </w:r>
      <w:r w:rsidRPr="00F57DA9">
        <w:rPr>
          <w:b/>
        </w:rPr>
        <w:t>približne rovnako.</w:t>
      </w:r>
      <w:r w:rsidRPr="00F57DA9">
        <w:rPr>
          <w:rStyle w:val="Odkaznapoznmkupodiarou"/>
        </w:rPr>
        <w:footnoteReference w:id="25"/>
      </w:r>
    </w:p>
    <w:p w14:paraId="78BD1275" w14:textId="49B808E4" w:rsidR="004708FE" w:rsidRDefault="00C33950" w:rsidP="00C33950">
      <w:pPr>
        <w:pStyle w:val="Nadpis2"/>
      </w:pPr>
      <w:bookmarkStart w:id="20" w:name="_Toc182559181"/>
      <w:r>
        <w:t>Limit verejných výdavkov</w:t>
      </w:r>
      <w:bookmarkEnd w:id="20"/>
    </w:p>
    <w:p w14:paraId="23E34603" w14:textId="5FFC0D19" w:rsidR="00BE3D51" w:rsidRDefault="00BE3D51" w:rsidP="00BE3D51">
      <w:r>
        <w:rPr>
          <w:rFonts w:cs="Segoe UI"/>
          <w:b/>
          <w:szCs w:val="20"/>
        </w:rPr>
        <w:t xml:space="preserve">Limit verejných výdavkov </w:t>
      </w:r>
      <w:r w:rsidR="00841610">
        <w:rPr>
          <w:rFonts w:cs="Segoe UI"/>
          <w:szCs w:val="20"/>
        </w:rPr>
        <w:t xml:space="preserve">(LVV) </w:t>
      </w:r>
      <w:r>
        <w:rPr>
          <w:rFonts w:cs="Segoe UI"/>
          <w:b/>
          <w:szCs w:val="20"/>
        </w:rPr>
        <w:t>predstavuje nástroj na zabezpečenie dlhodobej udržateľnosti</w:t>
      </w:r>
      <w:r>
        <w:rPr>
          <w:rFonts w:cs="Segoe UI"/>
          <w:szCs w:val="20"/>
        </w:rPr>
        <w:t xml:space="preserve"> </w:t>
      </w:r>
      <w:r>
        <w:rPr>
          <w:rFonts w:cs="Segoe UI"/>
          <w:b/>
          <w:szCs w:val="20"/>
        </w:rPr>
        <w:t xml:space="preserve">verejných financií. </w:t>
      </w:r>
      <w:r>
        <w:rPr>
          <w:rFonts w:cs="Segoe UI"/>
          <w:szCs w:val="20"/>
        </w:rPr>
        <w:t xml:space="preserve">Jeho existenciu predpokladal ústavný zákon o rozpočtovej zodpovednosti už v roku 2011, no </w:t>
      </w:r>
      <w:r w:rsidR="00573DFA">
        <w:rPr>
          <w:rFonts w:cs="Segoe UI"/>
          <w:szCs w:val="20"/>
        </w:rPr>
        <w:t xml:space="preserve">novelou </w:t>
      </w:r>
      <w:r w:rsidR="00913F84">
        <w:rPr>
          <w:rFonts w:cs="Segoe UI"/>
          <w:szCs w:val="20"/>
        </w:rPr>
        <w:t>zákona o rozpočtových pravidlách verejnej správy (</w:t>
      </w:r>
      <w:r w:rsidR="00573DFA">
        <w:rPr>
          <w:rFonts w:cs="Segoe UI"/>
          <w:szCs w:val="20"/>
        </w:rPr>
        <w:t>RPVS</w:t>
      </w:r>
      <w:r w:rsidR="00913F84">
        <w:rPr>
          <w:rFonts w:cs="Segoe UI"/>
          <w:szCs w:val="20"/>
        </w:rPr>
        <w:t>)</w:t>
      </w:r>
      <w:r w:rsidR="00573DFA">
        <w:rPr>
          <w:rFonts w:cs="Segoe UI"/>
          <w:szCs w:val="20"/>
        </w:rPr>
        <w:t xml:space="preserve"> sa </w:t>
      </w:r>
      <w:r>
        <w:rPr>
          <w:rFonts w:cs="Segoe UI"/>
          <w:szCs w:val="20"/>
        </w:rPr>
        <w:t xml:space="preserve">do právneho rámca dostal až v roku 2022, pričom k ďalšej úprave prišlo v 2024. Samotný LVV predstavuje jedno číslo stanovujúce maximálnu hodnotu výdavkov </w:t>
      </w:r>
      <w:r w:rsidRPr="00C60C44">
        <w:rPr>
          <w:rFonts w:cs="Segoe UI"/>
          <w:szCs w:val="20"/>
        </w:rPr>
        <w:t xml:space="preserve">subjektov </w:t>
      </w:r>
      <w:r w:rsidR="00B46458">
        <w:rPr>
          <w:rFonts w:cs="Segoe UI"/>
          <w:szCs w:val="20"/>
        </w:rPr>
        <w:t>VS</w:t>
      </w:r>
      <w:r w:rsidRPr="00C60C44">
        <w:rPr>
          <w:rFonts w:cs="Segoe UI"/>
          <w:szCs w:val="20"/>
        </w:rPr>
        <w:t xml:space="preserve"> a</w:t>
      </w:r>
      <w:r>
        <w:rPr>
          <w:rFonts w:cs="Segoe UI"/>
          <w:szCs w:val="20"/>
        </w:rPr>
        <w:t> </w:t>
      </w:r>
      <w:r w:rsidRPr="00C60C44">
        <w:rPr>
          <w:rFonts w:cs="Segoe UI"/>
          <w:szCs w:val="20"/>
        </w:rPr>
        <w:t xml:space="preserve">ďalších súčastí </w:t>
      </w:r>
      <w:r>
        <w:rPr>
          <w:rFonts w:cs="Segoe UI"/>
          <w:szCs w:val="20"/>
        </w:rPr>
        <w:t>RVS</w:t>
      </w:r>
      <w:r w:rsidRPr="00C60C44">
        <w:rPr>
          <w:rFonts w:cs="Segoe UI"/>
          <w:szCs w:val="20"/>
        </w:rPr>
        <w:t xml:space="preserve"> </w:t>
      </w:r>
      <w:r>
        <w:rPr>
          <w:rFonts w:cs="Segoe UI"/>
          <w:szCs w:val="20"/>
        </w:rPr>
        <w:t xml:space="preserve">v eurách, pričom sa vykazuje na akruálnej báze </w:t>
      </w:r>
      <w:r w:rsidR="00E72605">
        <w:rPr>
          <w:rFonts w:cs="Segoe UI"/>
          <w:szCs w:val="20"/>
        </w:rPr>
        <w:t xml:space="preserve">a </w:t>
      </w:r>
      <w:r>
        <w:rPr>
          <w:rFonts w:cs="Segoe UI"/>
          <w:szCs w:val="20"/>
        </w:rPr>
        <w:t xml:space="preserve">ŠR je na hotovostnej báze. </w:t>
      </w:r>
    </w:p>
    <w:p w14:paraId="4297B730" w14:textId="2D79AC5C" w:rsidR="0000554F" w:rsidRDefault="00925F79" w:rsidP="00925F79">
      <w:r w:rsidRPr="002C1AF6">
        <w:rPr>
          <w:b/>
        </w:rPr>
        <w:lastRenderedPageBreak/>
        <w:t xml:space="preserve">Rok 2024 možno z hľadiska LVV považovať za prechodný. </w:t>
      </w:r>
      <w:r>
        <w:t>V prvom polroku 2024 nastali legislatívne zmeny RPVS popísané v úvode kapitoly, ktoré sa týkali aj LVV ako míľnika v POO. Pri príprave RVS 2024 – 2026 NR SR neschválila LVV. Následne sa očakávala zmena výpočtu vychádzajúca z MTP SR na roky 2025 – 2028, pričom spolu s novelou RPVS bol prechodným ustanovením stanovený LVV na rok</w:t>
      </w:r>
      <w:r w:rsidR="00535DC5">
        <w:t xml:space="preserve"> 2024 vo výške 57 717 mil. eur.</w:t>
      </w:r>
      <w:r w:rsidR="005A2EF4" w:rsidRPr="005A2EF4">
        <w:rPr>
          <w:rStyle w:val="Odkaznapoznmkupodiarou"/>
        </w:rPr>
        <w:t xml:space="preserve"> </w:t>
      </w:r>
      <w:r w:rsidR="005A2EF4">
        <w:rPr>
          <w:rStyle w:val="Odkaznapoznmkupodiarou"/>
        </w:rPr>
        <w:footnoteReference w:id="26"/>
      </w:r>
    </w:p>
    <w:tbl>
      <w:tblPr>
        <w:tblStyle w:val="Mriekatabuky1"/>
        <w:tblW w:w="0" w:type="auto"/>
        <w:tblBorders>
          <w:top w:val="single" w:sz="4" w:space="0" w:color="314364"/>
          <w:left w:val="single" w:sz="4" w:space="0" w:color="314364"/>
          <w:bottom w:val="single" w:sz="4" w:space="0" w:color="314364"/>
          <w:right w:val="single" w:sz="4" w:space="0" w:color="314364"/>
          <w:insideH w:val="none" w:sz="0" w:space="0" w:color="auto"/>
          <w:insideV w:val="none" w:sz="0" w:space="0" w:color="auto"/>
        </w:tblBorders>
        <w:shd w:val="clear" w:color="auto" w:fill="EBF0FB"/>
        <w:tblLook w:val="04A0" w:firstRow="1" w:lastRow="0" w:firstColumn="1" w:lastColumn="0" w:noHBand="0" w:noVBand="1"/>
      </w:tblPr>
      <w:tblGrid>
        <w:gridCol w:w="9060"/>
      </w:tblGrid>
      <w:tr w:rsidR="00535DC5" w:rsidRPr="002772DE" w14:paraId="4298847A" w14:textId="77777777" w:rsidTr="00E7761D">
        <w:tc>
          <w:tcPr>
            <w:tcW w:w="9060" w:type="dxa"/>
            <w:shd w:val="clear" w:color="auto" w:fill="EBF0FB"/>
          </w:tcPr>
          <w:p w14:paraId="75938594" w14:textId="77777777" w:rsidR="00535DC5" w:rsidRDefault="00535DC5" w:rsidP="00E7761D">
            <w:pPr>
              <w:spacing w:before="120"/>
              <w:ind w:right="163"/>
              <w:rPr>
                <w:rFonts w:cs="Times New Roman"/>
                <w:b/>
              </w:rPr>
            </w:pPr>
            <w:r>
              <w:rPr>
                <w:rFonts w:cs="Times New Roman"/>
                <w:b/>
              </w:rPr>
              <w:t>Box 3</w:t>
            </w:r>
            <w:r w:rsidRPr="00F42E63">
              <w:rPr>
                <w:rFonts w:cs="Times New Roman"/>
                <w:b/>
              </w:rPr>
              <w:t xml:space="preserve">: </w:t>
            </w:r>
            <w:r>
              <w:rPr>
                <w:rFonts w:cs="Times New Roman"/>
                <w:b/>
              </w:rPr>
              <w:t xml:space="preserve">Postup výpočtu limitu verejných výdavkov na rok 2025 </w:t>
            </w:r>
          </w:p>
          <w:p w14:paraId="37787920" w14:textId="77777777" w:rsidR="00535DC5" w:rsidRDefault="00535DC5" w:rsidP="00E7761D">
            <w:pPr>
              <w:spacing w:before="120"/>
              <w:ind w:right="163"/>
              <w:rPr>
                <w:rFonts w:cs="Times New Roman"/>
                <w:sz w:val="18"/>
              </w:rPr>
            </w:pPr>
            <w:r>
              <w:rPr>
                <w:rFonts w:cs="Times New Roman"/>
                <w:b/>
                <w:sz w:val="18"/>
              </w:rPr>
              <w:t xml:space="preserve">Postup výpočtu LVV sa od predchádzajúcej právnej úpravy líši. </w:t>
            </w:r>
            <w:r w:rsidRPr="00903C22">
              <w:rPr>
                <w:rFonts w:cs="Times New Roman"/>
                <w:sz w:val="18"/>
              </w:rPr>
              <w:t xml:space="preserve">Vzhľadom na novo zadefinovaný postup výpočtu od 2025 a celkovú významnosť LVV v rozpočtovom procese uvádzame postup výpočtu krok za krokom pre rok 2025 podľa údajov v tabuľke </w:t>
            </w:r>
            <w:r>
              <w:rPr>
                <w:rFonts w:cs="Times New Roman"/>
                <w:sz w:val="18"/>
              </w:rPr>
              <w:t>3.</w:t>
            </w:r>
          </w:p>
          <w:p w14:paraId="23CB8BEE" w14:textId="77777777" w:rsidR="00535DC5" w:rsidRDefault="00535DC5" w:rsidP="00E7761D">
            <w:pPr>
              <w:pStyle w:val="Odsekzoznamu"/>
              <w:numPr>
                <w:ilvl w:val="0"/>
                <w:numId w:val="33"/>
              </w:numPr>
              <w:spacing w:before="120"/>
              <w:ind w:right="163"/>
              <w:rPr>
                <w:rFonts w:cs="Times New Roman"/>
                <w:sz w:val="18"/>
              </w:rPr>
            </w:pPr>
            <w:r>
              <w:rPr>
                <w:rFonts w:cs="Times New Roman"/>
                <w:sz w:val="18"/>
              </w:rPr>
              <w:t>Národne financované primárne výdavky (riadok I) sú vypočítané ako rozdiel celkových výdavkov VS (C) a úrokových nákladov (D), p</w:t>
            </w:r>
            <w:r w:rsidRPr="00225AA9">
              <w:rPr>
                <w:rFonts w:cs="Times New Roman"/>
                <w:sz w:val="18"/>
              </w:rPr>
              <w:t>rostriedk</w:t>
            </w:r>
            <w:r>
              <w:rPr>
                <w:rFonts w:cs="Times New Roman"/>
                <w:sz w:val="18"/>
              </w:rPr>
              <w:t>ov</w:t>
            </w:r>
            <w:r w:rsidRPr="00225AA9">
              <w:rPr>
                <w:rFonts w:cs="Times New Roman"/>
                <w:sz w:val="18"/>
              </w:rPr>
              <w:t xml:space="preserve"> z</w:t>
            </w:r>
            <w:r>
              <w:rPr>
                <w:rFonts w:cs="Times New Roman"/>
                <w:sz w:val="18"/>
              </w:rPr>
              <w:t> </w:t>
            </w:r>
            <w:r w:rsidRPr="00225AA9">
              <w:rPr>
                <w:rFonts w:cs="Times New Roman"/>
                <w:sz w:val="18"/>
              </w:rPr>
              <w:t xml:space="preserve">rozpočtu </w:t>
            </w:r>
            <w:r>
              <w:rPr>
                <w:rFonts w:cs="Times New Roman"/>
                <w:sz w:val="18"/>
              </w:rPr>
              <w:t>EÚ</w:t>
            </w:r>
            <w:r w:rsidRPr="00225AA9">
              <w:rPr>
                <w:rFonts w:cs="Times New Roman"/>
                <w:sz w:val="18"/>
              </w:rPr>
              <w:t xml:space="preserve"> </w:t>
            </w:r>
            <w:r>
              <w:rPr>
                <w:rFonts w:cs="Times New Roman"/>
                <w:sz w:val="18"/>
              </w:rPr>
              <w:t>vrátane POO (E), c</w:t>
            </w:r>
            <w:r w:rsidRPr="00225AA9">
              <w:rPr>
                <w:rFonts w:cs="Times New Roman"/>
                <w:sz w:val="18"/>
              </w:rPr>
              <w:t>yklic</w:t>
            </w:r>
            <w:r>
              <w:rPr>
                <w:rFonts w:cs="Times New Roman"/>
                <w:sz w:val="18"/>
              </w:rPr>
              <w:t>kých</w:t>
            </w:r>
            <w:r w:rsidRPr="00225AA9">
              <w:rPr>
                <w:rFonts w:cs="Times New Roman"/>
                <w:sz w:val="18"/>
              </w:rPr>
              <w:t xml:space="preserve"> výdavk</w:t>
            </w:r>
            <w:r>
              <w:rPr>
                <w:rFonts w:cs="Times New Roman"/>
                <w:sz w:val="18"/>
              </w:rPr>
              <w:t>ov</w:t>
            </w:r>
            <w:r w:rsidRPr="00225AA9">
              <w:rPr>
                <w:rFonts w:cs="Times New Roman"/>
                <w:sz w:val="18"/>
              </w:rPr>
              <w:t xml:space="preserve"> v</w:t>
            </w:r>
            <w:r>
              <w:rPr>
                <w:rFonts w:cs="Times New Roman"/>
                <w:sz w:val="18"/>
              </w:rPr>
              <w:t> </w:t>
            </w:r>
            <w:r w:rsidRPr="00225AA9">
              <w:rPr>
                <w:rFonts w:cs="Times New Roman"/>
                <w:sz w:val="18"/>
              </w:rPr>
              <w:t>nezamestnanosti</w:t>
            </w:r>
            <w:r>
              <w:rPr>
                <w:rFonts w:cs="Times New Roman"/>
                <w:sz w:val="18"/>
              </w:rPr>
              <w:t xml:space="preserve"> (F), jednorazových vplyvov (G) a spolufinancovania (H). </w:t>
            </w:r>
          </w:p>
          <w:p w14:paraId="52C3F1FE" w14:textId="2D0DF7C7" w:rsidR="00535DC5" w:rsidRDefault="00535DC5" w:rsidP="00E7761D">
            <w:pPr>
              <w:pStyle w:val="Odsekzoznamu"/>
              <w:numPr>
                <w:ilvl w:val="0"/>
                <w:numId w:val="33"/>
              </w:numPr>
              <w:spacing w:before="120"/>
              <w:ind w:right="163"/>
              <w:rPr>
                <w:rFonts w:cs="Times New Roman"/>
                <w:sz w:val="18"/>
              </w:rPr>
            </w:pPr>
            <w:r w:rsidRPr="00D922B1">
              <w:rPr>
                <w:rFonts w:cs="Times New Roman"/>
                <w:sz w:val="18"/>
              </w:rPr>
              <w:t>Medziročne môžu národne financované primárne výdavky (I) stúpnuť nanajvýš o</w:t>
            </w:r>
            <w:r>
              <w:rPr>
                <w:rFonts w:cs="Times New Roman"/>
                <w:sz w:val="18"/>
              </w:rPr>
              <w:t> 1 %</w:t>
            </w:r>
            <w:r w:rsidRPr="00D922B1">
              <w:rPr>
                <w:rFonts w:cs="Times New Roman"/>
                <w:sz w:val="18"/>
              </w:rPr>
              <w:t xml:space="preserve"> z referenčnej trajektórie podľa EK uvedenej v MTP (L). Návrh </w:t>
            </w:r>
            <w:r>
              <w:rPr>
                <w:rFonts w:cs="Times New Roman"/>
                <w:sz w:val="18"/>
              </w:rPr>
              <w:t>RVS</w:t>
            </w:r>
            <w:r w:rsidRPr="00D922B1">
              <w:rPr>
                <w:rFonts w:cs="Times New Roman"/>
                <w:sz w:val="18"/>
              </w:rPr>
              <w:t xml:space="preserve"> na 2025 predpokladá rast </w:t>
            </w:r>
            <w:r>
              <w:rPr>
                <w:rFonts w:cs="Times New Roman"/>
                <w:sz w:val="18"/>
              </w:rPr>
              <w:t xml:space="preserve">nižší </w:t>
            </w:r>
            <w:r w:rsidRPr="00D922B1">
              <w:rPr>
                <w:rFonts w:cs="Times New Roman"/>
                <w:sz w:val="18"/>
              </w:rPr>
              <w:t>o 0,1 p. b. (K).</w:t>
            </w:r>
            <w:r>
              <w:rPr>
                <w:rFonts w:cs="Times New Roman"/>
                <w:sz w:val="18"/>
              </w:rPr>
              <w:t xml:space="preserve"> Výdavky môžu byť navýšené aj o</w:t>
            </w:r>
            <w:r w:rsidRPr="00D922B1">
              <w:rPr>
                <w:rFonts w:cs="Times New Roman"/>
                <w:sz w:val="18"/>
              </w:rPr>
              <w:t> </w:t>
            </w:r>
            <w:r w:rsidR="00D72E1C">
              <w:rPr>
                <w:rFonts w:cs="Times New Roman"/>
                <w:sz w:val="18"/>
              </w:rPr>
              <w:t>prípadné zvýšenie príjmov diskrečnými</w:t>
            </w:r>
            <w:r w:rsidRPr="00D922B1">
              <w:rPr>
                <w:rFonts w:cs="Times New Roman"/>
                <w:sz w:val="18"/>
              </w:rPr>
              <w:t xml:space="preserve"> príjmovými</w:t>
            </w:r>
            <w:r>
              <w:rPr>
                <w:rFonts w:cs="Times New Roman"/>
                <w:sz w:val="18"/>
              </w:rPr>
              <w:t xml:space="preserve"> opatreniami (J). </w:t>
            </w:r>
          </w:p>
          <w:p w14:paraId="42277085" w14:textId="77777777" w:rsidR="00535DC5" w:rsidRPr="00641BB4" w:rsidRDefault="00535DC5" w:rsidP="00E7761D">
            <w:pPr>
              <w:pStyle w:val="Odsekzoznamu"/>
              <w:numPr>
                <w:ilvl w:val="0"/>
                <w:numId w:val="33"/>
              </w:numPr>
              <w:spacing w:before="120"/>
              <w:ind w:right="163"/>
              <w:rPr>
                <w:rFonts w:cs="Times New Roman"/>
                <w:sz w:val="18"/>
              </w:rPr>
            </w:pPr>
            <w:r>
              <w:rPr>
                <w:rFonts w:cs="Times New Roman"/>
                <w:sz w:val="18"/>
              </w:rPr>
              <w:t>LVV podľa §30aa RPVS zodpovedá limitu čistých výdavkov v nominálnom vyjadrení (M). Pre ďalšie roky je LVV (M) nižší ako primárne výdavky (I) a preto je uvedená potreba opatrení (P). Výdavky môžu rásť rýchlejšie a buď ich bude treba spomaliť (K) alebo uviesť ďalšie príjmové opatrenia (J).</w:t>
            </w:r>
          </w:p>
          <w:p w14:paraId="7E147096" w14:textId="77777777" w:rsidR="00535DC5" w:rsidRDefault="00535DC5" w:rsidP="00E7761D">
            <w:pPr>
              <w:keepNext/>
              <w:spacing w:after="0"/>
              <w:rPr>
                <w:rFonts w:cs="Times New Roman"/>
                <w:b/>
                <w:iCs/>
                <w:color w:val="314364"/>
                <w:sz w:val="18"/>
                <w:szCs w:val="18"/>
              </w:rPr>
            </w:pPr>
            <w:r w:rsidRPr="00F42E63">
              <w:rPr>
                <w:rFonts w:cs="Times New Roman"/>
                <w:b/>
                <w:iCs/>
                <w:color w:val="314364"/>
                <w:sz w:val="18"/>
                <w:szCs w:val="18"/>
              </w:rPr>
              <w:t xml:space="preserve">Tabuľka </w:t>
            </w:r>
            <w:r>
              <w:rPr>
                <w:rFonts w:cs="Times New Roman"/>
                <w:b/>
                <w:iCs/>
                <w:color w:val="314364"/>
                <w:sz w:val="18"/>
                <w:szCs w:val="18"/>
              </w:rPr>
              <w:t>3</w:t>
            </w:r>
            <w:r w:rsidRPr="00F42E63">
              <w:rPr>
                <w:rFonts w:cs="Times New Roman"/>
                <w:b/>
                <w:iCs/>
                <w:color w:val="314364"/>
                <w:sz w:val="18"/>
                <w:szCs w:val="18"/>
              </w:rPr>
              <w:t xml:space="preserve">: </w:t>
            </w:r>
            <w:r>
              <w:rPr>
                <w:rFonts w:cs="Times New Roman"/>
                <w:b/>
                <w:iCs/>
                <w:color w:val="314364"/>
                <w:sz w:val="18"/>
                <w:szCs w:val="18"/>
              </w:rPr>
              <w:t xml:space="preserve">Výpočet LVV na roky 2025 až 2027 (ESA 2010, v mil. eur) </w:t>
            </w:r>
          </w:p>
          <w:tbl>
            <w:tblPr>
              <w:tblW w:w="8643" w:type="dxa"/>
              <w:jc w:val="center"/>
              <w:tblCellMar>
                <w:top w:w="28" w:type="dxa"/>
              </w:tblCellMar>
              <w:tblLook w:val="04A0" w:firstRow="1" w:lastRow="0" w:firstColumn="1" w:lastColumn="0" w:noHBand="0" w:noVBand="1"/>
            </w:tblPr>
            <w:tblGrid>
              <w:gridCol w:w="477"/>
              <w:gridCol w:w="3920"/>
              <w:gridCol w:w="849"/>
              <w:gridCol w:w="849"/>
              <w:gridCol w:w="849"/>
              <w:gridCol w:w="849"/>
              <w:gridCol w:w="850"/>
            </w:tblGrid>
            <w:tr w:rsidR="00535DC5" w:rsidRPr="00225AA9" w14:paraId="314ED8F4" w14:textId="77777777" w:rsidTr="00E7761D">
              <w:trPr>
                <w:trHeight w:val="57"/>
                <w:tblHeader/>
                <w:jc w:val="center"/>
              </w:trPr>
              <w:tc>
                <w:tcPr>
                  <w:tcW w:w="276" w:type="pct"/>
                  <w:tcBorders>
                    <w:bottom w:val="single" w:sz="4" w:space="0" w:color="314364"/>
                  </w:tcBorders>
                  <w:shd w:val="clear" w:color="auto" w:fill="314364"/>
                </w:tcPr>
                <w:p w14:paraId="71301543" w14:textId="77777777" w:rsidR="00535DC5" w:rsidRPr="00225AA9" w:rsidRDefault="00535DC5" w:rsidP="00E7761D">
                  <w:pPr>
                    <w:spacing w:after="0" w:line="240" w:lineRule="auto"/>
                    <w:rPr>
                      <w:rFonts w:eastAsia="Calibri" w:cs="Segoe UI"/>
                      <w:b/>
                      <w:color w:val="FFFFFF"/>
                      <w:sz w:val="16"/>
                      <w:szCs w:val="16"/>
                    </w:rPr>
                  </w:pPr>
                </w:p>
              </w:tc>
              <w:tc>
                <w:tcPr>
                  <w:tcW w:w="2268" w:type="pct"/>
                  <w:tcBorders>
                    <w:bottom w:val="single" w:sz="4" w:space="0" w:color="314364"/>
                  </w:tcBorders>
                  <w:shd w:val="clear" w:color="auto" w:fill="314364"/>
                  <w:vAlign w:val="center"/>
                </w:tcPr>
                <w:p w14:paraId="5CACA566" w14:textId="77777777" w:rsidR="00535DC5" w:rsidRPr="00225AA9" w:rsidRDefault="00535DC5" w:rsidP="00E7761D">
                  <w:pPr>
                    <w:spacing w:after="0" w:line="240" w:lineRule="auto"/>
                    <w:rPr>
                      <w:rFonts w:eastAsia="Calibri" w:cs="Segoe UI"/>
                      <w:b/>
                      <w:color w:val="FFFFFF"/>
                      <w:sz w:val="16"/>
                      <w:szCs w:val="16"/>
                    </w:rPr>
                  </w:pPr>
                </w:p>
              </w:tc>
              <w:tc>
                <w:tcPr>
                  <w:tcW w:w="491" w:type="pct"/>
                  <w:tcBorders>
                    <w:bottom w:val="single" w:sz="4" w:space="0" w:color="314364"/>
                  </w:tcBorders>
                  <w:shd w:val="clear" w:color="auto" w:fill="314364"/>
                </w:tcPr>
                <w:p w14:paraId="66520FD8" w14:textId="77777777" w:rsidR="00535DC5" w:rsidRPr="00225AA9" w:rsidRDefault="00535DC5" w:rsidP="00E7761D">
                  <w:pPr>
                    <w:spacing w:after="0" w:line="240" w:lineRule="auto"/>
                    <w:jc w:val="right"/>
                    <w:rPr>
                      <w:rFonts w:eastAsia="Calibri" w:cs="Segoe UI"/>
                      <w:b/>
                      <w:color w:val="FFFFFF"/>
                      <w:sz w:val="16"/>
                      <w:szCs w:val="16"/>
                    </w:rPr>
                  </w:pPr>
                  <w:r w:rsidRPr="00225AA9">
                    <w:rPr>
                      <w:rFonts w:eastAsia="Calibri" w:cs="Segoe UI"/>
                      <w:b/>
                      <w:color w:val="FFFFFF"/>
                      <w:sz w:val="16"/>
                      <w:szCs w:val="16"/>
                    </w:rPr>
                    <w:t>2023 S</w:t>
                  </w:r>
                </w:p>
              </w:tc>
              <w:tc>
                <w:tcPr>
                  <w:tcW w:w="491" w:type="pct"/>
                  <w:tcBorders>
                    <w:bottom w:val="single" w:sz="4" w:space="0" w:color="314364"/>
                  </w:tcBorders>
                  <w:shd w:val="clear" w:color="auto" w:fill="314364"/>
                </w:tcPr>
                <w:p w14:paraId="7536D0D8" w14:textId="77777777" w:rsidR="00535DC5" w:rsidRPr="00225AA9" w:rsidRDefault="00535DC5" w:rsidP="00E7761D">
                  <w:pPr>
                    <w:spacing w:after="0" w:line="240" w:lineRule="auto"/>
                    <w:jc w:val="right"/>
                    <w:rPr>
                      <w:rFonts w:eastAsia="Calibri" w:cs="Segoe UI"/>
                      <w:b/>
                      <w:color w:val="FFFFFF"/>
                      <w:sz w:val="16"/>
                      <w:szCs w:val="16"/>
                    </w:rPr>
                  </w:pPr>
                  <w:r w:rsidRPr="00225AA9">
                    <w:rPr>
                      <w:rFonts w:eastAsia="Calibri" w:cs="Segoe UI"/>
                      <w:b/>
                      <w:color w:val="FFFFFF"/>
                      <w:sz w:val="16"/>
                      <w:szCs w:val="16"/>
                    </w:rPr>
                    <w:t>2024 OS</w:t>
                  </w:r>
                </w:p>
              </w:tc>
              <w:tc>
                <w:tcPr>
                  <w:tcW w:w="491" w:type="pct"/>
                  <w:tcBorders>
                    <w:bottom w:val="single" w:sz="4" w:space="0" w:color="314364"/>
                  </w:tcBorders>
                  <w:shd w:val="clear" w:color="auto" w:fill="314364"/>
                  <w:vAlign w:val="center"/>
                </w:tcPr>
                <w:p w14:paraId="52F6E694" w14:textId="77777777" w:rsidR="00535DC5" w:rsidRPr="00225AA9" w:rsidRDefault="00535DC5" w:rsidP="00E7761D">
                  <w:pPr>
                    <w:spacing w:after="0" w:line="240" w:lineRule="auto"/>
                    <w:jc w:val="right"/>
                    <w:rPr>
                      <w:rFonts w:eastAsia="Calibri" w:cs="Segoe UI"/>
                      <w:b/>
                      <w:color w:val="FFFFFF"/>
                      <w:sz w:val="16"/>
                      <w:szCs w:val="16"/>
                    </w:rPr>
                  </w:pPr>
                  <w:r w:rsidRPr="00225AA9">
                    <w:rPr>
                      <w:rFonts w:eastAsia="Calibri" w:cs="Segoe UI"/>
                      <w:b/>
                      <w:color w:val="FFFFFF"/>
                      <w:sz w:val="16"/>
                      <w:szCs w:val="16"/>
                    </w:rPr>
                    <w:t>2025 N</w:t>
                  </w:r>
                </w:p>
              </w:tc>
              <w:tc>
                <w:tcPr>
                  <w:tcW w:w="491" w:type="pct"/>
                  <w:tcBorders>
                    <w:bottom w:val="single" w:sz="4" w:space="0" w:color="314364"/>
                  </w:tcBorders>
                  <w:shd w:val="clear" w:color="auto" w:fill="314364"/>
                  <w:vAlign w:val="center"/>
                </w:tcPr>
                <w:p w14:paraId="64F89C32" w14:textId="77777777" w:rsidR="00535DC5" w:rsidRPr="00225AA9" w:rsidRDefault="00535DC5" w:rsidP="00E7761D">
                  <w:pPr>
                    <w:spacing w:after="0" w:line="240" w:lineRule="auto"/>
                    <w:jc w:val="right"/>
                    <w:rPr>
                      <w:rFonts w:eastAsia="Calibri" w:cs="Segoe UI"/>
                      <w:b/>
                      <w:color w:val="FFFFFF"/>
                      <w:sz w:val="16"/>
                      <w:szCs w:val="16"/>
                    </w:rPr>
                  </w:pPr>
                  <w:r w:rsidRPr="00225AA9">
                    <w:rPr>
                      <w:rFonts w:eastAsia="Calibri" w:cs="Segoe UI"/>
                      <w:b/>
                      <w:color w:val="FFFFFF"/>
                      <w:sz w:val="16"/>
                      <w:szCs w:val="16"/>
                    </w:rPr>
                    <w:t>2026 N</w:t>
                  </w:r>
                </w:p>
              </w:tc>
              <w:tc>
                <w:tcPr>
                  <w:tcW w:w="492" w:type="pct"/>
                  <w:tcBorders>
                    <w:bottom w:val="single" w:sz="4" w:space="0" w:color="314364"/>
                  </w:tcBorders>
                  <w:shd w:val="clear" w:color="auto" w:fill="314364"/>
                  <w:vAlign w:val="center"/>
                </w:tcPr>
                <w:p w14:paraId="308D219A" w14:textId="77777777" w:rsidR="00535DC5" w:rsidRPr="00225AA9" w:rsidRDefault="00535DC5" w:rsidP="00E7761D">
                  <w:pPr>
                    <w:spacing w:after="0" w:line="240" w:lineRule="auto"/>
                    <w:jc w:val="right"/>
                    <w:rPr>
                      <w:rFonts w:eastAsia="Calibri" w:cs="Segoe UI"/>
                      <w:b/>
                      <w:color w:val="FFFFFF"/>
                      <w:sz w:val="16"/>
                      <w:szCs w:val="16"/>
                    </w:rPr>
                  </w:pPr>
                  <w:r w:rsidRPr="00225AA9">
                    <w:rPr>
                      <w:rFonts w:eastAsia="Calibri" w:cs="Segoe UI"/>
                      <w:b/>
                      <w:color w:val="FFFFFF"/>
                      <w:sz w:val="16"/>
                      <w:szCs w:val="16"/>
                    </w:rPr>
                    <w:t>2027 N</w:t>
                  </w:r>
                </w:p>
              </w:tc>
            </w:tr>
            <w:tr w:rsidR="00535DC5" w:rsidRPr="00225AA9" w14:paraId="574960F3" w14:textId="77777777" w:rsidTr="00E7761D">
              <w:trPr>
                <w:trHeight w:val="57"/>
                <w:jc w:val="center"/>
              </w:trPr>
              <w:tc>
                <w:tcPr>
                  <w:tcW w:w="276" w:type="pct"/>
                  <w:tcBorders>
                    <w:top w:val="single" w:sz="4" w:space="0" w:color="314364"/>
                  </w:tcBorders>
                </w:tcPr>
                <w:p w14:paraId="38E5D179" w14:textId="77777777" w:rsidR="00535DC5" w:rsidRPr="00225AA9" w:rsidRDefault="00535DC5" w:rsidP="00E7761D">
                  <w:pPr>
                    <w:spacing w:after="0" w:line="240" w:lineRule="auto"/>
                    <w:jc w:val="left"/>
                    <w:rPr>
                      <w:rFonts w:cs="Segoe UI"/>
                      <w:color w:val="000000"/>
                      <w:sz w:val="16"/>
                      <w:szCs w:val="16"/>
                    </w:rPr>
                  </w:pPr>
                  <w:r w:rsidRPr="00225AA9">
                    <w:rPr>
                      <w:rFonts w:cs="Segoe UI"/>
                      <w:sz w:val="16"/>
                      <w:szCs w:val="16"/>
                    </w:rPr>
                    <w:t>A</w:t>
                  </w:r>
                </w:p>
              </w:tc>
              <w:tc>
                <w:tcPr>
                  <w:tcW w:w="2268" w:type="pct"/>
                  <w:tcBorders>
                    <w:top w:val="single" w:sz="4" w:space="0" w:color="314364"/>
                  </w:tcBorders>
                  <w:vAlign w:val="bottom"/>
                </w:tcPr>
                <w:p w14:paraId="63A1D7B6" w14:textId="77777777" w:rsidR="00535DC5" w:rsidRPr="00225AA9" w:rsidRDefault="00535DC5" w:rsidP="00E7761D">
                  <w:pPr>
                    <w:spacing w:after="0" w:line="240" w:lineRule="auto"/>
                    <w:jc w:val="left"/>
                    <w:rPr>
                      <w:rFonts w:eastAsia="Calibri" w:cs="Segoe UI"/>
                      <w:sz w:val="16"/>
                      <w:szCs w:val="16"/>
                    </w:rPr>
                  </w:pPr>
                  <w:r w:rsidRPr="00225AA9">
                    <w:rPr>
                      <w:rFonts w:cs="Segoe UI"/>
                      <w:color w:val="000000"/>
                      <w:sz w:val="16"/>
                      <w:szCs w:val="16"/>
                    </w:rPr>
                    <w:t>Deficit</w:t>
                  </w:r>
                </w:p>
              </w:tc>
              <w:tc>
                <w:tcPr>
                  <w:tcW w:w="491" w:type="pct"/>
                  <w:tcBorders>
                    <w:top w:val="single" w:sz="4" w:space="0" w:color="314364"/>
                  </w:tcBorders>
                  <w:vAlign w:val="bottom"/>
                </w:tcPr>
                <w:p w14:paraId="52DD4944" w14:textId="77777777" w:rsidR="00535DC5" w:rsidRPr="00225AA9" w:rsidRDefault="00535DC5" w:rsidP="00E7761D">
                  <w:pPr>
                    <w:spacing w:after="0" w:line="240" w:lineRule="auto"/>
                    <w:jc w:val="right"/>
                    <w:rPr>
                      <w:rFonts w:cs="Segoe UI"/>
                      <w:b/>
                      <w:bCs/>
                      <w:color w:val="000000"/>
                      <w:sz w:val="16"/>
                      <w:szCs w:val="16"/>
                    </w:rPr>
                  </w:pPr>
                  <w:r w:rsidRPr="00225AA9">
                    <w:rPr>
                      <w:rFonts w:cs="Segoe UI"/>
                      <w:color w:val="000000"/>
                      <w:sz w:val="16"/>
                      <w:szCs w:val="16"/>
                    </w:rPr>
                    <w:t>-6 010</w:t>
                  </w:r>
                </w:p>
              </w:tc>
              <w:tc>
                <w:tcPr>
                  <w:tcW w:w="491" w:type="pct"/>
                  <w:tcBorders>
                    <w:top w:val="single" w:sz="4" w:space="0" w:color="314364"/>
                  </w:tcBorders>
                  <w:vAlign w:val="bottom"/>
                </w:tcPr>
                <w:p w14:paraId="0E50A1FA" w14:textId="77777777" w:rsidR="00535DC5" w:rsidRPr="00225AA9" w:rsidRDefault="00535DC5" w:rsidP="00E7761D">
                  <w:pPr>
                    <w:spacing w:after="0" w:line="240" w:lineRule="auto"/>
                    <w:jc w:val="right"/>
                    <w:rPr>
                      <w:rFonts w:cs="Segoe UI"/>
                      <w:b/>
                      <w:bCs/>
                      <w:color w:val="000000"/>
                      <w:sz w:val="16"/>
                      <w:szCs w:val="16"/>
                    </w:rPr>
                  </w:pPr>
                  <w:r w:rsidRPr="00225AA9">
                    <w:rPr>
                      <w:rFonts w:cs="Segoe UI"/>
                      <w:color w:val="000000"/>
                      <w:sz w:val="16"/>
                      <w:szCs w:val="16"/>
                    </w:rPr>
                    <w:t>-7 615</w:t>
                  </w:r>
                </w:p>
              </w:tc>
              <w:tc>
                <w:tcPr>
                  <w:tcW w:w="491" w:type="pct"/>
                  <w:tcBorders>
                    <w:top w:val="single" w:sz="4" w:space="0" w:color="314364"/>
                  </w:tcBorders>
                  <w:vAlign w:val="bottom"/>
                </w:tcPr>
                <w:p w14:paraId="4662B95B" w14:textId="77777777" w:rsidR="00535DC5" w:rsidRPr="00225AA9" w:rsidRDefault="00535DC5" w:rsidP="00E7761D">
                  <w:pPr>
                    <w:spacing w:after="0" w:line="240" w:lineRule="auto"/>
                    <w:jc w:val="right"/>
                    <w:rPr>
                      <w:rFonts w:eastAsia="Calibri" w:cs="Segoe UI"/>
                      <w:sz w:val="16"/>
                      <w:szCs w:val="16"/>
                    </w:rPr>
                  </w:pPr>
                  <w:r w:rsidRPr="00225AA9">
                    <w:rPr>
                      <w:rFonts w:cs="Segoe UI"/>
                      <w:color w:val="000000"/>
                      <w:sz w:val="16"/>
                      <w:szCs w:val="16"/>
                    </w:rPr>
                    <w:t>-6 603</w:t>
                  </w:r>
                </w:p>
              </w:tc>
              <w:tc>
                <w:tcPr>
                  <w:tcW w:w="491" w:type="pct"/>
                  <w:tcBorders>
                    <w:top w:val="single" w:sz="4" w:space="0" w:color="314364"/>
                  </w:tcBorders>
                  <w:vAlign w:val="bottom"/>
                </w:tcPr>
                <w:p w14:paraId="546DA11D" w14:textId="77777777" w:rsidR="00535DC5" w:rsidRPr="00225AA9" w:rsidRDefault="00535DC5" w:rsidP="00E7761D">
                  <w:pPr>
                    <w:spacing w:after="0" w:line="240" w:lineRule="auto"/>
                    <w:jc w:val="right"/>
                    <w:rPr>
                      <w:rFonts w:eastAsia="Calibri" w:cs="Segoe UI"/>
                      <w:sz w:val="16"/>
                      <w:szCs w:val="16"/>
                    </w:rPr>
                  </w:pPr>
                  <w:r w:rsidRPr="00225AA9">
                    <w:rPr>
                      <w:rFonts w:cs="Segoe UI"/>
                      <w:color w:val="000000"/>
                      <w:sz w:val="16"/>
                      <w:szCs w:val="16"/>
                    </w:rPr>
                    <w:t>-6 128</w:t>
                  </w:r>
                </w:p>
              </w:tc>
              <w:tc>
                <w:tcPr>
                  <w:tcW w:w="492" w:type="pct"/>
                  <w:tcBorders>
                    <w:top w:val="single" w:sz="4" w:space="0" w:color="314364"/>
                  </w:tcBorders>
                  <w:shd w:val="clear" w:color="auto" w:fill="auto"/>
                  <w:vAlign w:val="bottom"/>
                </w:tcPr>
                <w:p w14:paraId="0CCAB333" w14:textId="77777777" w:rsidR="00535DC5" w:rsidRPr="00225AA9" w:rsidRDefault="00535DC5" w:rsidP="00E7761D">
                  <w:pPr>
                    <w:spacing w:after="0" w:line="240" w:lineRule="auto"/>
                    <w:jc w:val="right"/>
                    <w:rPr>
                      <w:rFonts w:eastAsia="Calibri" w:cs="Segoe UI"/>
                      <w:sz w:val="16"/>
                      <w:szCs w:val="16"/>
                    </w:rPr>
                  </w:pPr>
                  <w:r w:rsidRPr="00225AA9">
                    <w:rPr>
                      <w:rFonts w:cs="Segoe UI"/>
                      <w:color w:val="000000"/>
                      <w:sz w:val="16"/>
                      <w:szCs w:val="16"/>
                    </w:rPr>
                    <w:t>-7 409</w:t>
                  </w:r>
                </w:p>
              </w:tc>
            </w:tr>
            <w:tr w:rsidR="00535DC5" w:rsidRPr="00225AA9" w14:paraId="5B20B2F2" w14:textId="77777777" w:rsidTr="00E7761D">
              <w:trPr>
                <w:trHeight w:val="57"/>
                <w:jc w:val="center"/>
              </w:trPr>
              <w:tc>
                <w:tcPr>
                  <w:tcW w:w="276" w:type="pct"/>
                </w:tcPr>
                <w:p w14:paraId="351937AC" w14:textId="77777777" w:rsidR="00535DC5" w:rsidRPr="00225AA9" w:rsidRDefault="00535DC5" w:rsidP="00E7761D">
                  <w:pPr>
                    <w:spacing w:after="0" w:line="240" w:lineRule="auto"/>
                    <w:jc w:val="left"/>
                    <w:rPr>
                      <w:rFonts w:cs="Segoe UI"/>
                      <w:color w:val="000000"/>
                      <w:sz w:val="16"/>
                      <w:szCs w:val="16"/>
                    </w:rPr>
                  </w:pPr>
                  <w:r w:rsidRPr="00225AA9">
                    <w:rPr>
                      <w:rFonts w:cs="Segoe UI"/>
                      <w:sz w:val="16"/>
                      <w:szCs w:val="16"/>
                    </w:rPr>
                    <w:t>B</w:t>
                  </w:r>
                </w:p>
              </w:tc>
              <w:tc>
                <w:tcPr>
                  <w:tcW w:w="2268" w:type="pct"/>
                  <w:vAlign w:val="bottom"/>
                </w:tcPr>
                <w:p w14:paraId="2379A2D1" w14:textId="77777777" w:rsidR="00535DC5" w:rsidRPr="00225AA9" w:rsidRDefault="00535DC5" w:rsidP="00E7761D">
                  <w:pPr>
                    <w:spacing w:after="0" w:line="240" w:lineRule="auto"/>
                    <w:jc w:val="left"/>
                    <w:rPr>
                      <w:rFonts w:eastAsia="Calibri" w:cs="Segoe UI"/>
                      <w:sz w:val="16"/>
                      <w:szCs w:val="16"/>
                    </w:rPr>
                  </w:pPr>
                  <w:r w:rsidRPr="00225AA9">
                    <w:rPr>
                      <w:rFonts w:cs="Segoe UI"/>
                      <w:color w:val="000000"/>
                      <w:sz w:val="16"/>
                      <w:szCs w:val="16"/>
                    </w:rPr>
                    <w:t>Celkové príjmy VS</w:t>
                  </w:r>
                </w:p>
              </w:tc>
              <w:tc>
                <w:tcPr>
                  <w:tcW w:w="491" w:type="pct"/>
                  <w:vAlign w:val="bottom"/>
                </w:tcPr>
                <w:p w14:paraId="0C6803E5" w14:textId="77777777" w:rsidR="00535DC5" w:rsidRPr="00225AA9" w:rsidRDefault="00535DC5" w:rsidP="00E7761D">
                  <w:pPr>
                    <w:spacing w:after="0" w:line="240" w:lineRule="auto"/>
                    <w:jc w:val="right"/>
                    <w:rPr>
                      <w:rFonts w:cs="Segoe UI"/>
                      <w:color w:val="000000"/>
                      <w:sz w:val="16"/>
                      <w:szCs w:val="16"/>
                    </w:rPr>
                  </w:pPr>
                  <w:r w:rsidRPr="00225AA9">
                    <w:rPr>
                      <w:rFonts w:cs="Segoe UI"/>
                      <w:color w:val="000000"/>
                      <w:sz w:val="16"/>
                      <w:szCs w:val="16"/>
                    </w:rPr>
                    <w:t>52 843</w:t>
                  </w:r>
                </w:p>
              </w:tc>
              <w:tc>
                <w:tcPr>
                  <w:tcW w:w="491" w:type="pct"/>
                  <w:vAlign w:val="bottom"/>
                </w:tcPr>
                <w:p w14:paraId="0D6A251D" w14:textId="77777777" w:rsidR="00535DC5" w:rsidRPr="00225AA9" w:rsidRDefault="00535DC5" w:rsidP="00E7761D">
                  <w:pPr>
                    <w:spacing w:after="0" w:line="240" w:lineRule="auto"/>
                    <w:jc w:val="right"/>
                    <w:rPr>
                      <w:rFonts w:cs="Segoe UI"/>
                      <w:color w:val="000000"/>
                      <w:sz w:val="16"/>
                      <w:szCs w:val="16"/>
                    </w:rPr>
                  </w:pPr>
                  <w:r w:rsidRPr="00225AA9">
                    <w:rPr>
                      <w:rFonts w:cs="Segoe UI"/>
                      <w:color w:val="000000"/>
                      <w:sz w:val="16"/>
                      <w:szCs w:val="16"/>
                    </w:rPr>
                    <w:t>53 759</w:t>
                  </w:r>
                </w:p>
              </w:tc>
              <w:tc>
                <w:tcPr>
                  <w:tcW w:w="491" w:type="pct"/>
                  <w:vAlign w:val="bottom"/>
                </w:tcPr>
                <w:p w14:paraId="3C1E7080" w14:textId="77777777" w:rsidR="00535DC5" w:rsidRPr="00225AA9" w:rsidRDefault="00535DC5" w:rsidP="00E7761D">
                  <w:pPr>
                    <w:spacing w:after="0" w:line="240" w:lineRule="auto"/>
                    <w:jc w:val="right"/>
                    <w:rPr>
                      <w:rFonts w:eastAsia="Calibri" w:cs="Segoe UI"/>
                      <w:sz w:val="16"/>
                      <w:szCs w:val="16"/>
                    </w:rPr>
                  </w:pPr>
                  <w:r w:rsidRPr="00225AA9">
                    <w:rPr>
                      <w:rFonts w:cs="Segoe UI"/>
                      <w:color w:val="000000"/>
                      <w:sz w:val="16"/>
                      <w:szCs w:val="16"/>
                    </w:rPr>
                    <w:t>59 907</w:t>
                  </w:r>
                </w:p>
              </w:tc>
              <w:tc>
                <w:tcPr>
                  <w:tcW w:w="491" w:type="pct"/>
                  <w:vAlign w:val="bottom"/>
                </w:tcPr>
                <w:p w14:paraId="76CEA35B" w14:textId="77777777" w:rsidR="00535DC5" w:rsidRPr="00225AA9" w:rsidRDefault="00535DC5" w:rsidP="00E7761D">
                  <w:pPr>
                    <w:spacing w:after="0" w:line="240" w:lineRule="auto"/>
                    <w:jc w:val="right"/>
                    <w:rPr>
                      <w:rFonts w:eastAsia="Calibri" w:cs="Segoe UI"/>
                      <w:sz w:val="16"/>
                      <w:szCs w:val="16"/>
                    </w:rPr>
                  </w:pPr>
                  <w:r w:rsidRPr="00225AA9">
                    <w:rPr>
                      <w:rFonts w:cs="Segoe UI"/>
                      <w:color w:val="000000"/>
                      <w:sz w:val="16"/>
                      <w:szCs w:val="16"/>
                    </w:rPr>
                    <w:t>62 122</w:t>
                  </w:r>
                </w:p>
              </w:tc>
              <w:tc>
                <w:tcPr>
                  <w:tcW w:w="492" w:type="pct"/>
                  <w:shd w:val="clear" w:color="auto" w:fill="auto"/>
                  <w:vAlign w:val="bottom"/>
                </w:tcPr>
                <w:p w14:paraId="705DD77C" w14:textId="77777777" w:rsidR="00535DC5" w:rsidRPr="00225AA9" w:rsidRDefault="00535DC5" w:rsidP="00E7761D">
                  <w:pPr>
                    <w:spacing w:after="0" w:line="240" w:lineRule="auto"/>
                    <w:jc w:val="right"/>
                    <w:rPr>
                      <w:rFonts w:eastAsia="Calibri" w:cs="Segoe UI"/>
                      <w:sz w:val="16"/>
                      <w:szCs w:val="16"/>
                    </w:rPr>
                  </w:pPr>
                  <w:r w:rsidRPr="00225AA9">
                    <w:rPr>
                      <w:rFonts w:cs="Segoe UI"/>
                      <w:color w:val="000000"/>
                      <w:sz w:val="16"/>
                      <w:szCs w:val="16"/>
                    </w:rPr>
                    <w:t>63 237</w:t>
                  </w:r>
                </w:p>
              </w:tc>
            </w:tr>
            <w:tr w:rsidR="00535DC5" w:rsidRPr="00225AA9" w14:paraId="10B55A10" w14:textId="77777777" w:rsidTr="00E7761D">
              <w:trPr>
                <w:trHeight w:val="57"/>
                <w:jc w:val="center"/>
              </w:trPr>
              <w:tc>
                <w:tcPr>
                  <w:tcW w:w="276" w:type="pct"/>
                </w:tcPr>
                <w:p w14:paraId="107DD458" w14:textId="77777777" w:rsidR="00535DC5" w:rsidRPr="00DA0D3C" w:rsidRDefault="00535DC5" w:rsidP="00E7761D">
                  <w:pPr>
                    <w:spacing w:after="0" w:line="240" w:lineRule="auto"/>
                    <w:jc w:val="left"/>
                    <w:rPr>
                      <w:rFonts w:cs="Segoe UI"/>
                      <w:b/>
                      <w:bCs/>
                      <w:color w:val="000000"/>
                      <w:sz w:val="16"/>
                      <w:szCs w:val="16"/>
                    </w:rPr>
                  </w:pPr>
                  <w:r w:rsidRPr="00DA0D3C">
                    <w:rPr>
                      <w:rFonts w:cs="Segoe UI"/>
                      <w:b/>
                      <w:sz w:val="16"/>
                      <w:szCs w:val="16"/>
                    </w:rPr>
                    <w:t>C</w:t>
                  </w:r>
                </w:p>
              </w:tc>
              <w:tc>
                <w:tcPr>
                  <w:tcW w:w="2268" w:type="pct"/>
                  <w:vAlign w:val="bottom"/>
                </w:tcPr>
                <w:p w14:paraId="4647F30F" w14:textId="77777777" w:rsidR="00535DC5" w:rsidRPr="00225AA9" w:rsidRDefault="00535DC5" w:rsidP="00E7761D">
                  <w:pPr>
                    <w:spacing w:after="0" w:line="240" w:lineRule="auto"/>
                    <w:jc w:val="left"/>
                    <w:rPr>
                      <w:rFonts w:eastAsia="Calibri" w:cs="Segoe UI"/>
                      <w:sz w:val="16"/>
                      <w:szCs w:val="16"/>
                    </w:rPr>
                  </w:pPr>
                  <w:r w:rsidRPr="00225AA9">
                    <w:rPr>
                      <w:rFonts w:cs="Segoe UI"/>
                      <w:b/>
                      <w:bCs/>
                      <w:color w:val="000000"/>
                      <w:sz w:val="16"/>
                      <w:szCs w:val="16"/>
                    </w:rPr>
                    <w:t>Celkové výdavky VS</w:t>
                  </w:r>
                </w:p>
              </w:tc>
              <w:tc>
                <w:tcPr>
                  <w:tcW w:w="491" w:type="pct"/>
                  <w:vAlign w:val="bottom"/>
                </w:tcPr>
                <w:p w14:paraId="51445E0A" w14:textId="77777777" w:rsidR="00535DC5" w:rsidRPr="00225AA9" w:rsidRDefault="00535DC5" w:rsidP="00E7761D">
                  <w:pPr>
                    <w:spacing w:after="0" w:line="240" w:lineRule="auto"/>
                    <w:jc w:val="right"/>
                    <w:rPr>
                      <w:rFonts w:cs="Segoe UI"/>
                      <w:color w:val="000000"/>
                      <w:sz w:val="16"/>
                      <w:szCs w:val="16"/>
                    </w:rPr>
                  </w:pPr>
                  <w:r w:rsidRPr="00225AA9">
                    <w:rPr>
                      <w:rFonts w:cs="Segoe UI"/>
                      <w:b/>
                      <w:bCs/>
                      <w:color w:val="000000"/>
                      <w:sz w:val="16"/>
                      <w:szCs w:val="16"/>
                    </w:rPr>
                    <w:t>58 853</w:t>
                  </w:r>
                </w:p>
              </w:tc>
              <w:tc>
                <w:tcPr>
                  <w:tcW w:w="491" w:type="pct"/>
                  <w:vAlign w:val="bottom"/>
                </w:tcPr>
                <w:p w14:paraId="46D88C6F" w14:textId="77777777" w:rsidR="00535DC5" w:rsidRPr="00225AA9" w:rsidRDefault="00535DC5" w:rsidP="00E7761D">
                  <w:pPr>
                    <w:spacing w:after="0" w:line="240" w:lineRule="auto"/>
                    <w:jc w:val="right"/>
                    <w:rPr>
                      <w:rFonts w:cs="Segoe UI"/>
                      <w:color w:val="000000"/>
                      <w:sz w:val="16"/>
                      <w:szCs w:val="16"/>
                    </w:rPr>
                  </w:pPr>
                  <w:r w:rsidRPr="00225AA9">
                    <w:rPr>
                      <w:rFonts w:cs="Segoe UI"/>
                      <w:b/>
                      <w:bCs/>
                      <w:color w:val="000000"/>
                      <w:sz w:val="16"/>
                      <w:szCs w:val="16"/>
                    </w:rPr>
                    <w:t>61 373</w:t>
                  </w:r>
                </w:p>
              </w:tc>
              <w:tc>
                <w:tcPr>
                  <w:tcW w:w="491" w:type="pct"/>
                  <w:vAlign w:val="bottom"/>
                </w:tcPr>
                <w:p w14:paraId="7C906041" w14:textId="77777777" w:rsidR="00535DC5" w:rsidRPr="00225AA9" w:rsidRDefault="00535DC5" w:rsidP="00E7761D">
                  <w:pPr>
                    <w:spacing w:after="0" w:line="240" w:lineRule="auto"/>
                    <w:jc w:val="right"/>
                    <w:rPr>
                      <w:rFonts w:eastAsia="Calibri" w:cs="Segoe UI"/>
                      <w:sz w:val="16"/>
                      <w:szCs w:val="16"/>
                    </w:rPr>
                  </w:pPr>
                  <w:r w:rsidRPr="00225AA9">
                    <w:rPr>
                      <w:rFonts w:cs="Segoe UI"/>
                      <w:b/>
                      <w:bCs/>
                      <w:color w:val="000000"/>
                      <w:sz w:val="16"/>
                      <w:szCs w:val="16"/>
                    </w:rPr>
                    <w:t>66 511</w:t>
                  </w:r>
                </w:p>
              </w:tc>
              <w:tc>
                <w:tcPr>
                  <w:tcW w:w="491" w:type="pct"/>
                  <w:vAlign w:val="bottom"/>
                </w:tcPr>
                <w:p w14:paraId="49C986F6" w14:textId="77777777" w:rsidR="00535DC5" w:rsidRPr="00225AA9" w:rsidRDefault="00535DC5" w:rsidP="00E7761D">
                  <w:pPr>
                    <w:spacing w:after="0" w:line="240" w:lineRule="auto"/>
                    <w:jc w:val="right"/>
                    <w:rPr>
                      <w:rFonts w:eastAsia="Calibri" w:cs="Segoe UI"/>
                      <w:sz w:val="16"/>
                      <w:szCs w:val="16"/>
                    </w:rPr>
                  </w:pPr>
                  <w:r w:rsidRPr="00225AA9">
                    <w:rPr>
                      <w:rFonts w:cs="Segoe UI"/>
                      <w:b/>
                      <w:bCs/>
                      <w:color w:val="000000"/>
                      <w:sz w:val="16"/>
                      <w:szCs w:val="16"/>
                    </w:rPr>
                    <w:t>68 251</w:t>
                  </w:r>
                </w:p>
              </w:tc>
              <w:tc>
                <w:tcPr>
                  <w:tcW w:w="492" w:type="pct"/>
                  <w:shd w:val="clear" w:color="auto" w:fill="auto"/>
                  <w:vAlign w:val="bottom"/>
                </w:tcPr>
                <w:p w14:paraId="534B7431" w14:textId="77777777" w:rsidR="00535DC5" w:rsidRPr="00225AA9" w:rsidRDefault="00535DC5" w:rsidP="00E7761D">
                  <w:pPr>
                    <w:spacing w:after="0" w:line="240" w:lineRule="auto"/>
                    <w:jc w:val="right"/>
                    <w:rPr>
                      <w:rFonts w:eastAsia="Calibri" w:cs="Segoe UI"/>
                      <w:sz w:val="16"/>
                      <w:szCs w:val="16"/>
                    </w:rPr>
                  </w:pPr>
                  <w:r w:rsidRPr="00225AA9">
                    <w:rPr>
                      <w:rFonts w:cs="Segoe UI"/>
                      <w:b/>
                      <w:bCs/>
                      <w:color w:val="000000"/>
                      <w:sz w:val="16"/>
                      <w:szCs w:val="16"/>
                    </w:rPr>
                    <w:t>70 646</w:t>
                  </w:r>
                </w:p>
              </w:tc>
            </w:tr>
            <w:tr w:rsidR="00535DC5" w:rsidRPr="00225AA9" w14:paraId="2FC4F6A3" w14:textId="77777777" w:rsidTr="00E7761D">
              <w:trPr>
                <w:trHeight w:val="57"/>
                <w:jc w:val="center"/>
              </w:trPr>
              <w:tc>
                <w:tcPr>
                  <w:tcW w:w="276" w:type="pct"/>
                </w:tcPr>
                <w:p w14:paraId="184CDE9F" w14:textId="77777777" w:rsidR="00535DC5" w:rsidRPr="00225AA9" w:rsidRDefault="00535DC5" w:rsidP="00E7761D">
                  <w:pPr>
                    <w:spacing w:after="0" w:line="240" w:lineRule="auto"/>
                    <w:jc w:val="left"/>
                    <w:rPr>
                      <w:rFonts w:cs="Segoe UI"/>
                      <w:color w:val="000000"/>
                      <w:sz w:val="16"/>
                      <w:szCs w:val="16"/>
                    </w:rPr>
                  </w:pPr>
                  <w:r w:rsidRPr="00225AA9">
                    <w:rPr>
                      <w:rFonts w:cs="Segoe UI"/>
                      <w:sz w:val="16"/>
                      <w:szCs w:val="16"/>
                    </w:rPr>
                    <w:t>D</w:t>
                  </w:r>
                </w:p>
              </w:tc>
              <w:tc>
                <w:tcPr>
                  <w:tcW w:w="2268" w:type="pct"/>
                  <w:vAlign w:val="bottom"/>
                </w:tcPr>
                <w:p w14:paraId="58054630" w14:textId="77777777" w:rsidR="00535DC5" w:rsidRPr="00225AA9" w:rsidRDefault="00535DC5" w:rsidP="00E7761D">
                  <w:pPr>
                    <w:spacing w:after="0" w:line="240" w:lineRule="auto"/>
                    <w:jc w:val="left"/>
                    <w:rPr>
                      <w:rFonts w:eastAsia="Calibri" w:cs="Segoe UI"/>
                      <w:sz w:val="16"/>
                      <w:szCs w:val="16"/>
                    </w:rPr>
                  </w:pPr>
                  <w:r w:rsidRPr="00225AA9">
                    <w:rPr>
                      <w:rFonts w:cs="Segoe UI"/>
                      <w:color w:val="000000"/>
                      <w:sz w:val="16"/>
                      <w:szCs w:val="16"/>
                    </w:rPr>
                    <w:t>Úrokové náklady</w:t>
                  </w:r>
                </w:p>
              </w:tc>
              <w:tc>
                <w:tcPr>
                  <w:tcW w:w="491" w:type="pct"/>
                  <w:vAlign w:val="bottom"/>
                </w:tcPr>
                <w:p w14:paraId="5D6283C4" w14:textId="77777777" w:rsidR="00535DC5" w:rsidRPr="00225AA9" w:rsidRDefault="00535DC5" w:rsidP="00E7761D">
                  <w:pPr>
                    <w:spacing w:after="0" w:line="240" w:lineRule="auto"/>
                    <w:jc w:val="right"/>
                    <w:rPr>
                      <w:rFonts w:cs="Segoe UI"/>
                      <w:color w:val="000000"/>
                      <w:sz w:val="16"/>
                      <w:szCs w:val="16"/>
                    </w:rPr>
                  </w:pPr>
                  <w:r w:rsidRPr="00225AA9">
                    <w:rPr>
                      <w:rFonts w:cs="Segoe UI"/>
                      <w:color w:val="000000"/>
                      <w:sz w:val="16"/>
                      <w:szCs w:val="16"/>
                    </w:rPr>
                    <w:t>1 421</w:t>
                  </w:r>
                </w:p>
              </w:tc>
              <w:tc>
                <w:tcPr>
                  <w:tcW w:w="491" w:type="pct"/>
                  <w:vAlign w:val="bottom"/>
                </w:tcPr>
                <w:p w14:paraId="2765D85C" w14:textId="77777777" w:rsidR="00535DC5" w:rsidRPr="00225AA9" w:rsidRDefault="00535DC5" w:rsidP="00E7761D">
                  <w:pPr>
                    <w:spacing w:after="0" w:line="240" w:lineRule="auto"/>
                    <w:jc w:val="right"/>
                    <w:rPr>
                      <w:rFonts w:cs="Segoe UI"/>
                      <w:color w:val="000000"/>
                      <w:sz w:val="16"/>
                      <w:szCs w:val="16"/>
                    </w:rPr>
                  </w:pPr>
                  <w:r w:rsidRPr="00225AA9">
                    <w:rPr>
                      <w:rFonts w:cs="Segoe UI"/>
                      <w:color w:val="000000"/>
                      <w:sz w:val="16"/>
                      <w:szCs w:val="16"/>
                    </w:rPr>
                    <w:t>1 876</w:t>
                  </w:r>
                </w:p>
              </w:tc>
              <w:tc>
                <w:tcPr>
                  <w:tcW w:w="491" w:type="pct"/>
                  <w:vAlign w:val="bottom"/>
                </w:tcPr>
                <w:p w14:paraId="092A1951" w14:textId="77777777" w:rsidR="00535DC5" w:rsidRPr="00225AA9" w:rsidRDefault="00535DC5" w:rsidP="00E7761D">
                  <w:pPr>
                    <w:spacing w:after="0" w:line="240" w:lineRule="auto"/>
                    <w:jc w:val="right"/>
                    <w:rPr>
                      <w:rFonts w:eastAsia="Calibri" w:cs="Segoe UI"/>
                      <w:sz w:val="16"/>
                      <w:szCs w:val="16"/>
                    </w:rPr>
                  </w:pPr>
                  <w:r w:rsidRPr="00225AA9">
                    <w:rPr>
                      <w:rFonts w:cs="Segoe UI"/>
                      <w:color w:val="000000"/>
                      <w:sz w:val="16"/>
                      <w:szCs w:val="16"/>
                    </w:rPr>
                    <w:t>2 159</w:t>
                  </w:r>
                </w:p>
              </w:tc>
              <w:tc>
                <w:tcPr>
                  <w:tcW w:w="491" w:type="pct"/>
                  <w:vAlign w:val="bottom"/>
                </w:tcPr>
                <w:p w14:paraId="2F19EE60" w14:textId="77777777" w:rsidR="00535DC5" w:rsidRPr="00225AA9" w:rsidRDefault="00535DC5" w:rsidP="00E7761D">
                  <w:pPr>
                    <w:spacing w:after="0" w:line="240" w:lineRule="auto"/>
                    <w:jc w:val="right"/>
                    <w:rPr>
                      <w:rFonts w:eastAsia="Calibri" w:cs="Segoe UI"/>
                      <w:sz w:val="16"/>
                      <w:szCs w:val="16"/>
                    </w:rPr>
                  </w:pPr>
                  <w:r w:rsidRPr="00225AA9">
                    <w:rPr>
                      <w:rFonts w:cs="Segoe UI"/>
                      <w:color w:val="000000"/>
                      <w:sz w:val="16"/>
                      <w:szCs w:val="16"/>
                    </w:rPr>
                    <w:t>2 388</w:t>
                  </w:r>
                </w:p>
              </w:tc>
              <w:tc>
                <w:tcPr>
                  <w:tcW w:w="492" w:type="pct"/>
                  <w:shd w:val="clear" w:color="auto" w:fill="auto"/>
                  <w:vAlign w:val="bottom"/>
                </w:tcPr>
                <w:p w14:paraId="10DAAA53" w14:textId="77777777" w:rsidR="00535DC5" w:rsidRPr="00225AA9" w:rsidRDefault="00535DC5" w:rsidP="00E7761D">
                  <w:pPr>
                    <w:spacing w:after="0" w:line="240" w:lineRule="auto"/>
                    <w:jc w:val="right"/>
                    <w:rPr>
                      <w:rFonts w:eastAsia="Calibri" w:cs="Segoe UI"/>
                      <w:sz w:val="16"/>
                      <w:szCs w:val="16"/>
                    </w:rPr>
                  </w:pPr>
                  <w:r w:rsidRPr="00225AA9">
                    <w:rPr>
                      <w:rFonts w:cs="Segoe UI"/>
                      <w:color w:val="000000"/>
                      <w:sz w:val="16"/>
                      <w:szCs w:val="16"/>
                    </w:rPr>
                    <w:t>2 753</w:t>
                  </w:r>
                </w:p>
              </w:tc>
            </w:tr>
            <w:tr w:rsidR="00535DC5" w:rsidRPr="00225AA9" w14:paraId="0F98A228" w14:textId="77777777" w:rsidTr="00E7761D">
              <w:trPr>
                <w:trHeight w:val="57"/>
                <w:jc w:val="center"/>
              </w:trPr>
              <w:tc>
                <w:tcPr>
                  <w:tcW w:w="276" w:type="pct"/>
                </w:tcPr>
                <w:p w14:paraId="3236A5CE" w14:textId="77777777" w:rsidR="00535DC5" w:rsidRPr="00225AA9" w:rsidRDefault="00535DC5" w:rsidP="00E7761D">
                  <w:pPr>
                    <w:spacing w:after="0" w:line="240" w:lineRule="auto"/>
                    <w:jc w:val="left"/>
                    <w:rPr>
                      <w:rFonts w:cs="Segoe UI"/>
                      <w:color w:val="000000"/>
                      <w:sz w:val="16"/>
                      <w:szCs w:val="16"/>
                    </w:rPr>
                  </w:pPr>
                  <w:r w:rsidRPr="00225AA9">
                    <w:rPr>
                      <w:rFonts w:cs="Segoe UI"/>
                      <w:sz w:val="16"/>
                      <w:szCs w:val="16"/>
                    </w:rPr>
                    <w:t>E</w:t>
                  </w:r>
                </w:p>
              </w:tc>
              <w:tc>
                <w:tcPr>
                  <w:tcW w:w="2268" w:type="pct"/>
                  <w:vAlign w:val="bottom"/>
                </w:tcPr>
                <w:p w14:paraId="75839A76" w14:textId="77777777" w:rsidR="00535DC5" w:rsidRPr="00225AA9" w:rsidRDefault="00535DC5" w:rsidP="00E7761D">
                  <w:pPr>
                    <w:spacing w:after="0" w:line="240" w:lineRule="auto"/>
                    <w:jc w:val="left"/>
                    <w:rPr>
                      <w:rFonts w:eastAsia="Calibri" w:cs="Segoe UI"/>
                      <w:sz w:val="16"/>
                      <w:szCs w:val="16"/>
                    </w:rPr>
                  </w:pPr>
                  <w:r w:rsidRPr="00225AA9">
                    <w:rPr>
                      <w:rFonts w:cs="Segoe UI"/>
                      <w:color w:val="000000"/>
                      <w:sz w:val="16"/>
                      <w:szCs w:val="16"/>
                    </w:rPr>
                    <w:t>EU + RRF*</w:t>
                  </w:r>
                </w:p>
              </w:tc>
              <w:tc>
                <w:tcPr>
                  <w:tcW w:w="491" w:type="pct"/>
                  <w:vAlign w:val="bottom"/>
                </w:tcPr>
                <w:p w14:paraId="54C99DC6" w14:textId="77777777" w:rsidR="00535DC5" w:rsidRPr="00225AA9" w:rsidRDefault="00535DC5" w:rsidP="00E7761D">
                  <w:pPr>
                    <w:spacing w:after="0" w:line="240" w:lineRule="auto"/>
                    <w:jc w:val="right"/>
                    <w:rPr>
                      <w:rFonts w:cs="Segoe UI"/>
                      <w:color w:val="000000"/>
                      <w:sz w:val="16"/>
                      <w:szCs w:val="16"/>
                    </w:rPr>
                  </w:pPr>
                  <w:r w:rsidRPr="00225AA9">
                    <w:rPr>
                      <w:rFonts w:cs="Segoe UI"/>
                      <w:color w:val="000000"/>
                      <w:sz w:val="16"/>
                      <w:szCs w:val="16"/>
                    </w:rPr>
                    <w:t>3 971</w:t>
                  </w:r>
                </w:p>
              </w:tc>
              <w:tc>
                <w:tcPr>
                  <w:tcW w:w="491" w:type="pct"/>
                  <w:vAlign w:val="bottom"/>
                </w:tcPr>
                <w:p w14:paraId="55B686FA" w14:textId="77777777" w:rsidR="00535DC5" w:rsidRPr="00225AA9" w:rsidRDefault="00535DC5" w:rsidP="00E7761D">
                  <w:pPr>
                    <w:spacing w:after="0" w:line="240" w:lineRule="auto"/>
                    <w:jc w:val="right"/>
                    <w:rPr>
                      <w:rFonts w:cs="Segoe UI"/>
                      <w:color w:val="000000"/>
                      <w:sz w:val="16"/>
                      <w:szCs w:val="16"/>
                    </w:rPr>
                  </w:pPr>
                  <w:r w:rsidRPr="00225AA9">
                    <w:rPr>
                      <w:rFonts w:cs="Segoe UI"/>
                      <w:color w:val="000000"/>
                      <w:sz w:val="16"/>
                      <w:szCs w:val="16"/>
                    </w:rPr>
                    <w:t>1 840</w:t>
                  </w:r>
                </w:p>
              </w:tc>
              <w:tc>
                <w:tcPr>
                  <w:tcW w:w="491" w:type="pct"/>
                  <w:vAlign w:val="bottom"/>
                </w:tcPr>
                <w:p w14:paraId="5664FAB0" w14:textId="77777777" w:rsidR="00535DC5" w:rsidRPr="00225AA9" w:rsidRDefault="00535DC5" w:rsidP="00E7761D">
                  <w:pPr>
                    <w:spacing w:after="0" w:line="240" w:lineRule="auto"/>
                    <w:jc w:val="right"/>
                    <w:rPr>
                      <w:rFonts w:eastAsia="Calibri" w:cs="Segoe UI"/>
                      <w:sz w:val="16"/>
                      <w:szCs w:val="16"/>
                    </w:rPr>
                  </w:pPr>
                  <w:r w:rsidRPr="00225AA9">
                    <w:rPr>
                      <w:rFonts w:cs="Segoe UI"/>
                      <w:color w:val="000000"/>
                      <w:sz w:val="16"/>
                      <w:szCs w:val="16"/>
                    </w:rPr>
                    <w:t>2 839</w:t>
                  </w:r>
                </w:p>
              </w:tc>
              <w:tc>
                <w:tcPr>
                  <w:tcW w:w="491" w:type="pct"/>
                  <w:vAlign w:val="bottom"/>
                </w:tcPr>
                <w:p w14:paraId="7AF211EB" w14:textId="77777777" w:rsidR="00535DC5" w:rsidRPr="00225AA9" w:rsidRDefault="00535DC5" w:rsidP="00E7761D">
                  <w:pPr>
                    <w:spacing w:after="0" w:line="240" w:lineRule="auto"/>
                    <w:jc w:val="right"/>
                    <w:rPr>
                      <w:rFonts w:eastAsia="Calibri" w:cs="Segoe UI"/>
                      <w:sz w:val="16"/>
                      <w:szCs w:val="16"/>
                    </w:rPr>
                  </w:pPr>
                  <w:r w:rsidRPr="00225AA9">
                    <w:rPr>
                      <w:rFonts w:cs="Segoe UI"/>
                      <w:color w:val="000000"/>
                      <w:sz w:val="16"/>
                      <w:szCs w:val="16"/>
                    </w:rPr>
                    <w:t>2 739</w:t>
                  </w:r>
                </w:p>
              </w:tc>
              <w:tc>
                <w:tcPr>
                  <w:tcW w:w="492" w:type="pct"/>
                  <w:shd w:val="clear" w:color="auto" w:fill="auto"/>
                  <w:vAlign w:val="bottom"/>
                </w:tcPr>
                <w:p w14:paraId="33A6585C" w14:textId="77777777" w:rsidR="00535DC5" w:rsidRPr="00225AA9" w:rsidRDefault="00535DC5" w:rsidP="00E7761D">
                  <w:pPr>
                    <w:spacing w:after="0" w:line="240" w:lineRule="auto"/>
                    <w:jc w:val="right"/>
                    <w:rPr>
                      <w:rFonts w:eastAsia="Calibri" w:cs="Segoe UI"/>
                      <w:sz w:val="16"/>
                      <w:szCs w:val="16"/>
                    </w:rPr>
                  </w:pPr>
                  <w:r w:rsidRPr="00225AA9">
                    <w:rPr>
                      <w:rFonts w:cs="Segoe UI"/>
                      <w:color w:val="000000"/>
                      <w:sz w:val="16"/>
                      <w:szCs w:val="16"/>
                    </w:rPr>
                    <w:t>2 160</w:t>
                  </w:r>
                </w:p>
              </w:tc>
            </w:tr>
            <w:tr w:rsidR="00535DC5" w:rsidRPr="00225AA9" w14:paraId="0F5F33E9" w14:textId="77777777" w:rsidTr="00E7761D">
              <w:trPr>
                <w:trHeight w:val="57"/>
                <w:jc w:val="center"/>
              </w:trPr>
              <w:tc>
                <w:tcPr>
                  <w:tcW w:w="276" w:type="pct"/>
                </w:tcPr>
                <w:p w14:paraId="6D919F1C" w14:textId="77777777" w:rsidR="00535DC5" w:rsidRPr="00225AA9" w:rsidRDefault="00535DC5" w:rsidP="00E7761D">
                  <w:pPr>
                    <w:spacing w:after="0" w:line="240" w:lineRule="auto"/>
                    <w:jc w:val="left"/>
                    <w:rPr>
                      <w:rFonts w:cs="Segoe UI"/>
                      <w:color w:val="000000"/>
                      <w:sz w:val="16"/>
                      <w:szCs w:val="16"/>
                    </w:rPr>
                  </w:pPr>
                  <w:r w:rsidRPr="00225AA9">
                    <w:rPr>
                      <w:rFonts w:cs="Segoe UI"/>
                      <w:sz w:val="16"/>
                      <w:szCs w:val="16"/>
                    </w:rPr>
                    <w:t>F</w:t>
                  </w:r>
                </w:p>
              </w:tc>
              <w:tc>
                <w:tcPr>
                  <w:tcW w:w="2268" w:type="pct"/>
                  <w:vAlign w:val="bottom"/>
                </w:tcPr>
                <w:p w14:paraId="0691F96D" w14:textId="77777777" w:rsidR="00535DC5" w:rsidRPr="00225AA9" w:rsidRDefault="00535DC5" w:rsidP="00E7761D">
                  <w:pPr>
                    <w:spacing w:after="0" w:line="240" w:lineRule="auto"/>
                    <w:jc w:val="left"/>
                    <w:rPr>
                      <w:rFonts w:eastAsia="Calibri" w:cs="Segoe UI"/>
                      <w:sz w:val="16"/>
                      <w:szCs w:val="16"/>
                    </w:rPr>
                  </w:pPr>
                  <w:r w:rsidRPr="00225AA9">
                    <w:rPr>
                      <w:rFonts w:cs="Segoe UI"/>
                      <w:color w:val="000000"/>
                      <w:sz w:val="16"/>
                      <w:szCs w:val="16"/>
                    </w:rPr>
                    <w:t>Cyklické výdavky v nezam</w:t>
                  </w:r>
                  <w:r>
                    <w:rPr>
                      <w:rFonts w:cs="Segoe UI"/>
                      <w:color w:val="000000"/>
                      <w:sz w:val="16"/>
                      <w:szCs w:val="16"/>
                    </w:rPr>
                    <w:t>estnanosti</w:t>
                  </w:r>
                  <w:r w:rsidRPr="00225AA9">
                    <w:rPr>
                      <w:rFonts w:cs="Segoe UI"/>
                      <w:color w:val="000000"/>
                      <w:sz w:val="16"/>
                      <w:szCs w:val="16"/>
                    </w:rPr>
                    <w:t>**</w:t>
                  </w:r>
                </w:p>
              </w:tc>
              <w:tc>
                <w:tcPr>
                  <w:tcW w:w="491" w:type="pct"/>
                  <w:vAlign w:val="bottom"/>
                </w:tcPr>
                <w:p w14:paraId="291A6EA4" w14:textId="77777777" w:rsidR="00535DC5" w:rsidRPr="00225AA9" w:rsidRDefault="00535DC5" w:rsidP="00E7761D">
                  <w:pPr>
                    <w:spacing w:after="0" w:line="240" w:lineRule="auto"/>
                    <w:jc w:val="right"/>
                    <w:rPr>
                      <w:rFonts w:cs="Segoe UI"/>
                      <w:color w:val="000000"/>
                      <w:sz w:val="16"/>
                      <w:szCs w:val="16"/>
                    </w:rPr>
                  </w:pPr>
                  <w:r w:rsidRPr="00225AA9">
                    <w:rPr>
                      <w:rFonts w:cs="Segoe UI"/>
                      <w:color w:val="000000"/>
                      <w:sz w:val="16"/>
                      <w:szCs w:val="16"/>
                    </w:rPr>
                    <w:t>6</w:t>
                  </w:r>
                </w:p>
              </w:tc>
              <w:tc>
                <w:tcPr>
                  <w:tcW w:w="491" w:type="pct"/>
                  <w:vAlign w:val="bottom"/>
                </w:tcPr>
                <w:p w14:paraId="76134B36" w14:textId="77777777" w:rsidR="00535DC5" w:rsidRPr="00225AA9" w:rsidRDefault="00535DC5" w:rsidP="00E7761D">
                  <w:pPr>
                    <w:spacing w:after="0" w:line="240" w:lineRule="auto"/>
                    <w:jc w:val="right"/>
                    <w:rPr>
                      <w:rFonts w:cs="Segoe UI"/>
                      <w:color w:val="000000"/>
                      <w:sz w:val="16"/>
                      <w:szCs w:val="16"/>
                    </w:rPr>
                  </w:pPr>
                  <w:r w:rsidRPr="00225AA9">
                    <w:rPr>
                      <w:rFonts w:cs="Segoe UI"/>
                      <w:color w:val="000000"/>
                      <w:sz w:val="16"/>
                      <w:szCs w:val="16"/>
                    </w:rPr>
                    <w:t>11</w:t>
                  </w:r>
                </w:p>
              </w:tc>
              <w:tc>
                <w:tcPr>
                  <w:tcW w:w="491" w:type="pct"/>
                  <w:vAlign w:val="bottom"/>
                </w:tcPr>
                <w:p w14:paraId="5D395B50" w14:textId="77777777" w:rsidR="00535DC5" w:rsidRPr="00225AA9" w:rsidRDefault="00535DC5" w:rsidP="00E7761D">
                  <w:pPr>
                    <w:spacing w:after="0" w:line="240" w:lineRule="auto"/>
                    <w:jc w:val="right"/>
                    <w:rPr>
                      <w:rFonts w:eastAsia="Calibri" w:cs="Segoe UI"/>
                      <w:sz w:val="16"/>
                      <w:szCs w:val="16"/>
                    </w:rPr>
                  </w:pPr>
                  <w:r w:rsidRPr="00225AA9">
                    <w:rPr>
                      <w:rFonts w:cs="Segoe UI"/>
                      <w:color w:val="000000"/>
                      <w:sz w:val="16"/>
                      <w:szCs w:val="16"/>
                    </w:rPr>
                    <w:t>12</w:t>
                  </w:r>
                </w:p>
              </w:tc>
              <w:tc>
                <w:tcPr>
                  <w:tcW w:w="491" w:type="pct"/>
                  <w:vAlign w:val="bottom"/>
                </w:tcPr>
                <w:p w14:paraId="7C710046" w14:textId="77777777" w:rsidR="00535DC5" w:rsidRPr="00225AA9" w:rsidRDefault="00535DC5" w:rsidP="00E7761D">
                  <w:pPr>
                    <w:spacing w:after="0" w:line="240" w:lineRule="auto"/>
                    <w:jc w:val="right"/>
                    <w:rPr>
                      <w:rFonts w:eastAsia="Calibri" w:cs="Segoe UI"/>
                      <w:sz w:val="16"/>
                      <w:szCs w:val="16"/>
                    </w:rPr>
                  </w:pPr>
                  <w:r w:rsidRPr="00225AA9">
                    <w:rPr>
                      <w:rFonts w:cs="Segoe UI"/>
                      <w:color w:val="000000"/>
                      <w:sz w:val="16"/>
                      <w:szCs w:val="16"/>
                    </w:rPr>
                    <w:t>10</w:t>
                  </w:r>
                </w:p>
              </w:tc>
              <w:tc>
                <w:tcPr>
                  <w:tcW w:w="492" w:type="pct"/>
                  <w:shd w:val="clear" w:color="auto" w:fill="auto"/>
                  <w:vAlign w:val="bottom"/>
                </w:tcPr>
                <w:p w14:paraId="16247312" w14:textId="77777777" w:rsidR="00535DC5" w:rsidRPr="00225AA9" w:rsidRDefault="00535DC5" w:rsidP="00E7761D">
                  <w:pPr>
                    <w:spacing w:after="0" w:line="240" w:lineRule="auto"/>
                    <w:jc w:val="right"/>
                    <w:rPr>
                      <w:rFonts w:eastAsia="Calibri" w:cs="Segoe UI"/>
                      <w:sz w:val="16"/>
                      <w:szCs w:val="16"/>
                    </w:rPr>
                  </w:pPr>
                  <w:r w:rsidRPr="00225AA9">
                    <w:rPr>
                      <w:rFonts w:cs="Segoe UI"/>
                      <w:color w:val="000000"/>
                      <w:sz w:val="16"/>
                      <w:szCs w:val="16"/>
                    </w:rPr>
                    <w:t>30</w:t>
                  </w:r>
                </w:p>
              </w:tc>
            </w:tr>
            <w:tr w:rsidR="00535DC5" w:rsidRPr="00225AA9" w14:paraId="4DF4598B" w14:textId="77777777" w:rsidTr="00E7761D">
              <w:trPr>
                <w:trHeight w:val="57"/>
                <w:jc w:val="center"/>
              </w:trPr>
              <w:tc>
                <w:tcPr>
                  <w:tcW w:w="276" w:type="pct"/>
                </w:tcPr>
                <w:p w14:paraId="5257383A" w14:textId="77777777" w:rsidR="00535DC5" w:rsidRPr="00225AA9" w:rsidRDefault="00535DC5" w:rsidP="00E7761D">
                  <w:pPr>
                    <w:spacing w:after="0" w:line="240" w:lineRule="auto"/>
                    <w:jc w:val="left"/>
                    <w:rPr>
                      <w:rFonts w:cs="Segoe UI"/>
                      <w:color w:val="000000"/>
                      <w:sz w:val="16"/>
                      <w:szCs w:val="16"/>
                    </w:rPr>
                  </w:pPr>
                  <w:r w:rsidRPr="00225AA9">
                    <w:rPr>
                      <w:rFonts w:cs="Segoe UI"/>
                      <w:sz w:val="16"/>
                      <w:szCs w:val="16"/>
                    </w:rPr>
                    <w:t>G</w:t>
                  </w:r>
                </w:p>
              </w:tc>
              <w:tc>
                <w:tcPr>
                  <w:tcW w:w="2268" w:type="pct"/>
                  <w:vAlign w:val="bottom"/>
                </w:tcPr>
                <w:p w14:paraId="7714E6F4" w14:textId="77777777" w:rsidR="00535DC5" w:rsidRPr="00225AA9" w:rsidRDefault="00535DC5" w:rsidP="00E7761D">
                  <w:pPr>
                    <w:spacing w:after="0" w:line="240" w:lineRule="auto"/>
                    <w:jc w:val="left"/>
                    <w:rPr>
                      <w:rFonts w:eastAsia="Calibri" w:cs="Segoe UI"/>
                      <w:sz w:val="16"/>
                      <w:szCs w:val="16"/>
                    </w:rPr>
                  </w:pPr>
                  <w:r w:rsidRPr="00225AA9">
                    <w:rPr>
                      <w:rFonts w:cs="Segoe UI"/>
                      <w:color w:val="000000"/>
                      <w:sz w:val="16"/>
                      <w:szCs w:val="16"/>
                    </w:rPr>
                    <w:t>Jednorazové vplyvy (metodika EK)</w:t>
                  </w:r>
                </w:p>
              </w:tc>
              <w:tc>
                <w:tcPr>
                  <w:tcW w:w="491" w:type="pct"/>
                  <w:vAlign w:val="bottom"/>
                </w:tcPr>
                <w:p w14:paraId="77ED0F54" w14:textId="77777777" w:rsidR="00535DC5" w:rsidRPr="00225AA9" w:rsidRDefault="00535DC5" w:rsidP="00E7761D">
                  <w:pPr>
                    <w:spacing w:after="0" w:line="240" w:lineRule="auto"/>
                    <w:jc w:val="right"/>
                    <w:rPr>
                      <w:rFonts w:cs="Segoe UI"/>
                      <w:color w:val="000000"/>
                      <w:sz w:val="16"/>
                      <w:szCs w:val="16"/>
                    </w:rPr>
                  </w:pPr>
                  <w:r w:rsidRPr="00225AA9">
                    <w:rPr>
                      <w:rFonts w:cs="Segoe UI"/>
                      <w:color w:val="000000"/>
                      <w:sz w:val="16"/>
                      <w:szCs w:val="16"/>
                    </w:rPr>
                    <w:t>0</w:t>
                  </w:r>
                </w:p>
              </w:tc>
              <w:tc>
                <w:tcPr>
                  <w:tcW w:w="491" w:type="pct"/>
                  <w:vAlign w:val="bottom"/>
                </w:tcPr>
                <w:p w14:paraId="5C7210E9" w14:textId="77777777" w:rsidR="00535DC5" w:rsidRPr="00225AA9" w:rsidRDefault="00535DC5" w:rsidP="00E7761D">
                  <w:pPr>
                    <w:spacing w:after="0" w:line="240" w:lineRule="auto"/>
                    <w:jc w:val="right"/>
                    <w:rPr>
                      <w:rFonts w:cs="Segoe UI"/>
                      <w:color w:val="000000"/>
                      <w:sz w:val="16"/>
                      <w:szCs w:val="16"/>
                    </w:rPr>
                  </w:pPr>
                  <w:r w:rsidRPr="00225AA9">
                    <w:rPr>
                      <w:rFonts w:cs="Segoe UI"/>
                      <w:color w:val="000000"/>
                      <w:sz w:val="16"/>
                      <w:szCs w:val="16"/>
                    </w:rPr>
                    <w:t>0</w:t>
                  </w:r>
                </w:p>
              </w:tc>
              <w:tc>
                <w:tcPr>
                  <w:tcW w:w="491" w:type="pct"/>
                  <w:vAlign w:val="bottom"/>
                </w:tcPr>
                <w:p w14:paraId="1EFF9D2D" w14:textId="77777777" w:rsidR="00535DC5" w:rsidRPr="00225AA9" w:rsidRDefault="00535DC5" w:rsidP="00E7761D">
                  <w:pPr>
                    <w:spacing w:after="0" w:line="240" w:lineRule="auto"/>
                    <w:jc w:val="right"/>
                    <w:rPr>
                      <w:rFonts w:eastAsia="Calibri" w:cs="Segoe UI"/>
                      <w:sz w:val="16"/>
                      <w:szCs w:val="16"/>
                    </w:rPr>
                  </w:pPr>
                  <w:r w:rsidRPr="00225AA9">
                    <w:rPr>
                      <w:rFonts w:cs="Segoe UI"/>
                      <w:color w:val="000000"/>
                      <w:sz w:val="16"/>
                      <w:szCs w:val="16"/>
                    </w:rPr>
                    <w:t>0</w:t>
                  </w:r>
                </w:p>
              </w:tc>
              <w:tc>
                <w:tcPr>
                  <w:tcW w:w="491" w:type="pct"/>
                  <w:vAlign w:val="bottom"/>
                </w:tcPr>
                <w:p w14:paraId="4F3D9BB7" w14:textId="77777777" w:rsidR="00535DC5" w:rsidRPr="00225AA9" w:rsidRDefault="00535DC5" w:rsidP="00E7761D">
                  <w:pPr>
                    <w:spacing w:after="0" w:line="240" w:lineRule="auto"/>
                    <w:jc w:val="right"/>
                    <w:rPr>
                      <w:rFonts w:eastAsia="Calibri" w:cs="Segoe UI"/>
                      <w:sz w:val="16"/>
                      <w:szCs w:val="16"/>
                    </w:rPr>
                  </w:pPr>
                  <w:r w:rsidRPr="00225AA9">
                    <w:rPr>
                      <w:rFonts w:cs="Segoe UI"/>
                      <w:color w:val="000000"/>
                      <w:sz w:val="16"/>
                      <w:szCs w:val="16"/>
                    </w:rPr>
                    <w:t>0</w:t>
                  </w:r>
                </w:p>
              </w:tc>
              <w:tc>
                <w:tcPr>
                  <w:tcW w:w="492" w:type="pct"/>
                  <w:shd w:val="clear" w:color="auto" w:fill="auto"/>
                  <w:vAlign w:val="bottom"/>
                </w:tcPr>
                <w:p w14:paraId="098BA98E" w14:textId="77777777" w:rsidR="00535DC5" w:rsidRPr="00225AA9" w:rsidRDefault="00535DC5" w:rsidP="00E7761D">
                  <w:pPr>
                    <w:spacing w:after="0" w:line="240" w:lineRule="auto"/>
                    <w:jc w:val="right"/>
                    <w:rPr>
                      <w:rFonts w:eastAsia="Calibri" w:cs="Segoe UI"/>
                      <w:sz w:val="16"/>
                      <w:szCs w:val="16"/>
                    </w:rPr>
                  </w:pPr>
                  <w:r w:rsidRPr="00225AA9">
                    <w:rPr>
                      <w:rFonts w:cs="Segoe UI"/>
                      <w:color w:val="000000"/>
                      <w:sz w:val="16"/>
                      <w:szCs w:val="16"/>
                    </w:rPr>
                    <w:t>0</w:t>
                  </w:r>
                </w:p>
              </w:tc>
            </w:tr>
            <w:tr w:rsidR="00535DC5" w:rsidRPr="00225AA9" w14:paraId="3A676D72" w14:textId="77777777" w:rsidTr="00E7761D">
              <w:trPr>
                <w:trHeight w:val="57"/>
                <w:jc w:val="center"/>
              </w:trPr>
              <w:tc>
                <w:tcPr>
                  <w:tcW w:w="276" w:type="pct"/>
                </w:tcPr>
                <w:p w14:paraId="321C02BD" w14:textId="77777777" w:rsidR="00535DC5" w:rsidRPr="00225AA9" w:rsidRDefault="00535DC5" w:rsidP="00E7761D">
                  <w:pPr>
                    <w:spacing w:after="0" w:line="240" w:lineRule="auto"/>
                    <w:jc w:val="left"/>
                    <w:rPr>
                      <w:rFonts w:cs="Segoe UI"/>
                      <w:color w:val="000000"/>
                      <w:sz w:val="16"/>
                      <w:szCs w:val="16"/>
                    </w:rPr>
                  </w:pPr>
                  <w:r w:rsidRPr="00225AA9">
                    <w:rPr>
                      <w:rFonts w:cs="Segoe UI"/>
                      <w:sz w:val="16"/>
                      <w:szCs w:val="16"/>
                    </w:rPr>
                    <w:t>H</w:t>
                  </w:r>
                </w:p>
              </w:tc>
              <w:tc>
                <w:tcPr>
                  <w:tcW w:w="2268" w:type="pct"/>
                  <w:vAlign w:val="bottom"/>
                </w:tcPr>
                <w:p w14:paraId="77A1CCF2" w14:textId="77777777" w:rsidR="00535DC5" w:rsidRPr="00225AA9" w:rsidRDefault="00535DC5" w:rsidP="00E7761D">
                  <w:pPr>
                    <w:spacing w:after="0" w:line="240" w:lineRule="auto"/>
                    <w:jc w:val="left"/>
                    <w:rPr>
                      <w:rFonts w:eastAsia="Calibri" w:cs="Segoe UI"/>
                      <w:sz w:val="16"/>
                      <w:szCs w:val="16"/>
                    </w:rPr>
                  </w:pPr>
                  <w:r w:rsidRPr="00225AA9">
                    <w:rPr>
                      <w:rFonts w:cs="Segoe UI"/>
                      <w:color w:val="000000"/>
                      <w:sz w:val="16"/>
                      <w:szCs w:val="16"/>
                    </w:rPr>
                    <w:t>Spolufinancovanie*</w:t>
                  </w:r>
                </w:p>
              </w:tc>
              <w:tc>
                <w:tcPr>
                  <w:tcW w:w="491" w:type="pct"/>
                  <w:vAlign w:val="bottom"/>
                </w:tcPr>
                <w:p w14:paraId="15405A46" w14:textId="77777777" w:rsidR="00535DC5" w:rsidRPr="00225AA9" w:rsidRDefault="00535DC5" w:rsidP="00E7761D">
                  <w:pPr>
                    <w:spacing w:after="0" w:line="240" w:lineRule="auto"/>
                    <w:jc w:val="right"/>
                    <w:rPr>
                      <w:rFonts w:cs="Segoe UI"/>
                      <w:color w:val="000000"/>
                      <w:sz w:val="16"/>
                      <w:szCs w:val="16"/>
                    </w:rPr>
                  </w:pPr>
                  <w:r w:rsidRPr="00225AA9">
                    <w:rPr>
                      <w:rFonts w:cs="Segoe UI"/>
                      <w:color w:val="000000"/>
                      <w:sz w:val="16"/>
                      <w:szCs w:val="16"/>
                    </w:rPr>
                    <w:t>622</w:t>
                  </w:r>
                </w:p>
              </w:tc>
              <w:tc>
                <w:tcPr>
                  <w:tcW w:w="491" w:type="pct"/>
                  <w:vAlign w:val="bottom"/>
                </w:tcPr>
                <w:p w14:paraId="60D3FABB" w14:textId="77777777" w:rsidR="00535DC5" w:rsidRPr="00225AA9" w:rsidRDefault="00535DC5" w:rsidP="00E7761D">
                  <w:pPr>
                    <w:spacing w:after="0" w:line="240" w:lineRule="auto"/>
                    <w:jc w:val="right"/>
                    <w:rPr>
                      <w:rFonts w:cs="Segoe UI"/>
                      <w:color w:val="000000"/>
                      <w:sz w:val="16"/>
                      <w:szCs w:val="16"/>
                    </w:rPr>
                  </w:pPr>
                  <w:r w:rsidRPr="00225AA9">
                    <w:rPr>
                      <w:rFonts w:cs="Segoe UI"/>
                      <w:color w:val="000000"/>
                      <w:sz w:val="16"/>
                      <w:szCs w:val="16"/>
                    </w:rPr>
                    <w:t>512</w:t>
                  </w:r>
                </w:p>
              </w:tc>
              <w:tc>
                <w:tcPr>
                  <w:tcW w:w="491" w:type="pct"/>
                  <w:vAlign w:val="bottom"/>
                </w:tcPr>
                <w:p w14:paraId="3F46C6D4" w14:textId="77777777" w:rsidR="00535DC5" w:rsidRPr="00225AA9" w:rsidRDefault="00535DC5" w:rsidP="00E7761D">
                  <w:pPr>
                    <w:spacing w:after="0" w:line="240" w:lineRule="auto"/>
                    <w:jc w:val="right"/>
                    <w:rPr>
                      <w:rFonts w:eastAsia="Calibri" w:cs="Segoe UI"/>
                      <w:sz w:val="16"/>
                      <w:szCs w:val="16"/>
                    </w:rPr>
                  </w:pPr>
                  <w:r w:rsidRPr="00225AA9">
                    <w:rPr>
                      <w:rFonts w:cs="Segoe UI"/>
                      <w:color w:val="000000"/>
                      <w:sz w:val="16"/>
                      <w:szCs w:val="16"/>
                    </w:rPr>
                    <w:t>437</w:t>
                  </w:r>
                </w:p>
              </w:tc>
              <w:tc>
                <w:tcPr>
                  <w:tcW w:w="491" w:type="pct"/>
                  <w:vAlign w:val="bottom"/>
                </w:tcPr>
                <w:p w14:paraId="19468643" w14:textId="77777777" w:rsidR="00535DC5" w:rsidRPr="00225AA9" w:rsidRDefault="00535DC5" w:rsidP="00E7761D">
                  <w:pPr>
                    <w:spacing w:after="0" w:line="240" w:lineRule="auto"/>
                    <w:jc w:val="right"/>
                    <w:rPr>
                      <w:rFonts w:eastAsia="Calibri" w:cs="Segoe UI"/>
                      <w:sz w:val="16"/>
                      <w:szCs w:val="16"/>
                    </w:rPr>
                  </w:pPr>
                  <w:r w:rsidRPr="00225AA9">
                    <w:rPr>
                      <w:rFonts w:cs="Segoe UI"/>
                      <w:color w:val="000000"/>
                      <w:sz w:val="16"/>
                      <w:szCs w:val="16"/>
                    </w:rPr>
                    <w:t>649</w:t>
                  </w:r>
                </w:p>
              </w:tc>
              <w:tc>
                <w:tcPr>
                  <w:tcW w:w="492" w:type="pct"/>
                  <w:shd w:val="clear" w:color="auto" w:fill="auto"/>
                  <w:vAlign w:val="bottom"/>
                </w:tcPr>
                <w:p w14:paraId="41998A9D" w14:textId="77777777" w:rsidR="00535DC5" w:rsidRPr="00225AA9" w:rsidRDefault="00535DC5" w:rsidP="00E7761D">
                  <w:pPr>
                    <w:spacing w:after="0" w:line="240" w:lineRule="auto"/>
                    <w:jc w:val="right"/>
                    <w:rPr>
                      <w:rFonts w:eastAsia="Calibri" w:cs="Segoe UI"/>
                      <w:sz w:val="16"/>
                      <w:szCs w:val="16"/>
                    </w:rPr>
                  </w:pPr>
                  <w:r w:rsidRPr="00225AA9">
                    <w:rPr>
                      <w:rFonts w:cs="Segoe UI"/>
                      <w:color w:val="000000"/>
                      <w:sz w:val="16"/>
                      <w:szCs w:val="16"/>
                    </w:rPr>
                    <w:t>654</w:t>
                  </w:r>
                </w:p>
              </w:tc>
            </w:tr>
            <w:tr w:rsidR="00535DC5" w:rsidRPr="00225AA9" w14:paraId="74EA07DB" w14:textId="77777777" w:rsidTr="00E7761D">
              <w:trPr>
                <w:trHeight w:val="57"/>
                <w:jc w:val="center"/>
              </w:trPr>
              <w:tc>
                <w:tcPr>
                  <w:tcW w:w="276" w:type="pct"/>
                </w:tcPr>
                <w:p w14:paraId="2CDE8209" w14:textId="77777777" w:rsidR="00535DC5" w:rsidRPr="00DA0D3C" w:rsidRDefault="00535DC5" w:rsidP="00E7761D">
                  <w:pPr>
                    <w:spacing w:after="0" w:line="240" w:lineRule="auto"/>
                    <w:jc w:val="left"/>
                    <w:rPr>
                      <w:rFonts w:cs="Segoe UI"/>
                      <w:b/>
                      <w:color w:val="000000"/>
                      <w:sz w:val="16"/>
                      <w:szCs w:val="16"/>
                    </w:rPr>
                  </w:pPr>
                  <w:r w:rsidRPr="00DA0D3C">
                    <w:rPr>
                      <w:rFonts w:cs="Segoe UI"/>
                      <w:b/>
                      <w:sz w:val="16"/>
                      <w:szCs w:val="16"/>
                    </w:rPr>
                    <w:t>I</w:t>
                  </w:r>
                </w:p>
              </w:tc>
              <w:tc>
                <w:tcPr>
                  <w:tcW w:w="2268" w:type="pct"/>
                  <w:vAlign w:val="bottom"/>
                </w:tcPr>
                <w:p w14:paraId="6F2F6204" w14:textId="77777777" w:rsidR="00535DC5" w:rsidRPr="00225AA9" w:rsidRDefault="00535DC5" w:rsidP="00E7761D">
                  <w:pPr>
                    <w:spacing w:after="0" w:line="240" w:lineRule="auto"/>
                    <w:jc w:val="left"/>
                    <w:rPr>
                      <w:rFonts w:eastAsia="Calibri" w:cs="Segoe UI"/>
                      <w:b/>
                      <w:sz w:val="16"/>
                      <w:szCs w:val="16"/>
                    </w:rPr>
                  </w:pPr>
                  <w:r w:rsidRPr="00225AA9">
                    <w:rPr>
                      <w:rFonts w:cs="Segoe UI"/>
                      <w:b/>
                      <w:color w:val="000000"/>
                      <w:sz w:val="16"/>
                      <w:szCs w:val="16"/>
                    </w:rPr>
                    <w:t>Národne financované primárne výdavky</w:t>
                  </w:r>
                </w:p>
              </w:tc>
              <w:tc>
                <w:tcPr>
                  <w:tcW w:w="491" w:type="pct"/>
                  <w:vAlign w:val="bottom"/>
                </w:tcPr>
                <w:p w14:paraId="07D02FFD" w14:textId="77777777" w:rsidR="00535DC5" w:rsidRPr="00225AA9" w:rsidRDefault="00535DC5" w:rsidP="00E7761D">
                  <w:pPr>
                    <w:spacing w:after="0" w:line="240" w:lineRule="auto"/>
                    <w:jc w:val="right"/>
                    <w:rPr>
                      <w:rFonts w:cs="Segoe UI"/>
                      <w:b/>
                      <w:color w:val="000000"/>
                      <w:sz w:val="16"/>
                      <w:szCs w:val="16"/>
                    </w:rPr>
                  </w:pPr>
                  <w:r w:rsidRPr="00225AA9">
                    <w:rPr>
                      <w:rFonts w:cs="Segoe UI"/>
                      <w:b/>
                      <w:color w:val="000000"/>
                      <w:sz w:val="16"/>
                      <w:szCs w:val="16"/>
                    </w:rPr>
                    <w:t>53 455</w:t>
                  </w:r>
                </w:p>
              </w:tc>
              <w:tc>
                <w:tcPr>
                  <w:tcW w:w="491" w:type="pct"/>
                  <w:vAlign w:val="bottom"/>
                </w:tcPr>
                <w:p w14:paraId="58CDAC30" w14:textId="77777777" w:rsidR="00535DC5" w:rsidRPr="00225AA9" w:rsidRDefault="00535DC5" w:rsidP="00E7761D">
                  <w:pPr>
                    <w:spacing w:after="0" w:line="240" w:lineRule="auto"/>
                    <w:jc w:val="right"/>
                    <w:rPr>
                      <w:rFonts w:cs="Segoe UI"/>
                      <w:b/>
                      <w:color w:val="000000"/>
                      <w:sz w:val="16"/>
                      <w:szCs w:val="16"/>
                    </w:rPr>
                  </w:pPr>
                  <w:r w:rsidRPr="00225AA9">
                    <w:rPr>
                      <w:rFonts w:cs="Segoe UI"/>
                      <w:b/>
                      <w:color w:val="000000"/>
                      <w:sz w:val="16"/>
                      <w:szCs w:val="16"/>
                    </w:rPr>
                    <w:t>57 135</w:t>
                  </w:r>
                </w:p>
              </w:tc>
              <w:tc>
                <w:tcPr>
                  <w:tcW w:w="491" w:type="pct"/>
                  <w:vAlign w:val="bottom"/>
                </w:tcPr>
                <w:p w14:paraId="65539EE1" w14:textId="77777777" w:rsidR="00535DC5" w:rsidRPr="00225AA9" w:rsidRDefault="00535DC5" w:rsidP="00E7761D">
                  <w:pPr>
                    <w:spacing w:after="0" w:line="240" w:lineRule="auto"/>
                    <w:jc w:val="right"/>
                    <w:rPr>
                      <w:rFonts w:eastAsia="Calibri" w:cs="Segoe UI"/>
                      <w:b/>
                      <w:sz w:val="16"/>
                      <w:szCs w:val="16"/>
                    </w:rPr>
                  </w:pPr>
                  <w:r w:rsidRPr="00225AA9">
                    <w:rPr>
                      <w:rFonts w:cs="Segoe UI"/>
                      <w:b/>
                      <w:color w:val="000000"/>
                      <w:sz w:val="16"/>
                      <w:szCs w:val="16"/>
                    </w:rPr>
                    <w:t>61 063</w:t>
                  </w:r>
                </w:p>
              </w:tc>
              <w:tc>
                <w:tcPr>
                  <w:tcW w:w="491" w:type="pct"/>
                  <w:vAlign w:val="bottom"/>
                </w:tcPr>
                <w:p w14:paraId="5402F7BA" w14:textId="77777777" w:rsidR="00535DC5" w:rsidRPr="00225AA9" w:rsidRDefault="00535DC5" w:rsidP="00E7761D">
                  <w:pPr>
                    <w:spacing w:after="0" w:line="240" w:lineRule="auto"/>
                    <w:jc w:val="right"/>
                    <w:rPr>
                      <w:rFonts w:eastAsia="Calibri" w:cs="Segoe UI"/>
                      <w:b/>
                      <w:sz w:val="16"/>
                      <w:szCs w:val="16"/>
                    </w:rPr>
                  </w:pPr>
                  <w:r w:rsidRPr="00225AA9">
                    <w:rPr>
                      <w:rFonts w:cs="Segoe UI"/>
                      <w:b/>
                      <w:color w:val="000000"/>
                      <w:sz w:val="16"/>
                      <w:szCs w:val="16"/>
                    </w:rPr>
                    <w:t>62 465</w:t>
                  </w:r>
                </w:p>
              </w:tc>
              <w:tc>
                <w:tcPr>
                  <w:tcW w:w="492" w:type="pct"/>
                  <w:shd w:val="clear" w:color="auto" w:fill="auto"/>
                  <w:vAlign w:val="bottom"/>
                </w:tcPr>
                <w:p w14:paraId="10E67A2F" w14:textId="77777777" w:rsidR="00535DC5" w:rsidRPr="00225AA9" w:rsidRDefault="00535DC5" w:rsidP="00E7761D">
                  <w:pPr>
                    <w:spacing w:after="0" w:line="240" w:lineRule="auto"/>
                    <w:jc w:val="right"/>
                    <w:rPr>
                      <w:rFonts w:eastAsia="Calibri" w:cs="Segoe UI"/>
                      <w:b/>
                      <w:sz w:val="16"/>
                      <w:szCs w:val="16"/>
                    </w:rPr>
                  </w:pPr>
                  <w:r w:rsidRPr="00225AA9">
                    <w:rPr>
                      <w:rFonts w:cs="Segoe UI"/>
                      <w:b/>
                      <w:color w:val="000000"/>
                      <w:sz w:val="16"/>
                      <w:szCs w:val="16"/>
                    </w:rPr>
                    <w:t>65 048</w:t>
                  </w:r>
                </w:p>
              </w:tc>
            </w:tr>
            <w:tr w:rsidR="00535DC5" w:rsidRPr="00225AA9" w14:paraId="334C84DD" w14:textId="77777777" w:rsidTr="00E7761D">
              <w:trPr>
                <w:trHeight w:val="57"/>
                <w:jc w:val="center"/>
              </w:trPr>
              <w:tc>
                <w:tcPr>
                  <w:tcW w:w="276" w:type="pct"/>
                </w:tcPr>
                <w:p w14:paraId="513C51E5" w14:textId="77777777" w:rsidR="00535DC5" w:rsidRPr="00225AA9" w:rsidRDefault="00535DC5" w:rsidP="00E7761D">
                  <w:pPr>
                    <w:spacing w:after="0" w:line="240" w:lineRule="auto"/>
                    <w:jc w:val="left"/>
                    <w:rPr>
                      <w:rFonts w:cs="Segoe UI"/>
                      <w:color w:val="000000"/>
                      <w:sz w:val="16"/>
                      <w:szCs w:val="16"/>
                    </w:rPr>
                  </w:pPr>
                  <w:r w:rsidRPr="00225AA9">
                    <w:rPr>
                      <w:rFonts w:cs="Segoe UI"/>
                      <w:sz w:val="16"/>
                      <w:szCs w:val="16"/>
                    </w:rPr>
                    <w:t>J</w:t>
                  </w:r>
                </w:p>
              </w:tc>
              <w:tc>
                <w:tcPr>
                  <w:tcW w:w="2268" w:type="pct"/>
                  <w:vAlign w:val="bottom"/>
                </w:tcPr>
                <w:p w14:paraId="121EA96B" w14:textId="77777777" w:rsidR="00535DC5" w:rsidRPr="00225AA9" w:rsidRDefault="00535DC5" w:rsidP="00E7761D">
                  <w:pPr>
                    <w:spacing w:after="0" w:line="240" w:lineRule="auto"/>
                    <w:jc w:val="left"/>
                    <w:rPr>
                      <w:rFonts w:eastAsia="Calibri" w:cs="Segoe UI"/>
                      <w:sz w:val="16"/>
                      <w:szCs w:val="16"/>
                    </w:rPr>
                  </w:pPr>
                  <w:r>
                    <w:rPr>
                      <w:rFonts w:cs="Segoe UI"/>
                      <w:color w:val="000000"/>
                      <w:sz w:val="16"/>
                      <w:szCs w:val="16"/>
                    </w:rPr>
                    <w:t xml:space="preserve">Príjmové opatrenia (tzv. </w:t>
                  </w:r>
                  <w:r w:rsidRPr="00225AA9">
                    <w:rPr>
                      <w:rFonts w:cs="Segoe UI"/>
                      <w:color w:val="000000"/>
                      <w:sz w:val="16"/>
                      <w:szCs w:val="16"/>
                    </w:rPr>
                    <w:t>DRM</w:t>
                  </w:r>
                  <w:r>
                    <w:rPr>
                      <w:rFonts w:cs="Segoe UI"/>
                      <w:color w:val="000000"/>
                      <w:sz w:val="16"/>
                      <w:szCs w:val="16"/>
                    </w:rPr>
                    <w:t>,</w:t>
                  </w:r>
                  <w:r w:rsidRPr="00225AA9">
                    <w:rPr>
                      <w:rFonts w:cs="Segoe UI"/>
                      <w:color w:val="000000"/>
                      <w:sz w:val="16"/>
                      <w:szCs w:val="16"/>
                    </w:rPr>
                    <w:t xml:space="preserve"> inkrementálne zmeny)</w:t>
                  </w:r>
                </w:p>
              </w:tc>
              <w:tc>
                <w:tcPr>
                  <w:tcW w:w="491" w:type="pct"/>
                  <w:vAlign w:val="bottom"/>
                </w:tcPr>
                <w:p w14:paraId="3D561E93" w14:textId="77777777" w:rsidR="00535DC5" w:rsidRPr="00225AA9" w:rsidRDefault="00535DC5" w:rsidP="00E7761D">
                  <w:pPr>
                    <w:spacing w:after="0" w:line="240" w:lineRule="auto"/>
                    <w:jc w:val="right"/>
                    <w:rPr>
                      <w:rFonts w:cs="Segoe UI"/>
                      <w:color w:val="000000"/>
                      <w:sz w:val="16"/>
                      <w:szCs w:val="16"/>
                    </w:rPr>
                  </w:pPr>
                </w:p>
              </w:tc>
              <w:tc>
                <w:tcPr>
                  <w:tcW w:w="491" w:type="pct"/>
                  <w:vAlign w:val="bottom"/>
                </w:tcPr>
                <w:p w14:paraId="2BDFC9CA" w14:textId="77777777" w:rsidR="00535DC5" w:rsidRPr="00225AA9" w:rsidRDefault="00535DC5" w:rsidP="00E7761D">
                  <w:pPr>
                    <w:spacing w:after="0" w:line="240" w:lineRule="auto"/>
                    <w:jc w:val="right"/>
                    <w:rPr>
                      <w:rFonts w:cs="Segoe UI"/>
                      <w:color w:val="000000"/>
                      <w:sz w:val="16"/>
                      <w:szCs w:val="16"/>
                    </w:rPr>
                  </w:pPr>
                  <w:r w:rsidRPr="00225AA9">
                    <w:rPr>
                      <w:rFonts w:cs="Segoe UI"/>
                      <w:color w:val="000000"/>
                      <w:sz w:val="16"/>
                      <w:szCs w:val="16"/>
                    </w:rPr>
                    <w:t>1 442</w:t>
                  </w:r>
                </w:p>
              </w:tc>
              <w:tc>
                <w:tcPr>
                  <w:tcW w:w="491" w:type="pct"/>
                  <w:vAlign w:val="bottom"/>
                </w:tcPr>
                <w:p w14:paraId="434D22CC" w14:textId="77777777" w:rsidR="00535DC5" w:rsidRPr="00225AA9" w:rsidRDefault="00535DC5" w:rsidP="00E7761D">
                  <w:pPr>
                    <w:spacing w:after="0" w:line="240" w:lineRule="auto"/>
                    <w:jc w:val="right"/>
                    <w:rPr>
                      <w:rFonts w:eastAsia="Calibri" w:cs="Segoe UI"/>
                      <w:sz w:val="16"/>
                      <w:szCs w:val="16"/>
                    </w:rPr>
                  </w:pPr>
                  <w:r w:rsidRPr="00225AA9">
                    <w:rPr>
                      <w:rFonts w:cs="Segoe UI"/>
                      <w:color w:val="000000"/>
                      <w:sz w:val="16"/>
                      <w:szCs w:val="16"/>
                    </w:rPr>
                    <w:t>1 816</w:t>
                  </w:r>
                </w:p>
              </w:tc>
              <w:tc>
                <w:tcPr>
                  <w:tcW w:w="491" w:type="pct"/>
                  <w:vAlign w:val="bottom"/>
                </w:tcPr>
                <w:p w14:paraId="013CD2D7" w14:textId="77777777" w:rsidR="00535DC5" w:rsidRPr="00225AA9" w:rsidRDefault="00535DC5" w:rsidP="00E7761D">
                  <w:pPr>
                    <w:spacing w:after="0" w:line="240" w:lineRule="auto"/>
                    <w:jc w:val="right"/>
                    <w:rPr>
                      <w:rFonts w:eastAsia="Calibri" w:cs="Segoe UI"/>
                      <w:sz w:val="16"/>
                      <w:szCs w:val="16"/>
                    </w:rPr>
                  </w:pPr>
                  <w:r w:rsidRPr="00225AA9">
                    <w:rPr>
                      <w:rFonts w:cs="Segoe UI"/>
                      <w:color w:val="000000"/>
                      <w:sz w:val="16"/>
                      <w:szCs w:val="16"/>
                    </w:rPr>
                    <w:t>538</w:t>
                  </w:r>
                </w:p>
              </w:tc>
              <w:tc>
                <w:tcPr>
                  <w:tcW w:w="492" w:type="pct"/>
                  <w:shd w:val="clear" w:color="auto" w:fill="auto"/>
                  <w:vAlign w:val="bottom"/>
                </w:tcPr>
                <w:p w14:paraId="157136B5" w14:textId="77777777" w:rsidR="00535DC5" w:rsidRPr="00225AA9" w:rsidRDefault="00535DC5" w:rsidP="00E7761D">
                  <w:pPr>
                    <w:spacing w:after="0" w:line="240" w:lineRule="auto"/>
                    <w:jc w:val="right"/>
                    <w:rPr>
                      <w:rFonts w:eastAsia="Calibri" w:cs="Segoe UI"/>
                      <w:sz w:val="16"/>
                      <w:szCs w:val="16"/>
                    </w:rPr>
                  </w:pPr>
                  <w:r w:rsidRPr="00225AA9">
                    <w:rPr>
                      <w:rFonts w:cs="Segoe UI"/>
                      <w:color w:val="000000"/>
                      <w:sz w:val="16"/>
                      <w:szCs w:val="16"/>
                    </w:rPr>
                    <w:t>-13</w:t>
                  </w:r>
                </w:p>
              </w:tc>
            </w:tr>
            <w:tr w:rsidR="00535DC5" w:rsidRPr="00225AA9" w14:paraId="64242CC1" w14:textId="77777777" w:rsidTr="00E7761D">
              <w:trPr>
                <w:trHeight w:val="57"/>
                <w:jc w:val="center"/>
              </w:trPr>
              <w:tc>
                <w:tcPr>
                  <w:tcW w:w="276" w:type="pct"/>
                </w:tcPr>
                <w:p w14:paraId="1991DFBA" w14:textId="77777777" w:rsidR="00535DC5" w:rsidRPr="00225AA9" w:rsidRDefault="00535DC5" w:rsidP="00E7761D">
                  <w:pPr>
                    <w:spacing w:after="0" w:line="240" w:lineRule="auto"/>
                    <w:jc w:val="left"/>
                    <w:rPr>
                      <w:rFonts w:cs="Segoe UI"/>
                      <w:i/>
                      <w:iCs/>
                      <w:color w:val="000000"/>
                      <w:sz w:val="16"/>
                      <w:szCs w:val="16"/>
                    </w:rPr>
                  </w:pPr>
                  <w:r w:rsidRPr="00225AA9">
                    <w:rPr>
                      <w:rFonts w:cs="Segoe UI"/>
                      <w:sz w:val="16"/>
                      <w:szCs w:val="16"/>
                    </w:rPr>
                    <w:t>K</w:t>
                  </w:r>
                </w:p>
              </w:tc>
              <w:tc>
                <w:tcPr>
                  <w:tcW w:w="2268" w:type="pct"/>
                  <w:vAlign w:val="bottom"/>
                </w:tcPr>
                <w:p w14:paraId="0C409EB4" w14:textId="77777777" w:rsidR="00535DC5" w:rsidRPr="00225AA9" w:rsidRDefault="00535DC5" w:rsidP="00E7761D">
                  <w:pPr>
                    <w:spacing w:after="0" w:line="240" w:lineRule="auto"/>
                    <w:jc w:val="left"/>
                    <w:rPr>
                      <w:rFonts w:eastAsia="Calibri" w:cs="Segoe UI"/>
                      <w:sz w:val="16"/>
                      <w:szCs w:val="16"/>
                    </w:rPr>
                  </w:pPr>
                  <w:r w:rsidRPr="00225AA9">
                    <w:rPr>
                      <w:rFonts w:cs="Segoe UI"/>
                      <w:i/>
                      <w:iCs/>
                      <w:color w:val="000000"/>
                      <w:sz w:val="16"/>
                      <w:szCs w:val="16"/>
                    </w:rPr>
                    <w:t>Rast čistých výdavkov - Aktuálny fiškálny rámec (%)</w:t>
                  </w:r>
                </w:p>
              </w:tc>
              <w:tc>
                <w:tcPr>
                  <w:tcW w:w="491" w:type="pct"/>
                  <w:vAlign w:val="bottom"/>
                </w:tcPr>
                <w:p w14:paraId="26151D19" w14:textId="77777777" w:rsidR="00535DC5" w:rsidRPr="00225AA9" w:rsidRDefault="00535DC5" w:rsidP="00E7761D">
                  <w:pPr>
                    <w:spacing w:after="0" w:line="240" w:lineRule="auto"/>
                    <w:jc w:val="right"/>
                    <w:rPr>
                      <w:rFonts w:cs="Segoe UI"/>
                      <w:color w:val="000000"/>
                      <w:sz w:val="16"/>
                      <w:szCs w:val="16"/>
                    </w:rPr>
                  </w:pPr>
                </w:p>
              </w:tc>
              <w:tc>
                <w:tcPr>
                  <w:tcW w:w="491" w:type="pct"/>
                  <w:vAlign w:val="bottom"/>
                </w:tcPr>
                <w:p w14:paraId="1309FEAC" w14:textId="77777777" w:rsidR="00535DC5" w:rsidRPr="00225AA9" w:rsidRDefault="00535DC5" w:rsidP="00E7761D">
                  <w:pPr>
                    <w:spacing w:after="0" w:line="240" w:lineRule="auto"/>
                    <w:jc w:val="right"/>
                    <w:rPr>
                      <w:rFonts w:cs="Segoe UI"/>
                      <w:color w:val="000000"/>
                      <w:sz w:val="16"/>
                      <w:szCs w:val="16"/>
                    </w:rPr>
                  </w:pPr>
                  <w:r w:rsidRPr="00225AA9">
                    <w:rPr>
                      <w:rFonts w:cs="Segoe UI"/>
                      <w:i/>
                      <w:iCs/>
                      <w:color w:val="000000"/>
                      <w:sz w:val="16"/>
                      <w:szCs w:val="16"/>
                    </w:rPr>
                    <w:t>5,3%</w:t>
                  </w:r>
                </w:p>
              </w:tc>
              <w:tc>
                <w:tcPr>
                  <w:tcW w:w="491" w:type="pct"/>
                  <w:vAlign w:val="bottom"/>
                </w:tcPr>
                <w:p w14:paraId="017BB942" w14:textId="77777777" w:rsidR="00535DC5" w:rsidRPr="00225AA9" w:rsidRDefault="00535DC5" w:rsidP="00E7761D">
                  <w:pPr>
                    <w:spacing w:after="0" w:line="240" w:lineRule="auto"/>
                    <w:jc w:val="right"/>
                    <w:rPr>
                      <w:rFonts w:eastAsia="Calibri" w:cs="Segoe UI"/>
                      <w:sz w:val="16"/>
                      <w:szCs w:val="16"/>
                    </w:rPr>
                  </w:pPr>
                  <w:r w:rsidRPr="00225AA9">
                    <w:rPr>
                      <w:rFonts w:cs="Segoe UI"/>
                      <w:i/>
                      <w:iCs/>
                      <w:color w:val="000000"/>
                      <w:sz w:val="16"/>
                      <w:szCs w:val="16"/>
                    </w:rPr>
                    <w:t>3,7%</w:t>
                  </w:r>
                </w:p>
              </w:tc>
              <w:tc>
                <w:tcPr>
                  <w:tcW w:w="491" w:type="pct"/>
                  <w:vAlign w:val="bottom"/>
                </w:tcPr>
                <w:p w14:paraId="027ECD9E" w14:textId="77777777" w:rsidR="00535DC5" w:rsidRPr="00225AA9" w:rsidRDefault="00535DC5" w:rsidP="00E7761D">
                  <w:pPr>
                    <w:spacing w:after="0" w:line="240" w:lineRule="auto"/>
                    <w:jc w:val="right"/>
                    <w:rPr>
                      <w:rFonts w:eastAsia="Calibri" w:cs="Segoe UI"/>
                      <w:sz w:val="16"/>
                      <w:szCs w:val="16"/>
                    </w:rPr>
                  </w:pPr>
                  <w:r w:rsidRPr="00225AA9">
                    <w:rPr>
                      <w:rFonts w:cs="Segoe UI"/>
                      <w:i/>
                      <w:iCs/>
                      <w:color w:val="000000"/>
                      <w:sz w:val="16"/>
                      <w:szCs w:val="16"/>
                    </w:rPr>
                    <w:t>1,4%</w:t>
                  </w:r>
                </w:p>
              </w:tc>
              <w:tc>
                <w:tcPr>
                  <w:tcW w:w="492" w:type="pct"/>
                  <w:shd w:val="clear" w:color="auto" w:fill="auto"/>
                  <w:vAlign w:val="bottom"/>
                </w:tcPr>
                <w:p w14:paraId="55A2DDCF" w14:textId="77777777" w:rsidR="00535DC5" w:rsidRPr="00225AA9" w:rsidRDefault="00535DC5" w:rsidP="00E7761D">
                  <w:pPr>
                    <w:spacing w:after="0" w:line="240" w:lineRule="auto"/>
                    <w:jc w:val="right"/>
                    <w:rPr>
                      <w:rFonts w:eastAsia="Calibri" w:cs="Segoe UI"/>
                      <w:sz w:val="16"/>
                      <w:szCs w:val="16"/>
                    </w:rPr>
                  </w:pPr>
                  <w:r w:rsidRPr="00225AA9">
                    <w:rPr>
                      <w:rFonts w:cs="Segoe UI"/>
                      <w:i/>
                      <w:iCs/>
                      <w:color w:val="000000"/>
                      <w:sz w:val="16"/>
                      <w:szCs w:val="16"/>
                    </w:rPr>
                    <w:t>4,2%</w:t>
                  </w:r>
                </w:p>
              </w:tc>
            </w:tr>
            <w:tr w:rsidR="00535DC5" w:rsidRPr="00225AA9" w14:paraId="071A9096" w14:textId="77777777" w:rsidTr="00E7761D">
              <w:trPr>
                <w:trHeight w:val="57"/>
                <w:jc w:val="center"/>
              </w:trPr>
              <w:tc>
                <w:tcPr>
                  <w:tcW w:w="276" w:type="pct"/>
                </w:tcPr>
                <w:p w14:paraId="5AD5DA27" w14:textId="77777777" w:rsidR="00535DC5" w:rsidRPr="00225AA9" w:rsidRDefault="00535DC5" w:rsidP="00E7761D">
                  <w:pPr>
                    <w:spacing w:after="0" w:line="240" w:lineRule="auto"/>
                    <w:jc w:val="left"/>
                    <w:rPr>
                      <w:rFonts w:cs="Segoe UI"/>
                      <w:i/>
                      <w:iCs/>
                      <w:color w:val="000000"/>
                      <w:sz w:val="16"/>
                      <w:szCs w:val="16"/>
                    </w:rPr>
                  </w:pPr>
                  <w:r w:rsidRPr="00225AA9">
                    <w:rPr>
                      <w:rFonts w:cs="Segoe UI"/>
                      <w:sz w:val="16"/>
                      <w:szCs w:val="16"/>
                    </w:rPr>
                    <w:t>L</w:t>
                  </w:r>
                </w:p>
              </w:tc>
              <w:tc>
                <w:tcPr>
                  <w:tcW w:w="2268" w:type="pct"/>
                  <w:vAlign w:val="bottom"/>
                </w:tcPr>
                <w:p w14:paraId="591EF58A" w14:textId="77777777" w:rsidR="00535DC5" w:rsidRPr="00225AA9" w:rsidRDefault="00535DC5" w:rsidP="00E7761D">
                  <w:pPr>
                    <w:spacing w:after="0" w:line="240" w:lineRule="auto"/>
                    <w:jc w:val="left"/>
                    <w:rPr>
                      <w:rFonts w:eastAsia="Calibri" w:cs="Segoe UI"/>
                      <w:sz w:val="16"/>
                      <w:szCs w:val="16"/>
                    </w:rPr>
                  </w:pPr>
                  <w:r w:rsidRPr="00225AA9">
                    <w:rPr>
                      <w:rFonts w:cs="Segoe UI"/>
                      <w:i/>
                      <w:iCs/>
                      <w:color w:val="000000"/>
                      <w:sz w:val="16"/>
                      <w:szCs w:val="16"/>
                    </w:rPr>
                    <w:t>Rast čistých výdavkov - Fiškálna trajektória (MTP) (%)</w:t>
                  </w:r>
                </w:p>
              </w:tc>
              <w:tc>
                <w:tcPr>
                  <w:tcW w:w="491" w:type="pct"/>
                  <w:vAlign w:val="bottom"/>
                </w:tcPr>
                <w:p w14:paraId="13BE9424" w14:textId="77777777" w:rsidR="00535DC5" w:rsidRPr="00225AA9" w:rsidRDefault="00535DC5" w:rsidP="00E7761D">
                  <w:pPr>
                    <w:spacing w:after="0" w:line="240" w:lineRule="auto"/>
                    <w:jc w:val="right"/>
                    <w:rPr>
                      <w:rFonts w:cs="Segoe UI"/>
                      <w:color w:val="000000"/>
                      <w:sz w:val="16"/>
                      <w:szCs w:val="16"/>
                    </w:rPr>
                  </w:pPr>
                </w:p>
              </w:tc>
              <w:tc>
                <w:tcPr>
                  <w:tcW w:w="491" w:type="pct"/>
                  <w:vAlign w:val="bottom"/>
                </w:tcPr>
                <w:p w14:paraId="1145D6DD" w14:textId="77777777" w:rsidR="00535DC5" w:rsidRPr="00225AA9" w:rsidRDefault="00535DC5" w:rsidP="00E7761D">
                  <w:pPr>
                    <w:spacing w:after="0" w:line="240" w:lineRule="auto"/>
                    <w:jc w:val="right"/>
                    <w:rPr>
                      <w:rFonts w:cs="Segoe UI"/>
                      <w:color w:val="000000"/>
                      <w:sz w:val="16"/>
                      <w:szCs w:val="16"/>
                    </w:rPr>
                  </w:pPr>
                </w:p>
              </w:tc>
              <w:tc>
                <w:tcPr>
                  <w:tcW w:w="491" w:type="pct"/>
                  <w:vAlign w:val="bottom"/>
                </w:tcPr>
                <w:p w14:paraId="3F508F16" w14:textId="77777777" w:rsidR="00535DC5" w:rsidRPr="00225AA9" w:rsidRDefault="00535DC5" w:rsidP="00E7761D">
                  <w:pPr>
                    <w:spacing w:after="0" w:line="240" w:lineRule="auto"/>
                    <w:jc w:val="right"/>
                    <w:rPr>
                      <w:rFonts w:eastAsia="Calibri" w:cs="Segoe UI"/>
                      <w:sz w:val="16"/>
                      <w:szCs w:val="16"/>
                    </w:rPr>
                  </w:pPr>
                  <w:r w:rsidRPr="00225AA9">
                    <w:rPr>
                      <w:rFonts w:cs="Segoe UI"/>
                      <w:i/>
                      <w:iCs/>
                      <w:color w:val="000000"/>
                      <w:sz w:val="16"/>
                      <w:szCs w:val="16"/>
                    </w:rPr>
                    <w:t>3,8%</w:t>
                  </w:r>
                </w:p>
              </w:tc>
              <w:tc>
                <w:tcPr>
                  <w:tcW w:w="491" w:type="pct"/>
                  <w:vAlign w:val="bottom"/>
                </w:tcPr>
                <w:p w14:paraId="108E1EAE" w14:textId="77777777" w:rsidR="00535DC5" w:rsidRPr="00225AA9" w:rsidRDefault="00535DC5" w:rsidP="00E7761D">
                  <w:pPr>
                    <w:spacing w:after="0" w:line="240" w:lineRule="auto"/>
                    <w:jc w:val="right"/>
                    <w:rPr>
                      <w:rFonts w:eastAsia="Calibri" w:cs="Segoe UI"/>
                      <w:sz w:val="16"/>
                      <w:szCs w:val="16"/>
                    </w:rPr>
                  </w:pPr>
                  <w:r w:rsidRPr="00225AA9">
                    <w:rPr>
                      <w:rFonts w:cs="Segoe UI"/>
                      <w:i/>
                      <w:iCs/>
                      <w:color w:val="000000"/>
                      <w:sz w:val="16"/>
                      <w:szCs w:val="16"/>
                    </w:rPr>
                    <w:t>0,9%</w:t>
                  </w:r>
                </w:p>
              </w:tc>
              <w:tc>
                <w:tcPr>
                  <w:tcW w:w="492" w:type="pct"/>
                  <w:shd w:val="clear" w:color="auto" w:fill="auto"/>
                  <w:vAlign w:val="bottom"/>
                </w:tcPr>
                <w:p w14:paraId="373BAAF7" w14:textId="77777777" w:rsidR="00535DC5" w:rsidRPr="00225AA9" w:rsidRDefault="00535DC5" w:rsidP="00E7761D">
                  <w:pPr>
                    <w:spacing w:after="0" w:line="240" w:lineRule="auto"/>
                    <w:jc w:val="right"/>
                    <w:rPr>
                      <w:rFonts w:eastAsia="Calibri" w:cs="Segoe UI"/>
                      <w:sz w:val="16"/>
                      <w:szCs w:val="16"/>
                    </w:rPr>
                  </w:pPr>
                  <w:r w:rsidRPr="00225AA9">
                    <w:rPr>
                      <w:rFonts w:cs="Segoe UI"/>
                      <w:i/>
                      <w:iCs/>
                      <w:color w:val="000000"/>
                      <w:sz w:val="16"/>
                      <w:szCs w:val="16"/>
                    </w:rPr>
                    <w:t>1,6%</w:t>
                  </w:r>
                </w:p>
              </w:tc>
            </w:tr>
            <w:tr w:rsidR="00535DC5" w:rsidRPr="00225AA9" w14:paraId="7B9DA78C" w14:textId="77777777" w:rsidTr="00E7761D">
              <w:trPr>
                <w:trHeight w:val="57"/>
                <w:jc w:val="center"/>
              </w:trPr>
              <w:tc>
                <w:tcPr>
                  <w:tcW w:w="276" w:type="pct"/>
                </w:tcPr>
                <w:p w14:paraId="21298F94" w14:textId="77777777" w:rsidR="00535DC5" w:rsidRPr="00DA0D3C" w:rsidRDefault="00535DC5" w:rsidP="00E7761D">
                  <w:pPr>
                    <w:spacing w:after="0" w:line="240" w:lineRule="auto"/>
                    <w:jc w:val="left"/>
                    <w:rPr>
                      <w:rFonts w:cs="Segoe UI"/>
                      <w:b/>
                      <w:bCs/>
                      <w:color w:val="000000"/>
                      <w:sz w:val="16"/>
                      <w:szCs w:val="16"/>
                    </w:rPr>
                  </w:pPr>
                  <w:r w:rsidRPr="00DA0D3C">
                    <w:rPr>
                      <w:rFonts w:cs="Segoe UI"/>
                      <w:b/>
                      <w:sz w:val="16"/>
                      <w:szCs w:val="16"/>
                    </w:rPr>
                    <w:t>M</w:t>
                  </w:r>
                </w:p>
              </w:tc>
              <w:tc>
                <w:tcPr>
                  <w:tcW w:w="2268" w:type="pct"/>
                  <w:vAlign w:val="bottom"/>
                </w:tcPr>
                <w:p w14:paraId="5275E660" w14:textId="77777777" w:rsidR="00535DC5" w:rsidRPr="00225AA9" w:rsidRDefault="00535DC5" w:rsidP="00E7761D">
                  <w:pPr>
                    <w:spacing w:after="0" w:line="240" w:lineRule="auto"/>
                    <w:jc w:val="left"/>
                    <w:rPr>
                      <w:rFonts w:eastAsia="Calibri" w:cs="Segoe UI"/>
                      <w:sz w:val="16"/>
                      <w:szCs w:val="16"/>
                    </w:rPr>
                  </w:pPr>
                  <w:r w:rsidRPr="00225AA9">
                    <w:rPr>
                      <w:rFonts w:cs="Segoe UI"/>
                      <w:b/>
                      <w:bCs/>
                      <w:color w:val="000000"/>
                      <w:sz w:val="16"/>
                      <w:szCs w:val="16"/>
                    </w:rPr>
                    <w:t>Limit čistých výdavkov - nominálne</w:t>
                  </w:r>
                </w:p>
              </w:tc>
              <w:tc>
                <w:tcPr>
                  <w:tcW w:w="491" w:type="pct"/>
                  <w:vAlign w:val="bottom"/>
                </w:tcPr>
                <w:p w14:paraId="1013C0E7" w14:textId="77777777" w:rsidR="00535DC5" w:rsidRPr="00225AA9" w:rsidRDefault="00535DC5" w:rsidP="00E7761D">
                  <w:pPr>
                    <w:spacing w:after="0" w:line="240" w:lineRule="auto"/>
                    <w:jc w:val="right"/>
                    <w:rPr>
                      <w:rFonts w:cs="Segoe UI"/>
                      <w:color w:val="000000"/>
                      <w:sz w:val="16"/>
                      <w:szCs w:val="16"/>
                    </w:rPr>
                  </w:pPr>
                </w:p>
              </w:tc>
              <w:tc>
                <w:tcPr>
                  <w:tcW w:w="491" w:type="pct"/>
                  <w:vAlign w:val="bottom"/>
                </w:tcPr>
                <w:p w14:paraId="60DC1118" w14:textId="77777777" w:rsidR="00535DC5" w:rsidRPr="00225AA9" w:rsidRDefault="00535DC5" w:rsidP="00E7761D">
                  <w:pPr>
                    <w:spacing w:after="0" w:line="240" w:lineRule="auto"/>
                    <w:jc w:val="right"/>
                    <w:rPr>
                      <w:rFonts w:cs="Segoe UI"/>
                      <w:color w:val="000000"/>
                      <w:sz w:val="16"/>
                      <w:szCs w:val="16"/>
                    </w:rPr>
                  </w:pPr>
                </w:p>
              </w:tc>
              <w:tc>
                <w:tcPr>
                  <w:tcW w:w="491" w:type="pct"/>
                  <w:vAlign w:val="bottom"/>
                </w:tcPr>
                <w:p w14:paraId="7588A1E1" w14:textId="77777777" w:rsidR="00535DC5" w:rsidRPr="00225AA9" w:rsidRDefault="00535DC5" w:rsidP="00E7761D">
                  <w:pPr>
                    <w:spacing w:after="0" w:line="240" w:lineRule="auto"/>
                    <w:jc w:val="right"/>
                    <w:rPr>
                      <w:rFonts w:eastAsia="Calibri" w:cs="Segoe UI"/>
                      <w:sz w:val="16"/>
                      <w:szCs w:val="16"/>
                    </w:rPr>
                  </w:pPr>
                  <w:r w:rsidRPr="00225AA9">
                    <w:rPr>
                      <w:rFonts w:cs="Segoe UI"/>
                      <w:b/>
                      <w:bCs/>
                      <w:color w:val="000000"/>
                      <w:sz w:val="16"/>
                      <w:szCs w:val="16"/>
                    </w:rPr>
                    <w:t>61 150</w:t>
                  </w:r>
                </w:p>
              </w:tc>
              <w:tc>
                <w:tcPr>
                  <w:tcW w:w="491" w:type="pct"/>
                  <w:vAlign w:val="bottom"/>
                </w:tcPr>
                <w:p w14:paraId="15B71E9D" w14:textId="77777777" w:rsidR="00535DC5" w:rsidRPr="00225AA9" w:rsidRDefault="00535DC5" w:rsidP="00E7761D">
                  <w:pPr>
                    <w:spacing w:after="0" w:line="240" w:lineRule="auto"/>
                    <w:jc w:val="right"/>
                    <w:rPr>
                      <w:rFonts w:eastAsia="Calibri" w:cs="Segoe UI"/>
                      <w:sz w:val="16"/>
                      <w:szCs w:val="16"/>
                    </w:rPr>
                  </w:pPr>
                  <w:r w:rsidRPr="00225AA9">
                    <w:rPr>
                      <w:rFonts w:cs="Segoe UI"/>
                      <w:b/>
                      <w:bCs/>
                      <w:color w:val="000000"/>
                      <w:sz w:val="16"/>
                      <w:szCs w:val="16"/>
                    </w:rPr>
                    <w:t>62 120</w:t>
                  </w:r>
                </w:p>
              </w:tc>
              <w:tc>
                <w:tcPr>
                  <w:tcW w:w="492" w:type="pct"/>
                  <w:shd w:val="clear" w:color="auto" w:fill="auto"/>
                  <w:vAlign w:val="bottom"/>
                </w:tcPr>
                <w:p w14:paraId="2D1E39D7" w14:textId="77777777" w:rsidR="00535DC5" w:rsidRPr="00225AA9" w:rsidRDefault="00535DC5" w:rsidP="00E7761D">
                  <w:pPr>
                    <w:spacing w:after="0" w:line="240" w:lineRule="auto"/>
                    <w:jc w:val="right"/>
                    <w:rPr>
                      <w:rFonts w:eastAsia="Calibri" w:cs="Segoe UI"/>
                      <w:sz w:val="16"/>
                      <w:szCs w:val="16"/>
                    </w:rPr>
                  </w:pPr>
                  <w:r w:rsidRPr="00225AA9">
                    <w:rPr>
                      <w:rFonts w:cs="Segoe UI"/>
                      <w:b/>
                      <w:bCs/>
                      <w:color w:val="000000"/>
                      <w:sz w:val="16"/>
                      <w:szCs w:val="16"/>
                    </w:rPr>
                    <w:t>63 110</w:t>
                  </w:r>
                </w:p>
              </w:tc>
            </w:tr>
            <w:tr w:rsidR="00535DC5" w:rsidRPr="00225AA9" w14:paraId="629805AF" w14:textId="77777777" w:rsidTr="00E7761D">
              <w:trPr>
                <w:trHeight w:val="57"/>
                <w:jc w:val="center"/>
              </w:trPr>
              <w:tc>
                <w:tcPr>
                  <w:tcW w:w="276" w:type="pct"/>
                </w:tcPr>
                <w:p w14:paraId="6A3199C5" w14:textId="77777777" w:rsidR="00535DC5" w:rsidRPr="00225AA9" w:rsidRDefault="00535DC5" w:rsidP="00E7761D">
                  <w:pPr>
                    <w:spacing w:after="0" w:line="240" w:lineRule="auto"/>
                    <w:jc w:val="left"/>
                    <w:rPr>
                      <w:rFonts w:cs="Segoe UI"/>
                      <w:i/>
                      <w:iCs/>
                      <w:color w:val="000000"/>
                      <w:sz w:val="16"/>
                      <w:szCs w:val="16"/>
                    </w:rPr>
                  </w:pPr>
                  <w:r w:rsidRPr="00225AA9">
                    <w:rPr>
                      <w:rFonts w:cs="Segoe UI"/>
                      <w:sz w:val="16"/>
                      <w:szCs w:val="16"/>
                    </w:rPr>
                    <w:t>N</w:t>
                  </w:r>
                </w:p>
              </w:tc>
              <w:tc>
                <w:tcPr>
                  <w:tcW w:w="2268" w:type="pct"/>
                  <w:vAlign w:val="bottom"/>
                </w:tcPr>
                <w:p w14:paraId="0BE51AC6" w14:textId="77777777" w:rsidR="00535DC5" w:rsidRPr="00225AA9" w:rsidRDefault="00535DC5" w:rsidP="00E7761D">
                  <w:pPr>
                    <w:spacing w:after="0" w:line="240" w:lineRule="auto"/>
                    <w:jc w:val="left"/>
                    <w:rPr>
                      <w:rFonts w:eastAsia="Calibri" w:cs="Segoe UI"/>
                      <w:sz w:val="16"/>
                      <w:szCs w:val="16"/>
                    </w:rPr>
                  </w:pPr>
                  <w:r w:rsidRPr="00225AA9">
                    <w:rPr>
                      <w:rFonts w:cs="Segoe UI"/>
                      <w:i/>
                      <w:iCs/>
                      <w:color w:val="000000"/>
                      <w:sz w:val="16"/>
                      <w:szCs w:val="16"/>
                    </w:rPr>
                    <w:t>Cielené deficity</w:t>
                  </w:r>
                </w:p>
              </w:tc>
              <w:tc>
                <w:tcPr>
                  <w:tcW w:w="491" w:type="pct"/>
                  <w:vAlign w:val="bottom"/>
                </w:tcPr>
                <w:p w14:paraId="6F40C93C" w14:textId="77777777" w:rsidR="00535DC5" w:rsidRPr="00225AA9" w:rsidRDefault="00535DC5" w:rsidP="00E7761D">
                  <w:pPr>
                    <w:spacing w:after="0" w:line="240" w:lineRule="auto"/>
                    <w:jc w:val="right"/>
                    <w:rPr>
                      <w:rFonts w:cs="Segoe UI"/>
                      <w:color w:val="000000"/>
                      <w:sz w:val="16"/>
                      <w:szCs w:val="16"/>
                    </w:rPr>
                  </w:pPr>
                </w:p>
              </w:tc>
              <w:tc>
                <w:tcPr>
                  <w:tcW w:w="491" w:type="pct"/>
                  <w:vAlign w:val="bottom"/>
                </w:tcPr>
                <w:p w14:paraId="2375028D" w14:textId="77777777" w:rsidR="00535DC5" w:rsidRPr="00225AA9" w:rsidRDefault="00535DC5" w:rsidP="00E7761D">
                  <w:pPr>
                    <w:spacing w:after="0" w:line="240" w:lineRule="auto"/>
                    <w:jc w:val="right"/>
                    <w:rPr>
                      <w:rFonts w:cs="Segoe UI"/>
                      <w:color w:val="000000"/>
                      <w:sz w:val="16"/>
                      <w:szCs w:val="16"/>
                    </w:rPr>
                  </w:pPr>
                </w:p>
              </w:tc>
              <w:tc>
                <w:tcPr>
                  <w:tcW w:w="491" w:type="pct"/>
                  <w:vAlign w:val="bottom"/>
                </w:tcPr>
                <w:p w14:paraId="5AEFA985" w14:textId="77777777" w:rsidR="00535DC5" w:rsidRPr="00225AA9" w:rsidRDefault="00535DC5" w:rsidP="00E7761D">
                  <w:pPr>
                    <w:spacing w:after="0" w:line="240" w:lineRule="auto"/>
                    <w:jc w:val="right"/>
                    <w:rPr>
                      <w:rFonts w:eastAsia="Calibri" w:cs="Segoe UI"/>
                      <w:sz w:val="16"/>
                      <w:szCs w:val="16"/>
                    </w:rPr>
                  </w:pPr>
                  <w:r w:rsidRPr="00225AA9">
                    <w:rPr>
                      <w:rFonts w:cs="Segoe UI"/>
                      <w:i/>
                      <w:iCs/>
                      <w:color w:val="000000"/>
                      <w:sz w:val="16"/>
                      <w:szCs w:val="16"/>
                    </w:rPr>
                    <w:t>-4,7%</w:t>
                  </w:r>
                </w:p>
              </w:tc>
              <w:tc>
                <w:tcPr>
                  <w:tcW w:w="491" w:type="pct"/>
                  <w:vAlign w:val="bottom"/>
                </w:tcPr>
                <w:p w14:paraId="37474C67" w14:textId="77777777" w:rsidR="00535DC5" w:rsidRPr="00225AA9" w:rsidRDefault="00535DC5" w:rsidP="00E7761D">
                  <w:pPr>
                    <w:spacing w:after="0" w:line="240" w:lineRule="auto"/>
                    <w:jc w:val="right"/>
                    <w:rPr>
                      <w:rFonts w:eastAsia="Calibri" w:cs="Segoe UI"/>
                      <w:sz w:val="16"/>
                      <w:szCs w:val="16"/>
                    </w:rPr>
                  </w:pPr>
                  <w:r w:rsidRPr="00225AA9">
                    <w:rPr>
                      <w:rFonts w:cs="Segoe UI"/>
                      <w:i/>
                      <w:iCs/>
                      <w:color w:val="000000"/>
                      <w:sz w:val="16"/>
                      <w:szCs w:val="16"/>
                    </w:rPr>
                    <w:t>-3,7%</w:t>
                  </w:r>
                </w:p>
              </w:tc>
              <w:tc>
                <w:tcPr>
                  <w:tcW w:w="492" w:type="pct"/>
                  <w:shd w:val="clear" w:color="auto" w:fill="auto"/>
                  <w:vAlign w:val="bottom"/>
                </w:tcPr>
                <w:p w14:paraId="454AD346" w14:textId="77777777" w:rsidR="00535DC5" w:rsidRPr="00225AA9" w:rsidRDefault="00535DC5" w:rsidP="00E7761D">
                  <w:pPr>
                    <w:spacing w:after="0" w:line="240" w:lineRule="auto"/>
                    <w:jc w:val="right"/>
                    <w:rPr>
                      <w:rFonts w:eastAsia="Calibri" w:cs="Segoe UI"/>
                      <w:sz w:val="16"/>
                      <w:szCs w:val="16"/>
                    </w:rPr>
                  </w:pPr>
                  <w:r w:rsidRPr="00225AA9">
                    <w:rPr>
                      <w:rFonts w:cs="Segoe UI"/>
                      <w:i/>
                      <w:iCs/>
                      <w:color w:val="000000"/>
                      <w:sz w:val="16"/>
                      <w:szCs w:val="16"/>
                    </w:rPr>
                    <w:t>-3,0%</w:t>
                  </w:r>
                </w:p>
              </w:tc>
            </w:tr>
            <w:tr w:rsidR="00535DC5" w:rsidRPr="00225AA9" w14:paraId="5B15C3E1" w14:textId="77777777" w:rsidTr="00E7761D">
              <w:trPr>
                <w:trHeight w:val="57"/>
                <w:jc w:val="center"/>
              </w:trPr>
              <w:tc>
                <w:tcPr>
                  <w:tcW w:w="276" w:type="pct"/>
                </w:tcPr>
                <w:p w14:paraId="7D1F01EE" w14:textId="77777777" w:rsidR="00535DC5" w:rsidRPr="00225AA9" w:rsidRDefault="00535DC5" w:rsidP="00E7761D">
                  <w:pPr>
                    <w:spacing w:after="0" w:line="240" w:lineRule="auto"/>
                    <w:jc w:val="left"/>
                    <w:rPr>
                      <w:rFonts w:cs="Segoe UI"/>
                      <w:i/>
                      <w:iCs/>
                      <w:color w:val="000000"/>
                      <w:sz w:val="16"/>
                      <w:szCs w:val="16"/>
                    </w:rPr>
                  </w:pPr>
                  <w:r w:rsidRPr="00225AA9">
                    <w:rPr>
                      <w:rFonts w:cs="Segoe UI"/>
                      <w:sz w:val="16"/>
                      <w:szCs w:val="16"/>
                    </w:rPr>
                    <w:t>O</w:t>
                  </w:r>
                </w:p>
              </w:tc>
              <w:tc>
                <w:tcPr>
                  <w:tcW w:w="2268" w:type="pct"/>
                  <w:vAlign w:val="bottom"/>
                </w:tcPr>
                <w:p w14:paraId="299A153A" w14:textId="77777777" w:rsidR="00535DC5" w:rsidRPr="00225AA9" w:rsidRDefault="00535DC5" w:rsidP="00E7761D">
                  <w:pPr>
                    <w:spacing w:after="0" w:line="240" w:lineRule="auto"/>
                    <w:jc w:val="left"/>
                    <w:rPr>
                      <w:rFonts w:eastAsia="Calibri" w:cs="Segoe UI"/>
                      <w:sz w:val="16"/>
                      <w:szCs w:val="16"/>
                    </w:rPr>
                  </w:pPr>
                  <w:r w:rsidRPr="00225AA9">
                    <w:rPr>
                      <w:rFonts w:cs="Segoe UI"/>
                      <w:i/>
                      <w:iCs/>
                      <w:color w:val="000000"/>
                      <w:sz w:val="16"/>
                      <w:szCs w:val="16"/>
                    </w:rPr>
                    <w:t>Deficity zodpovedajúce navrhnutej fiškálnej trajektórii</w:t>
                  </w:r>
                </w:p>
              </w:tc>
              <w:tc>
                <w:tcPr>
                  <w:tcW w:w="491" w:type="pct"/>
                  <w:vAlign w:val="bottom"/>
                </w:tcPr>
                <w:p w14:paraId="172D1F06" w14:textId="77777777" w:rsidR="00535DC5" w:rsidRPr="00225AA9" w:rsidRDefault="00535DC5" w:rsidP="00E7761D">
                  <w:pPr>
                    <w:spacing w:after="0" w:line="240" w:lineRule="auto"/>
                    <w:jc w:val="right"/>
                    <w:rPr>
                      <w:rFonts w:cs="Segoe UI"/>
                      <w:color w:val="000000"/>
                      <w:sz w:val="16"/>
                      <w:szCs w:val="16"/>
                    </w:rPr>
                  </w:pPr>
                </w:p>
              </w:tc>
              <w:tc>
                <w:tcPr>
                  <w:tcW w:w="491" w:type="pct"/>
                  <w:vAlign w:val="bottom"/>
                </w:tcPr>
                <w:p w14:paraId="390BF190" w14:textId="77777777" w:rsidR="00535DC5" w:rsidRPr="00225AA9" w:rsidRDefault="00535DC5" w:rsidP="00E7761D">
                  <w:pPr>
                    <w:spacing w:after="0" w:line="240" w:lineRule="auto"/>
                    <w:jc w:val="right"/>
                    <w:rPr>
                      <w:rFonts w:cs="Segoe UI"/>
                      <w:color w:val="000000"/>
                      <w:sz w:val="16"/>
                      <w:szCs w:val="16"/>
                    </w:rPr>
                  </w:pPr>
                </w:p>
              </w:tc>
              <w:tc>
                <w:tcPr>
                  <w:tcW w:w="491" w:type="pct"/>
                  <w:vAlign w:val="bottom"/>
                </w:tcPr>
                <w:p w14:paraId="1A3EE6A0" w14:textId="77777777" w:rsidR="00535DC5" w:rsidRPr="00225AA9" w:rsidRDefault="00535DC5" w:rsidP="00E7761D">
                  <w:pPr>
                    <w:spacing w:after="0" w:line="240" w:lineRule="auto"/>
                    <w:jc w:val="right"/>
                    <w:rPr>
                      <w:rFonts w:eastAsia="Calibri" w:cs="Segoe UI"/>
                      <w:sz w:val="16"/>
                      <w:szCs w:val="16"/>
                    </w:rPr>
                  </w:pPr>
                  <w:r w:rsidRPr="00225AA9">
                    <w:rPr>
                      <w:rFonts w:cs="Segoe UI"/>
                      <w:i/>
                      <w:iCs/>
                      <w:color w:val="000000"/>
                      <w:sz w:val="16"/>
                      <w:szCs w:val="16"/>
                    </w:rPr>
                    <w:t>-4,7%</w:t>
                  </w:r>
                </w:p>
              </w:tc>
              <w:tc>
                <w:tcPr>
                  <w:tcW w:w="491" w:type="pct"/>
                  <w:vAlign w:val="bottom"/>
                </w:tcPr>
                <w:p w14:paraId="7A223C46" w14:textId="77777777" w:rsidR="00535DC5" w:rsidRPr="00225AA9" w:rsidRDefault="00535DC5" w:rsidP="00E7761D">
                  <w:pPr>
                    <w:spacing w:after="0" w:line="240" w:lineRule="auto"/>
                    <w:jc w:val="right"/>
                    <w:rPr>
                      <w:rFonts w:eastAsia="Calibri" w:cs="Segoe UI"/>
                      <w:sz w:val="16"/>
                      <w:szCs w:val="16"/>
                    </w:rPr>
                  </w:pPr>
                  <w:r w:rsidRPr="00225AA9">
                    <w:rPr>
                      <w:rFonts w:cs="Segoe UI"/>
                      <w:i/>
                      <w:iCs/>
                      <w:color w:val="000000"/>
                      <w:sz w:val="16"/>
                      <w:szCs w:val="16"/>
                    </w:rPr>
                    <w:t>-3,9%</w:t>
                  </w:r>
                </w:p>
              </w:tc>
              <w:tc>
                <w:tcPr>
                  <w:tcW w:w="492" w:type="pct"/>
                  <w:shd w:val="clear" w:color="auto" w:fill="auto"/>
                  <w:vAlign w:val="bottom"/>
                </w:tcPr>
                <w:p w14:paraId="0E6F3375" w14:textId="77777777" w:rsidR="00535DC5" w:rsidRPr="00225AA9" w:rsidRDefault="00535DC5" w:rsidP="00E7761D">
                  <w:pPr>
                    <w:spacing w:after="0" w:line="240" w:lineRule="auto"/>
                    <w:jc w:val="right"/>
                    <w:rPr>
                      <w:rFonts w:eastAsia="Calibri" w:cs="Segoe UI"/>
                      <w:sz w:val="16"/>
                      <w:szCs w:val="16"/>
                    </w:rPr>
                  </w:pPr>
                  <w:r w:rsidRPr="00225AA9">
                    <w:rPr>
                      <w:rFonts w:cs="Segoe UI"/>
                      <w:i/>
                      <w:iCs/>
                      <w:color w:val="000000"/>
                      <w:sz w:val="16"/>
                      <w:szCs w:val="16"/>
                    </w:rPr>
                    <w:t>-3,6%</w:t>
                  </w:r>
                </w:p>
              </w:tc>
            </w:tr>
            <w:tr w:rsidR="00535DC5" w:rsidRPr="00225AA9" w14:paraId="34E30C21" w14:textId="77777777" w:rsidTr="00E7761D">
              <w:trPr>
                <w:trHeight w:val="57"/>
                <w:jc w:val="center"/>
              </w:trPr>
              <w:tc>
                <w:tcPr>
                  <w:tcW w:w="276" w:type="pct"/>
                  <w:tcBorders>
                    <w:bottom w:val="single" w:sz="4" w:space="0" w:color="314364"/>
                  </w:tcBorders>
                </w:tcPr>
                <w:p w14:paraId="6D08674D" w14:textId="77777777" w:rsidR="00535DC5" w:rsidRPr="00225AA9" w:rsidRDefault="00535DC5" w:rsidP="00E7761D">
                  <w:pPr>
                    <w:spacing w:after="0" w:line="240" w:lineRule="auto"/>
                    <w:jc w:val="left"/>
                    <w:rPr>
                      <w:rFonts w:cs="Segoe UI"/>
                      <w:color w:val="000000"/>
                      <w:sz w:val="16"/>
                      <w:szCs w:val="16"/>
                    </w:rPr>
                  </w:pPr>
                  <w:r w:rsidRPr="00225AA9">
                    <w:rPr>
                      <w:rFonts w:cs="Segoe UI"/>
                      <w:sz w:val="16"/>
                      <w:szCs w:val="16"/>
                    </w:rPr>
                    <w:t>P</w:t>
                  </w:r>
                </w:p>
              </w:tc>
              <w:tc>
                <w:tcPr>
                  <w:tcW w:w="2268" w:type="pct"/>
                  <w:tcBorders>
                    <w:bottom w:val="single" w:sz="4" w:space="0" w:color="314364"/>
                  </w:tcBorders>
                  <w:vAlign w:val="bottom"/>
                </w:tcPr>
                <w:p w14:paraId="766FE9A2" w14:textId="77777777" w:rsidR="00535DC5" w:rsidRPr="00225AA9" w:rsidRDefault="00535DC5" w:rsidP="00E7761D">
                  <w:pPr>
                    <w:spacing w:after="0" w:line="240" w:lineRule="auto"/>
                    <w:jc w:val="left"/>
                    <w:rPr>
                      <w:rFonts w:eastAsia="Calibri" w:cs="Segoe UI"/>
                      <w:i/>
                      <w:sz w:val="16"/>
                      <w:szCs w:val="16"/>
                    </w:rPr>
                  </w:pPr>
                  <w:r w:rsidRPr="00225AA9">
                    <w:rPr>
                      <w:rFonts w:cs="Segoe UI"/>
                      <w:color w:val="000000"/>
                      <w:sz w:val="16"/>
                      <w:szCs w:val="16"/>
                    </w:rPr>
                    <w:t>Potreba opatrení</w:t>
                  </w:r>
                </w:p>
              </w:tc>
              <w:tc>
                <w:tcPr>
                  <w:tcW w:w="491" w:type="pct"/>
                  <w:tcBorders>
                    <w:bottom w:val="single" w:sz="4" w:space="0" w:color="314364"/>
                  </w:tcBorders>
                  <w:vAlign w:val="bottom"/>
                </w:tcPr>
                <w:p w14:paraId="3E62E503" w14:textId="77777777" w:rsidR="00535DC5" w:rsidRPr="00225AA9" w:rsidRDefault="00535DC5" w:rsidP="00E7761D">
                  <w:pPr>
                    <w:spacing w:after="0" w:line="240" w:lineRule="auto"/>
                    <w:jc w:val="right"/>
                    <w:rPr>
                      <w:rFonts w:cs="Segoe UI"/>
                      <w:b/>
                      <w:bCs/>
                      <w:color w:val="000000"/>
                      <w:sz w:val="16"/>
                      <w:szCs w:val="16"/>
                    </w:rPr>
                  </w:pPr>
                </w:p>
              </w:tc>
              <w:tc>
                <w:tcPr>
                  <w:tcW w:w="491" w:type="pct"/>
                  <w:tcBorders>
                    <w:bottom w:val="single" w:sz="4" w:space="0" w:color="314364"/>
                  </w:tcBorders>
                  <w:vAlign w:val="bottom"/>
                </w:tcPr>
                <w:p w14:paraId="72F872FD" w14:textId="77777777" w:rsidR="00535DC5" w:rsidRPr="00225AA9" w:rsidRDefault="00535DC5" w:rsidP="00E7761D">
                  <w:pPr>
                    <w:spacing w:after="0" w:line="240" w:lineRule="auto"/>
                    <w:jc w:val="right"/>
                    <w:rPr>
                      <w:rFonts w:cs="Segoe UI"/>
                      <w:b/>
                      <w:bCs/>
                      <w:color w:val="000000"/>
                      <w:sz w:val="16"/>
                      <w:szCs w:val="16"/>
                    </w:rPr>
                  </w:pPr>
                </w:p>
              </w:tc>
              <w:tc>
                <w:tcPr>
                  <w:tcW w:w="491" w:type="pct"/>
                  <w:tcBorders>
                    <w:bottom w:val="single" w:sz="4" w:space="0" w:color="314364"/>
                  </w:tcBorders>
                  <w:vAlign w:val="bottom"/>
                </w:tcPr>
                <w:p w14:paraId="40603804" w14:textId="77777777" w:rsidR="00535DC5" w:rsidRPr="00225AA9" w:rsidRDefault="00535DC5" w:rsidP="00E7761D">
                  <w:pPr>
                    <w:spacing w:after="0" w:line="240" w:lineRule="auto"/>
                    <w:jc w:val="right"/>
                    <w:rPr>
                      <w:rFonts w:eastAsia="Calibri" w:cs="Segoe UI"/>
                      <w:sz w:val="16"/>
                      <w:szCs w:val="16"/>
                    </w:rPr>
                  </w:pPr>
                  <w:r w:rsidRPr="00225AA9">
                    <w:rPr>
                      <w:rFonts w:cs="Segoe UI"/>
                      <w:color w:val="000000"/>
                      <w:sz w:val="16"/>
                      <w:szCs w:val="16"/>
                    </w:rPr>
                    <w:t>-87</w:t>
                  </w:r>
                </w:p>
              </w:tc>
              <w:tc>
                <w:tcPr>
                  <w:tcW w:w="491" w:type="pct"/>
                  <w:tcBorders>
                    <w:bottom w:val="single" w:sz="4" w:space="0" w:color="314364"/>
                  </w:tcBorders>
                  <w:vAlign w:val="bottom"/>
                </w:tcPr>
                <w:p w14:paraId="4651BEB4" w14:textId="77777777" w:rsidR="00535DC5" w:rsidRPr="00225AA9" w:rsidRDefault="00535DC5" w:rsidP="00E7761D">
                  <w:pPr>
                    <w:spacing w:after="0" w:line="240" w:lineRule="auto"/>
                    <w:jc w:val="right"/>
                    <w:rPr>
                      <w:rFonts w:eastAsia="Calibri" w:cs="Segoe UI"/>
                      <w:sz w:val="16"/>
                      <w:szCs w:val="16"/>
                    </w:rPr>
                  </w:pPr>
                  <w:r w:rsidRPr="00225AA9">
                    <w:rPr>
                      <w:rFonts w:cs="Segoe UI"/>
                      <w:color w:val="000000"/>
                      <w:sz w:val="16"/>
                      <w:szCs w:val="16"/>
                    </w:rPr>
                    <w:t>345</w:t>
                  </w:r>
                </w:p>
              </w:tc>
              <w:tc>
                <w:tcPr>
                  <w:tcW w:w="492" w:type="pct"/>
                  <w:tcBorders>
                    <w:bottom w:val="single" w:sz="4" w:space="0" w:color="314364"/>
                  </w:tcBorders>
                  <w:shd w:val="clear" w:color="auto" w:fill="auto"/>
                  <w:vAlign w:val="bottom"/>
                </w:tcPr>
                <w:p w14:paraId="490DE3A5" w14:textId="77777777" w:rsidR="00535DC5" w:rsidRPr="00225AA9" w:rsidRDefault="00535DC5" w:rsidP="00E7761D">
                  <w:pPr>
                    <w:spacing w:after="0" w:line="240" w:lineRule="auto"/>
                    <w:jc w:val="right"/>
                    <w:rPr>
                      <w:rFonts w:eastAsia="Calibri" w:cs="Segoe UI"/>
                      <w:sz w:val="16"/>
                      <w:szCs w:val="16"/>
                    </w:rPr>
                  </w:pPr>
                  <w:r w:rsidRPr="00225AA9">
                    <w:rPr>
                      <w:rFonts w:cs="Segoe UI"/>
                      <w:color w:val="000000"/>
                      <w:sz w:val="16"/>
                      <w:szCs w:val="16"/>
                    </w:rPr>
                    <w:t>1 939</w:t>
                  </w:r>
                </w:p>
              </w:tc>
            </w:tr>
          </w:tbl>
          <w:p w14:paraId="05552A01" w14:textId="1B01D9D1" w:rsidR="00535DC5" w:rsidRDefault="00535DC5" w:rsidP="00E7761D">
            <w:pPr>
              <w:rPr>
                <w:rFonts w:cs="Times New Roman"/>
                <w:i/>
                <w:color w:val="314364"/>
                <w:sz w:val="16"/>
              </w:rPr>
            </w:pPr>
            <w:r>
              <w:rPr>
                <w:rFonts w:cs="Times New Roman"/>
                <w:i/>
                <w:color w:val="314364"/>
                <w:sz w:val="16"/>
              </w:rPr>
              <w:t>Zdroj: MF SR</w:t>
            </w:r>
            <w:r w:rsidR="00D72E1C">
              <w:rPr>
                <w:rFonts w:cs="Times New Roman"/>
                <w:i/>
                <w:color w:val="314364"/>
                <w:sz w:val="16"/>
              </w:rPr>
              <w:t>, údaje za 2023 podľa jarnej notifikácie</w:t>
            </w:r>
            <w:r>
              <w:rPr>
                <w:rFonts w:cs="Times New Roman"/>
                <w:i/>
                <w:color w:val="314364"/>
                <w:sz w:val="16"/>
              </w:rPr>
              <w:t xml:space="preserve">. </w:t>
            </w:r>
            <w:r w:rsidRPr="005055A8">
              <w:rPr>
                <w:rFonts w:cs="Times New Roman"/>
                <w:i/>
                <w:color w:val="314364"/>
                <w:sz w:val="16"/>
              </w:rPr>
              <w:t>* Rast v 2024 podľa národného procesu vrátane spolufinancovania. V 2024 imputovaný CEF za 70 mil. eur pre rámec 2025</w:t>
            </w:r>
            <w:r>
              <w:rPr>
                <w:rFonts w:cs="Times New Roman"/>
                <w:i/>
                <w:color w:val="314364"/>
                <w:sz w:val="16"/>
              </w:rPr>
              <w:t xml:space="preserve"> – </w:t>
            </w:r>
            <w:r w:rsidRPr="005055A8">
              <w:rPr>
                <w:rFonts w:cs="Times New Roman"/>
                <w:i/>
                <w:color w:val="314364"/>
                <w:sz w:val="16"/>
              </w:rPr>
              <w:t>2027, od 2025 bez spolufinancovania.</w:t>
            </w:r>
            <w:r>
              <w:rPr>
                <w:rFonts w:cs="Times New Roman"/>
                <w:i/>
                <w:color w:val="314364"/>
                <w:sz w:val="16"/>
              </w:rPr>
              <w:t xml:space="preserve"> </w:t>
            </w:r>
            <w:r w:rsidRPr="005055A8">
              <w:rPr>
                <w:rFonts w:cs="Times New Roman"/>
                <w:i/>
                <w:color w:val="314364"/>
                <w:sz w:val="16"/>
              </w:rPr>
              <w:t>** Cyklické výdavky v nezamestnanosti závisia od produkčnej medzery a senzitivity výdavkov na output gap v metodike EK.</w:t>
            </w:r>
          </w:p>
          <w:p w14:paraId="2F391DF0" w14:textId="4F9A9D20" w:rsidR="00535DC5" w:rsidRDefault="00535DC5" w:rsidP="00E7761D">
            <w:pPr>
              <w:spacing w:before="120"/>
              <w:ind w:right="163"/>
              <w:rPr>
                <w:rFonts w:cs="Times New Roman"/>
                <w:sz w:val="18"/>
              </w:rPr>
            </w:pPr>
            <w:r>
              <w:rPr>
                <w:rFonts w:cs="Times New Roman"/>
                <w:sz w:val="18"/>
              </w:rPr>
              <w:t xml:space="preserve">LVV na 2025 vychádza z hodnôt za 2023, keď z 58,9 mld. eur celkových výdavkov (C) boli odpočítané vybrané položky (D+E+F+G+H) na sumu </w:t>
            </w:r>
            <w:r w:rsidRPr="009B2F5D">
              <w:rPr>
                <w:rFonts w:cs="Times New Roman"/>
                <w:sz w:val="18"/>
              </w:rPr>
              <w:t xml:space="preserve">53,5 </w:t>
            </w:r>
            <w:r>
              <w:rPr>
                <w:rFonts w:cs="Times New Roman"/>
                <w:sz w:val="18"/>
              </w:rPr>
              <w:t xml:space="preserve">mld. eur primárnych výdavkov (I). Tieto mohli v roku 2024 vzrásť maximálne o 5,7 % a podľa národného fiškálneho rámca (K) o 5,3 %, čo spolu s príjmovými opatreniami (J) dáva primárne výdavky (I) vo výške 57,1 mld. eur. Rozdiel oproti schválenému LVV na 2024 vo výške 57,7 mld. eur je daný započítavaním spolufinancovania (H) na úrovni 512 mil. eur a imputovania CEF za 70 mil. eur. </w:t>
            </w:r>
          </w:p>
          <w:p w14:paraId="3D3E5528" w14:textId="77777777" w:rsidR="00535DC5" w:rsidRDefault="00535DC5" w:rsidP="00E7761D">
            <w:pPr>
              <w:spacing w:before="120"/>
              <w:ind w:right="163"/>
              <w:rPr>
                <w:rFonts w:cs="Times New Roman"/>
                <w:sz w:val="18"/>
              </w:rPr>
            </w:pPr>
            <w:r>
              <w:rPr>
                <w:rFonts w:cs="Times New Roman"/>
                <w:sz w:val="18"/>
              </w:rPr>
              <w:t xml:space="preserve">Národne financované primárne výdavky (I) v 2025 môžu stúpnuť maximálne (L) o 3,8 % oproti 2024. Celkový rast primárnych výdavkov (I) z 57,1 mld. eur v 2024 na 61,1 mld. eur v 2025, t. j. o 6,9 %, bol možný cez príjmové </w:t>
            </w:r>
            <w:r>
              <w:rPr>
                <w:rFonts w:cs="Times New Roman"/>
                <w:sz w:val="18"/>
              </w:rPr>
              <w:lastRenderedPageBreak/>
              <w:t xml:space="preserve">opatrenia (J) – konsolidácii vo výške 1,8 mld. eur a je tak dosiahnutý rozpočtovaný rast čistých výdavkov (K) o  3,7 %. LVV (M) na 2025 predstavuje potom len mierne navýšené primárne výdavky (I) o 87 mil. eur, o 0,14 %. </w:t>
            </w:r>
          </w:p>
          <w:p w14:paraId="1B55B8A0" w14:textId="77777777" w:rsidR="00535DC5" w:rsidRPr="00966923" w:rsidRDefault="00535DC5" w:rsidP="00E7761D">
            <w:pPr>
              <w:rPr>
                <w:rFonts w:cs="Times New Roman"/>
                <w:color w:val="314364"/>
                <w:sz w:val="16"/>
              </w:rPr>
            </w:pPr>
            <w:r w:rsidRPr="00527E39">
              <w:rPr>
                <w:rFonts w:cs="Times New Roman"/>
                <w:sz w:val="18"/>
              </w:rPr>
              <w:t xml:space="preserve">LVV </w:t>
            </w:r>
            <w:r>
              <w:rPr>
                <w:rFonts w:cs="Times New Roman"/>
                <w:sz w:val="18"/>
              </w:rPr>
              <w:t xml:space="preserve">na roky 2026 a 2027 vychádzajú z potreby ďalšieho obmedzovania výdavkov (P) alebo ďalších príjmových opatrení (J). Pre rok 2026 sú stanovené na základe primárnych výdavkov (I) za rok 2025 vo výške 61,1 mld. eur navýšených o príjmové opatrenia (J) za 0,5 mld. a fiškálnu trajektóriu (L) o 0,9 % na hodnotu 62,1 mld. eur. LVV na rok 2027 vychádza z LVV (M) na 2026 navýšený o fiškálnu trajektóriu a takmer nulové príjmové opatrenia (J) na hodnotu 63,1 mld. eur. </w:t>
            </w:r>
          </w:p>
        </w:tc>
      </w:tr>
    </w:tbl>
    <w:p w14:paraId="108EB8D4" w14:textId="77777777" w:rsidR="009A57EB" w:rsidRDefault="009A57EB" w:rsidP="00B46458">
      <w:pPr>
        <w:spacing w:before="120"/>
      </w:pPr>
      <w:r w:rsidRPr="00352EC2">
        <w:rPr>
          <w:b/>
        </w:rPr>
        <w:t xml:space="preserve">Rozpočtový cyklus 2025 až 2027 je prvým kompletným, v ktorom sa aplikujú novelizované rozpočtové pravidlá, vrátane </w:t>
      </w:r>
      <w:r>
        <w:rPr>
          <w:b/>
        </w:rPr>
        <w:t>LVV</w:t>
      </w:r>
      <w:r w:rsidRPr="00352EC2">
        <w:rPr>
          <w:b/>
        </w:rPr>
        <w:t>.</w:t>
      </w:r>
      <w:r>
        <w:t xml:space="preserve"> Výpočet LVV sa oproti predchádzajúcim rokom zásadne zmenil a zjednodušil. Limit vychádza z medziročného rastu čistých výdavkov, počíta ho MF SR v súlade s MTP. Na rok 2025 sa takto stanovuje vo výške 61 150,2</w:t>
      </w:r>
      <w:r w:rsidRPr="00283EAC">
        <w:t xml:space="preserve"> </w:t>
      </w:r>
      <w:r>
        <w:t xml:space="preserve">mil. </w:t>
      </w:r>
      <w:r w:rsidRPr="00283EAC">
        <w:t>eur</w:t>
      </w:r>
      <w:r>
        <w:t>, na rok 2026 v sume 62 120,3 mil.</w:t>
      </w:r>
      <w:r w:rsidRPr="00283EAC">
        <w:t xml:space="preserve"> eur</w:t>
      </w:r>
      <w:r>
        <w:t xml:space="preserve"> a na 2027 v sume 63 109,5 mil.</w:t>
      </w:r>
      <w:r w:rsidRPr="00283EAC">
        <w:t xml:space="preserve"> eur</w:t>
      </w:r>
      <w:r>
        <w:t>. Podrobný popis postupu výpočtu sa nachádza v boxe 3.</w:t>
      </w:r>
    </w:p>
    <w:p w14:paraId="5F41F594" w14:textId="53FFDE62" w:rsidR="00B46458" w:rsidRDefault="00B46458" w:rsidP="00B46458">
      <w:pPr>
        <w:spacing w:before="120"/>
      </w:pPr>
      <w:r w:rsidRPr="009A57EB">
        <w:rPr>
          <w:b/>
        </w:rPr>
        <w:t>Schválený LVV sa zároveň v rozpočte rozdeľuje na limity pre jednotlivé subjekty VS a ďalšie súčasti RVS</w:t>
      </w:r>
      <w:r>
        <w:t xml:space="preserve"> </w:t>
      </w:r>
      <w:r w:rsidRPr="002E5B13">
        <w:t xml:space="preserve">(tabuľka </w:t>
      </w:r>
      <w:r w:rsidR="008E65AC">
        <w:t>1</w:t>
      </w:r>
      <w:r w:rsidR="002B1C1E">
        <w:t>7</w:t>
      </w:r>
      <w:r>
        <w:t xml:space="preserve"> </w:t>
      </w:r>
      <w:r w:rsidR="001A1A1B">
        <w:t>a </w:t>
      </w:r>
      <w:r w:rsidR="008E65AC">
        <w:t>1</w:t>
      </w:r>
      <w:r w:rsidR="002B1C1E">
        <w:t>8</w:t>
      </w:r>
      <w:r w:rsidR="001A1A1B">
        <w:t xml:space="preserve"> </w:t>
      </w:r>
      <w:r>
        <w:t>v prílohe). V roku 2025 pripadá najväčšia časť zo 61,1 mld. eur celkového LVV na ŠR s 23,5 mld. eur, čiže 38,4 %. Limit pre S</w:t>
      </w:r>
      <w:r w:rsidR="00573DFA">
        <w:t>P</w:t>
      </w:r>
      <w:r>
        <w:t xml:space="preserve"> je 14,7 mld. eur, čo zodpovedá 24,1 % celkového LVV. Na treťom mieste sú obce so 6,5 mld. eur (10,6 %) a na šiestom mieste VÚC s 1,6 mld. eur (2,6 %). Medzi nimi je </w:t>
      </w:r>
      <w:r w:rsidR="00573DFA">
        <w:t>VZP</w:t>
      </w:r>
      <w:r>
        <w:t xml:space="preserve"> s limitom 5,8 mld. eur (9,5 %) a </w:t>
      </w:r>
      <w:r w:rsidR="00573DFA">
        <w:t>ZZ</w:t>
      </w:r>
      <w:r w:rsidRPr="00D31FAA">
        <w:t xml:space="preserve"> zaradené v</w:t>
      </w:r>
      <w:r>
        <w:t> </w:t>
      </w:r>
      <w:r w:rsidRPr="00D31FAA">
        <w:t>ústrednej správe</w:t>
      </w:r>
      <w:r>
        <w:t xml:space="preserve"> s 3 mld. eur (5 % celkového LVV).</w:t>
      </w:r>
    </w:p>
    <w:p w14:paraId="1AEBAD67" w14:textId="215F4760" w:rsidR="00691C61" w:rsidRDefault="00691C61" w:rsidP="00B46458">
      <w:pPr>
        <w:pStyle w:val="Nadpis2"/>
      </w:pPr>
      <w:bookmarkStart w:id="21" w:name="_Toc182559182"/>
      <w:r w:rsidRPr="00432AD8">
        <w:t>Fiškálny rámec návrhu RVS</w:t>
      </w:r>
      <w:bookmarkEnd w:id="12"/>
      <w:bookmarkEnd w:id="21"/>
    </w:p>
    <w:p w14:paraId="765ED3AF" w14:textId="5AD381D3" w:rsidR="00AF0505" w:rsidRDefault="00AB6CA8" w:rsidP="00AF0505">
      <w:r w:rsidRPr="00885172">
        <w:rPr>
          <w:b/>
        </w:rPr>
        <w:t>Podľa návrhu RVS plánuje vláda SR znížiť schodok rozpočtu na úroveň 4,72 % HDP</w:t>
      </w:r>
      <w:r>
        <w:rPr>
          <w:b/>
        </w:rPr>
        <w:t xml:space="preserve"> </w:t>
      </w:r>
      <w:r>
        <w:t xml:space="preserve">(graf </w:t>
      </w:r>
      <w:r w:rsidR="00D95FB8">
        <w:t>1</w:t>
      </w:r>
      <w:r w:rsidR="008E65AC">
        <w:t>3</w:t>
      </w:r>
      <w:r>
        <w:t>). Vláda si na základe fiškálnych pravidiel EÚ v </w:t>
      </w:r>
      <w:r w:rsidR="00094707">
        <w:t>MTP</w:t>
      </w:r>
      <w:r>
        <w:t xml:space="preserve"> stanovila trajektóriu rastu čistých výdavkov na </w:t>
      </w:r>
      <w:r w:rsidR="00266EF7">
        <w:t>štyri</w:t>
      </w:r>
      <w:r>
        <w:t xml:space="preserve"> roky. Táto stratégia by mala viesť k zastaveniu rastu zadlženia do roku 2027. Vzhľadom na nastavené rozpočtové ciele tento prístup umožňuje dosiahnuť plánovaný deficit</w:t>
      </w:r>
      <w:r w:rsidR="00AF0505" w:rsidRPr="00AF0505">
        <w:t xml:space="preserve"> </w:t>
      </w:r>
      <w:r w:rsidR="00AF0505">
        <w:t>a splnenie rozpočtových cieľov by mohlo viesť  k zlepšeniu dlhodobej udržateľnosti (ukazovateľ S2) aj podľa RRZ.</w:t>
      </w:r>
      <w:r w:rsidR="00AF0505">
        <w:rPr>
          <w:rStyle w:val="Odkaznapoznmkupodiarou"/>
        </w:rPr>
        <w:footnoteReference w:id="27"/>
      </w:r>
    </w:p>
    <w:p w14:paraId="47492116" w14:textId="300C107C" w:rsidR="00AB6CA8" w:rsidRDefault="00AB6CA8" w:rsidP="00AB6CA8">
      <w:r w:rsidRPr="00EA714A">
        <w:rPr>
          <w:b/>
        </w:rPr>
        <w:t>Hoci návrh RVS počíta s poklesom deficitu k 3 % HDP do roku 2027, vláda uvádza konkrétne kroky, ako sa k tomuto cieľu chce dopracovať</w:t>
      </w:r>
      <w:r w:rsidR="00AF0505">
        <w:rPr>
          <w:b/>
        </w:rPr>
        <w:t xml:space="preserve"> len pre rok 2025</w:t>
      </w:r>
      <w:r w:rsidRPr="00EA714A">
        <w:rPr>
          <w:b/>
        </w:rPr>
        <w:t xml:space="preserve">. </w:t>
      </w:r>
      <w:r>
        <w:t xml:space="preserve">Pri súčasnom nastavení konsolidačných opatrení a očakávanom raste príjmov a výdavkov </w:t>
      </w:r>
      <w:r w:rsidR="00E84C20">
        <w:t xml:space="preserve">je tento </w:t>
      </w:r>
      <w:r>
        <w:t xml:space="preserve">cieľ </w:t>
      </w:r>
      <w:r w:rsidR="00E84C20">
        <w:t>ťažko dosiahnuteľný</w:t>
      </w:r>
      <w:r>
        <w:t xml:space="preserve">. Rozpočtové opatrenia pre roky 2026 a 2027 totiž naznačujú vyšší deficit oproti cieľu, a to o 0,4 %, resp. 1,9 % HDP. Bez dodatočných </w:t>
      </w:r>
      <w:r w:rsidR="00E84C20">
        <w:t>opatrení</w:t>
      </w:r>
      <w:r>
        <w:t xml:space="preserve"> tak zostáva plán poklesu deficitu nejasný a nedostatočný.</w:t>
      </w:r>
    </w:p>
    <w:p w14:paraId="5A2DC65E" w14:textId="598B4D63" w:rsidR="00966EF9" w:rsidRPr="00972B28" w:rsidRDefault="00966EF9" w:rsidP="00966EF9">
      <w:pPr>
        <w:pStyle w:val="Popis"/>
        <w:keepNext/>
        <w:rPr>
          <w:color w:val="314364"/>
        </w:rPr>
      </w:pPr>
      <w:r w:rsidRPr="00987D5D">
        <w:rPr>
          <w:color w:val="314364"/>
        </w:rPr>
        <w:t xml:space="preserve">Graf </w:t>
      </w:r>
      <w:r>
        <w:rPr>
          <w:color w:val="314364"/>
        </w:rPr>
        <w:t>1</w:t>
      </w:r>
      <w:r w:rsidR="008E65AC">
        <w:rPr>
          <w:color w:val="314364"/>
        </w:rPr>
        <w:t>3</w:t>
      </w:r>
      <w:r>
        <w:rPr>
          <w:color w:val="314364"/>
        </w:rPr>
        <w:t>: Vývoj schodku VS v rokoch 2022 až 2027 (v % HDP)</w:t>
      </w: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70"/>
      </w:tblGrid>
      <w:tr w:rsidR="00966EF9" w:rsidRPr="000F43AE" w14:paraId="46D061DE" w14:textId="77777777" w:rsidTr="00B571E8">
        <w:trPr>
          <w:trHeight w:val="2835"/>
        </w:trPr>
        <w:tc>
          <w:tcPr>
            <w:tcW w:w="9070" w:type="dxa"/>
            <w:tcBorders>
              <w:top w:val="single" w:sz="4" w:space="0" w:color="314364"/>
              <w:bottom w:val="single" w:sz="4" w:space="0" w:color="314364"/>
            </w:tcBorders>
            <w:vAlign w:val="center"/>
          </w:tcPr>
          <w:p w14:paraId="291FDF90" w14:textId="77777777" w:rsidR="00966EF9" w:rsidRPr="000F43AE" w:rsidRDefault="00966EF9" w:rsidP="00B571E8">
            <w:pPr>
              <w:spacing w:after="0"/>
              <w:rPr>
                <w:b/>
                <w:color w:val="576431"/>
                <w:highlight w:val="yellow"/>
              </w:rPr>
            </w:pPr>
            <w:r>
              <w:rPr>
                <w:noProof/>
                <w:lang w:eastAsia="sk-SK"/>
              </w:rPr>
              <w:drawing>
                <wp:inline distT="0" distB="0" distL="0" distR="0" wp14:anchorId="2203CDCD" wp14:editId="06FB0000">
                  <wp:extent cx="5760000" cy="1800000"/>
                  <wp:effectExtent l="0" t="0" r="0" b="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14:paraId="43475139" w14:textId="04ECDA39" w:rsidR="00966EF9" w:rsidRDefault="00966EF9" w:rsidP="009545CC">
      <w:pPr>
        <w:pStyle w:val="Zdroj"/>
        <w:spacing w:after="0"/>
      </w:pPr>
      <w:r>
        <w:t>Zdroj: Návrh RVS 2025 až 2027.</w:t>
      </w:r>
    </w:p>
    <w:p w14:paraId="0D7C61A6" w14:textId="3C610D99" w:rsidR="009545CC" w:rsidRDefault="009545CC" w:rsidP="00966EF9">
      <w:pPr>
        <w:pStyle w:val="Zdroj"/>
      </w:pPr>
      <w:r>
        <w:lastRenderedPageBreak/>
        <w:t xml:space="preserve">Poznámka: </w:t>
      </w:r>
      <w:r w:rsidRPr="009545CC">
        <w:t>V rokoch 2026 a 2027 ide o rozdiel medzi cieľom vlády a potrebou dodatočnej konsolidácie, v roku 2026 o 0,4 % HDP a v roku 2027 o 1,9 % HDP.</w:t>
      </w:r>
    </w:p>
    <w:p w14:paraId="544D6C6B" w14:textId="5AC270D0" w:rsidR="00A923B2" w:rsidRPr="00253C64" w:rsidRDefault="00A923B2" w:rsidP="00A923B2">
      <w:r w:rsidRPr="002806A2">
        <w:rPr>
          <w:b/>
        </w:rPr>
        <w:t xml:space="preserve">Schodok </w:t>
      </w:r>
      <w:r>
        <w:rPr>
          <w:b/>
        </w:rPr>
        <w:t>VS</w:t>
      </w:r>
      <w:r w:rsidRPr="002806A2">
        <w:rPr>
          <w:b/>
        </w:rPr>
        <w:t xml:space="preserve"> v roku 2023 medziročne vzrástol viac ako trojnásobne</w:t>
      </w:r>
      <w:r>
        <w:rPr>
          <w:b/>
        </w:rPr>
        <w:t xml:space="preserve">, pričom jeho hodnota dosiahla 6,4 mld. eur </w:t>
      </w:r>
      <w:r>
        <w:t>(graf 14)</w:t>
      </w:r>
      <w:r>
        <w:rPr>
          <w:b/>
        </w:rPr>
        <w:t xml:space="preserve">. </w:t>
      </w:r>
      <w:r>
        <w:t>Navyše, podľa jesennej notifikácie o deficite a dlhu</w:t>
      </w:r>
      <w:r>
        <w:rPr>
          <w:rStyle w:val="Odkaznapoznmkupodiarou"/>
        </w:rPr>
        <w:footnoteReference w:id="28"/>
      </w:r>
      <w:r>
        <w:t>, sa vlaňajší deficit verejných financií SR zvýšil o 0,32 p. b., a to z dôvodu výpadku príjmu zo solidárnej dane z nadmerných ziskov z odvetví ropy, plynu, uhlia a rafinérií o 416 mil. eur. Nižší výnos bol ovplyvnený tým, že spoločnos</w:t>
      </w:r>
      <w:r w:rsidR="000839FB">
        <w:t>ť</w:t>
      </w:r>
      <w:r>
        <w:t xml:space="preserve"> Slovnaft, a. s. </w:t>
      </w:r>
      <w:r w:rsidR="000839FB">
        <w:t>nesplnila</w:t>
      </w:r>
      <w:r>
        <w:t xml:space="preserve"> podmienky solidárneho príspevku.</w:t>
      </w:r>
      <w:r>
        <w:rPr>
          <w:rStyle w:val="Odkaznapoznmkupodiarou"/>
        </w:rPr>
        <w:footnoteReference w:id="29"/>
      </w:r>
    </w:p>
    <w:p w14:paraId="68864C9F" w14:textId="0733CE9F" w:rsidR="00D20A30" w:rsidRDefault="00D20A30" w:rsidP="000D631B">
      <w:pPr>
        <w:pStyle w:val="Nadpis2"/>
      </w:pPr>
      <w:bookmarkStart w:id="22" w:name="_Toc86396375"/>
      <w:bookmarkStart w:id="23" w:name="_Toc182559183"/>
      <w:r w:rsidRPr="00D20A30">
        <w:t>Prognóza hrubého dlhu VS</w:t>
      </w:r>
      <w:bookmarkEnd w:id="22"/>
      <w:bookmarkEnd w:id="23"/>
    </w:p>
    <w:p w14:paraId="0EF91CD1" w14:textId="77777777" w:rsidR="001E6323" w:rsidRDefault="001E6323" w:rsidP="001E6323">
      <w:pPr>
        <w:rPr>
          <w:rFonts w:cs="Segoe UI"/>
          <w:szCs w:val="20"/>
          <w:lang w:eastAsia="sk-SK"/>
        </w:rPr>
      </w:pPr>
      <w:r w:rsidRPr="00DF3338">
        <w:rPr>
          <w:rFonts w:cs="Segoe UI"/>
          <w:b/>
          <w:szCs w:val="20"/>
          <w:lang w:eastAsia="sk-SK"/>
        </w:rPr>
        <w:t>Podľa PVV prioritou vlády v rámci rozpočtovej politiky je návrat k udržateľným verejným financiám s cieľom stabilizácie vývoja verejného dlhu v pomere k HDP.</w:t>
      </w:r>
      <w:r w:rsidRPr="000430E7">
        <w:rPr>
          <w:rFonts w:cs="Segoe UI"/>
          <w:szCs w:val="20"/>
          <w:lang w:eastAsia="sk-SK"/>
        </w:rPr>
        <w:t xml:space="preserve"> </w:t>
      </w:r>
    </w:p>
    <w:p w14:paraId="7DE0A96A" w14:textId="3E981849" w:rsidR="000D099A" w:rsidRPr="00491983" w:rsidRDefault="000D099A" w:rsidP="000D099A">
      <w:pPr>
        <w:rPr>
          <w:rFonts w:cs="Segoe UI"/>
          <w:szCs w:val="20"/>
          <w:lang w:eastAsia="sk-SK"/>
        </w:rPr>
      </w:pPr>
      <w:r w:rsidRPr="00491983">
        <w:rPr>
          <w:rFonts w:cs="Segoe UI"/>
          <w:b/>
          <w:szCs w:val="20"/>
          <w:lang w:eastAsia="sk-SK"/>
        </w:rPr>
        <w:t>NKÚ SR</w:t>
      </w:r>
      <w:r w:rsidR="001E6323">
        <w:rPr>
          <w:rFonts w:cs="Segoe UI"/>
          <w:b/>
          <w:szCs w:val="20"/>
          <w:lang w:eastAsia="sk-SK"/>
        </w:rPr>
        <w:t xml:space="preserve"> </w:t>
      </w:r>
      <w:r w:rsidRPr="00491983">
        <w:rPr>
          <w:rFonts w:cs="Segoe UI"/>
          <w:b/>
          <w:szCs w:val="20"/>
          <w:lang w:eastAsia="sk-SK"/>
        </w:rPr>
        <w:t xml:space="preserve">pozitívne hodnotí, že vláda sa zaoberá riešením ozdravenia verejných </w:t>
      </w:r>
      <w:r>
        <w:rPr>
          <w:rFonts w:cs="Segoe UI"/>
          <w:b/>
          <w:szCs w:val="20"/>
          <w:lang w:eastAsia="sk-SK"/>
        </w:rPr>
        <w:t>financií</w:t>
      </w:r>
      <w:r w:rsidR="00A03256">
        <w:rPr>
          <w:rFonts w:cs="Segoe UI"/>
          <w:b/>
          <w:szCs w:val="20"/>
          <w:lang w:eastAsia="sk-SK"/>
        </w:rPr>
        <w:t>, avšak prijaté konsolidačné opatrenia nepovažuje za dostatočné</w:t>
      </w:r>
      <w:r>
        <w:rPr>
          <w:rFonts w:cs="Segoe UI"/>
          <w:b/>
          <w:szCs w:val="20"/>
          <w:lang w:eastAsia="sk-SK"/>
        </w:rPr>
        <w:t xml:space="preserve">. </w:t>
      </w:r>
      <w:r>
        <w:rPr>
          <w:rFonts w:cs="Segoe UI"/>
          <w:szCs w:val="20"/>
          <w:lang w:eastAsia="sk-SK"/>
        </w:rPr>
        <w:t>V jesennej notifikácii</w:t>
      </w:r>
      <w:r w:rsidRPr="00491983">
        <w:rPr>
          <w:rFonts w:cs="Segoe UI"/>
          <w:szCs w:val="20"/>
          <w:lang w:eastAsia="sk-SK"/>
        </w:rPr>
        <w:t xml:space="preserve"> Eurostatu dosiahol</w:t>
      </w:r>
      <w:r>
        <w:rPr>
          <w:rFonts w:cs="Segoe UI"/>
          <w:szCs w:val="20"/>
          <w:lang w:eastAsia="sk-SK"/>
        </w:rPr>
        <w:t xml:space="preserve"> hrubý</w:t>
      </w:r>
      <w:r w:rsidRPr="00491983">
        <w:rPr>
          <w:rFonts w:cs="Segoe UI"/>
          <w:szCs w:val="20"/>
          <w:lang w:eastAsia="sk-SK"/>
        </w:rPr>
        <w:t xml:space="preserve"> dlh VS v roku 2023 výšku 56,</w:t>
      </w:r>
      <w:r w:rsidR="00A42016">
        <w:rPr>
          <w:rFonts w:cs="Segoe UI"/>
          <w:szCs w:val="20"/>
          <w:lang w:eastAsia="sk-SK"/>
        </w:rPr>
        <w:t>1</w:t>
      </w:r>
      <w:r w:rsidRPr="00491983">
        <w:rPr>
          <w:rFonts w:cs="Segoe UI"/>
          <w:szCs w:val="20"/>
          <w:lang w:eastAsia="sk-SK"/>
        </w:rPr>
        <w:t xml:space="preserve"> %</w:t>
      </w:r>
      <w:r>
        <w:rPr>
          <w:rFonts w:cs="Segoe UI"/>
          <w:szCs w:val="20"/>
          <w:lang w:eastAsia="sk-SK"/>
        </w:rPr>
        <w:t xml:space="preserve"> HDP</w:t>
      </w:r>
      <w:r w:rsidR="00BE0BD6">
        <w:rPr>
          <w:rFonts w:cs="Segoe UI"/>
          <w:szCs w:val="20"/>
          <w:lang w:eastAsia="sk-SK"/>
        </w:rPr>
        <w:t xml:space="preserve">. </w:t>
      </w:r>
      <w:r w:rsidRPr="00491983">
        <w:rPr>
          <w:rFonts w:cs="Segoe UI"/>
          <w:szCs w:val="20"/>
          <w:lang w:eastAsia="sk-SK"/>
        </w:rPr>
        <w:t>MF SR v tomto roku očakáva dlh VS na úrovni 58,9 % HDP</w:t>
      </w:r>
      <w:r>
        <w:rPr>
          <w:rFonts w:cs="Segoe UI"/>
          <w:szCs w:val="20"/>
          <w:lang w:eastAsia="sk-SK"/>
        </w:rPr>
        <w:t>,</w:t>
      </w:r>
      <w:r w:rsidRPr="00491983">
        <w:rPr>
          <w:rFonts w:cs="Segoe UI"/>
          <w:szCs w:val="20"/>
          <w:lang w:eastAsia="sk-SK"/>
        </w:rPr>
        <w:t xml:space="preserve"> čo predstavuje mierne zvýšenie oproti plánovanej hodnote v rozpočte (58,3 % HDP). Dôvodom nárastu dlhu v pomere k veľkosti ekonomiky je </w:t>
      </w:r>
      <w:r w:rsidR="00A42016">
        <w:rPr>
          <w:rFonts w:cs="Segoe UI"/>
          <w:szCs w:val="20"/>
          <w:lang w:eastAsia="sk-SK"/>
        </w:rPr>
        <w:t xml:space="preserve">vysoký </w:t>
      </w:r>
      <w:r w:rsidRPr="00491983">
        <w:rPr>
          <w:rFonts w:cs="Segoe UI"/>
          <w:szCs w:val="20"/>
          <w:lang w:eastAsia="sk-SK"/>
        </w:rPr>
        <w:t>deficit a</w:t>
      </w:r>
      <w:r>
        <w:rPr>
          <w:rFonts w:cs="Segoe UI"/>
          <w:szCs w:val="20"/>
          <w:lang w:eastAsia="sk-SK"/>
        </w:rPr>
        <w:t> v menšej miere ustupujúca</w:t>
      </w:r>
      <w:r w:rsidRPr="00491983">
        <w:rPr>
          <w:rFonts w:cs="Segoe UI"/>
          <w:szCs w:val="20"/>
          <w:lang w:eastAsia="sk-SK"/>
        </w:rPr>
        <w:t xml:space="preserve"> inflácia.</w:t>
      </w:r>
    </w:p>
    <w:p w14:paraId="2CFECE70" w14:textId="13E62DAF" w:rsidR="000D099A" w:rsidRPr="000D099A" w:rsidRDefault="004F2DF8" w:rsidP="00502CCC">
      <w:pPr>
        <w:spacing w:before="120"/>
        <w:rPr>
          <w:rFonts w:cs="Segoe UI"/>
          <w:b/>
          <w:szCs w:val="20"/>
          <w:lang w:eastAsia="sk-SK"/>
        </w:rPr>
      </w:pPr>
      <w:r>
        <w:rPr>
          <w:rFonts w:cs="Segoe UI"/>
          <w:b/>
          <w:szCs w:val="20"/>
          <w:lang w:eastAsia="sk-SK"/>
        </w:rPr>
        <w:t>Podľa</w:t>
      </w:r>
      <w:r w:rsidR="000D099A">
        <w:rPr>
          <w:rFonts w:cs="Segoe UI"/>
          <w:b/>
          <w:szCs w:val="20"/>
          <w:lang w:eastAsia="sk-SK"/>
        </w:rPr>
        <w:t> </w:t>
      </w:r>
      <w:r w:rsidR="000D099A" w:rsidRPr="00491983">
        <w:rPr>
          <w:rFonts w:cs="Segoe UI"/>
          <w:b/>
          <w:szCs w:val="20"/>
          <w:lang w:eastAsia="sk-SK"/>
        </w:rPr>
        <w:t>návrhu</w:t>
      </w:r>
      <w:r w:rsidR="000D099A">
        <w:rPr>
          <w:rFonts w:cs="Segoe UI"/>
          <w:b/>
          <w:szCs w:val="20"/>
          <w:lang w:eastAsia="sk-SK"/>
        </w:rPr>
        <w:t xml:space="preserve"> </w:t>
      </w:r>
      <w:r w:rsidR="009E5068">
        <w:rPr>
          <w:rFonts w:cs="Segoe UI"/>
          <w:b/>
          <w:szCs w:val="20"/>
          <w:lang w:eastAsia="sk-SK"/>
        </w:rPr>
        <w:t>RVS</w:t>
      </w:r>
      <w:r w:rsidR="000D099A" w:rsidRPr="00491983">
        <w:rPr>
          <w:rFonts w:cs="Segoe UI"/>
          <w:b/>
          <w:szCs w:val="20"/>
          <w:lang w:eastAsia="sk-SK"/>
        </w:rPr>
        <w:t xml:space="preserve"> na rok 2025 by sa mal </w:t>
      </w:r>
      <w:r w:rsidR="00A42016">
        <w:rPr>
          <w:rFonts w:cs="Segoe UI"/>
          <w:b/>
          <w:szCs w:val="20"/>
          <w:lang w:eastAsia="sk-SK"/>
        </w:rPr>
        <w:t xml:space="preserve">hrubý </w:t>
      </w:r>
      <w:r w:rsidR="000D099A" w:rsidRPr="00491983">
        <w:rPr>
          <w:rFonts w:cs="Segoe UI"/>
          <w:b/>
          <w:szCs w:val="20"/>
          <w:lang w:eastAsia="sk-SK"/>
        </w:rPr>
        <w:t xml:space="preserve">dlh </w:t>
      </w:r>
      <w:r w:rsidR="00A42016">
        <w:rPr>
          <w:rFonts w:cs="Segoe UI"/>
          <w:b/>
          <w:szCs w:val="20"/>
          <w:lang w:eastAsia="sk-SK"/>
        </w:rPr>
        <w:t xml:space="preserve">VS </w:t>
      </w:r>
      <w:r w:rsidR="000D099A" w:rsidRPr="00491983">
        <w:rPr>
          <w:rFonts w:cs="Segoe UI"/>
          <w:b/>
          <w:szCs w:val="20"/>
          <w:lang w:eastAsia="sk-SK"/>
        </w:rPr>
        <w:t>zvýšiť na úroveň 59,6 % HDP v celkovej hodnote 77,3 mld. eur</w:t>
      </w:r>
      <w:r w:rsidR="000D099A">
        <w:rPr>
          <w:rFonts w:cs="Segoe UI"/>
          <w:b/>
          <w:szCs w:val="20"/>
          <w:lang w:eastAsia="sk-SK"/>
        </w:rPr>
        <w:t xml:space="preserve"> </w:t>
      </w:r>
      <w:r w:rsidR="000D099A" w:rsidRPr="00161A5D">
        <w:rPr>
          <w:rFonts w:cs="Segoe UI"/>
          <w:szCs w:val="20"/>
          <w:lang w:eastAsia="sk-SK"/>
        </w:rPr>
        <w:t xml:space="preserve">(graf </w:t>
      </w:r>
      <w:r w:rsidR="009E5068">
        <w:rPr>
          <w:rFonts w:cs="Segoe UI"/>
          <w:szCs w:val="20"/>
          <w:lang w:eastAsia="sk-SK"/>
        </w:rPr>
        <w:t>1</w:t>
      </w:r>
      <w:r w:rsidR="008E65AC">
        <w:rPr>
          <w:rFonts w:cs="Segoe UI"/>
          <w:szCs w:val="20"/>
          <w:lang w:eastAsia="sk-SK"/>
        </w:rPr>
        <w:t>4</w:t>
      </w:r>
      <w:r w:rsidR="000D099A" w:rsidRPr="00161A5D">
        <w:rPr>
          <w:rFonts w:cs="Segoe UI"/>
          <w:szCs w:val="20"/>
          <w:lang w:eastAsia="sk-SK"/>
        </w:rPr>
        <w:t>)</w:t>
      </w:r>
      <w:r w:rsidR="009E5068" w:rsidRPr="009E5068">
        <w:rPr>
          <w:rFonts w:cs="Segoe UI"/>
          <w:b/>
          <w:szCs w:val="20"/>
          <w:lang w:eastAsia="sk-SK"/>
        </w:rPr>
        <w:t>.</w:t>
      </w:r>
      <w:r w:rsidR="000D099A" w:rsidRPr="00161A5D">
        <w:rPr>
          <w:rFonts w:cs="Segoe UI"/>
          <w:szCs w:val="20"/>
          <w:lang w:eastAsia="sk-SK"/>
        </w:rPr>
        <w:t xml:space="preserve"> Vláda</w:t>
      </w:r>
      <w:r w:rsidR="000D099A" w:rsidRPr="00704E23">
        <w:rPr>
          <w:rFonts w:cs="Segoe UI"/>
          <w:szCs w:val="20"/>
          <w:lang w:eastAsia="sk-SK"/>
        </w:rPr>
        <w:t xml:space="preserve"> plánuje prostredníctvom konsolidačného balíka v budúcom </w:t>
      </w:r>
      <w:r w:rsidR="000D099A">
        <w:rPr>
          <w:rFonts w:cs="Segoe UI"/>
          <w:szCs w:val="20"/>
          <w:lang w:eastAsia="sk-SK"/>
        </w:rPr>
        <w:t xml:space="preserve">roku znížiť deficit o 1,1 % HDP. Vzhľadom na celkovú výšku konsolidačných opatrení v budúcom roku by bolo možné </w:t>
      </w:r>
      <w:r w:rsidR="00886A48">
        <w:rPr>
          <w:rFonts w:cs="Segoe UI"/>
          <w:szCs w:val="20"/>
          <w:lang w:eastAsia="sk-SK"/>
        </w:rPr>
        <w:t>výraznejšie</w:t>
      </w:r>
      <w:r w:rsidR="000D099A">
        <w:rPr>
          <w:rFonts w:cs="Segoe UI"/>
          <w:szCs w:val="20"/>
          <w:lang w:eastAsia="sk-SK"/>
        </w:rPr>
        <w:t xml:space="preserve"> zníženie </w:t>
      </w:r>
      <w:r w:rsidR="000D099A" w:rsidRPr="000D099A">
        <w:rPr>
          <w:rFonts w:cs="Segoe UI"/>
          <w:szCs w:val="20"/>
          <w:lang w:eastAsia="sk-SK"/>
        </w:rPr>
        <w:t>deficitu</w:t>
      </w:r>
      <w:r>
        <w:rPr>
          <w:rFonts w:cs="Segoe UI"/>
          <w:szCs w:val="20"/>
          <w:lang w:eastAsia="sk-SK"/>
        </w:rPr>
        <w:t xml:space="preserve"> a</w:t>
      </w:r>
      <w:r w:rsidR="00886A48">
        <w:rPr>
          <w:rFonts w:cs="Segoe UI"/>
          <w:szCs w:val="20"/>
          <w:lang w:eastAsia="sk-SK"/>
        </w:rPr>
        <w:t> </w:t>
      </w:r>
      <w:r>
        <w:rPr>
          <w:rFonts w:cs="Segoe UI"/>
          <w:szCs w:val="20"/>
          <w:lang w:eastAsia="sk-SK"/>
        </w:rPr>
        <w:t>dlhu</w:t>
      </w:r>
      <w:r w:rsidR="00886A48">
        <w:rPr>
          <w:rFonts w:cs="Segoe UI"/>
          <w:szCs w:val="20"/>
          <w:lang w:eastAsia="sk-SK"/>
        </w:rPr>
        <w:t>, ak by bol podiel konsolidačných opatrení na strane výdavkov vyšší</w:t>
      </w:r>
      <w:r w:rsidR="000D099A" w:rsidRPr="000D099A">
        <w:rPr>
          <w:rFonts w:cs="Segoe UI"/>
          <w:szCs w:val="20"/>
          <w:lang w:eastAsia="sk-SK"/>
        </w:rPr>
        <w:t>. Avšak na stabilizáciu verejných financií a postupné zníženie dlhu budú potrebné v ďalších rokoch dodatočné konsolidačné opatrenia.</w:t>
      </w:r>
    </w:p>
    <w:p w14:paraId="0967D9F1" w14:textId="2EE26C4D" w:rsidR="00116507" w:rsidRDefault="00116507" w:rsidP="00116507">
      <w:pPr>
        <w:pStyle w:val="Popis"/>
        <w:keepNext/>
      </w:pPr>
      <w:r>
        <w:t>Graf 1</w:t>
      </w:r>
      <w:r w:rsidR="008E65AC">
        <w:t>4</w:t>
      </w:r>
      <w:r>
        <w:t>:</w:t>
      </w:r>
      <w:r w:rsidRPr="00DC2B8B">
        <w:t xml:space="preserve"> Vývoj hrubého a čistého dlhu VS v rokoch 2019 až 2027 (v % HDP)</w:t>
      </w:r>
    </w:p>
    <w:p w14:paraId="70209B3C" w14:textId="77777777" w:rsidR="00116507" w:rsidRDefault="00116507" w:rsidP="00116507">
      <w:pPr>
        <w:keepNext/>
        <w:pBdr>
          <w:top w:val="single" w:sz="4" w:space="1" w:color="auto"/>
          <w:bottom w:val="single" w:sz="4" w:space="1" w:color="auto"/>
        </w:pBdr>
        <w:spacing w:after="0"/>
      </w:pPr>
      <w:r w:rsidRPr="000C6806">
        <w:rPr>
          <w:b/>
          <w:noProof/>
          <w:lang w:eastAsia="sk-SK"/>
        </w:rPr>
        <w:drawing>
          <wp:inline distT="0" distB="0" distL="0" distR="0" wp14:anchorId="74A78343" wp14:editId="59639447">
            <wp:extent cx="5759450" cy="1800000"/>
            <wp:effectExtent l="0" t="0" r="0" b="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DF03ED7" w14:textId="19C44F7E" w:rsidR="00116507" w:rsidRDefault="00116507" w:rsidP="00116507">
      <w:pPr>
        <w:pStyle w:val="Zdroj"/>
      </w:pPr>
      <w:r w:rsidRPr="00966CF5">
        <w:t xml:space="preserve">Zdroj: </w:t>
      </w:r>
      <w:r>
        <w:t>Návrh RVS 2025 až 2027.</w:t>
      </w:r>
    </w:p>
    <w:p w14:paraId="6AF7E736" w14:textId="77777777" w:rsidR="00DC09B4" w:rsidRDefault="00A923B2" w:rsidP="00A923B2">
      <w:pPr>
        <w:spacing w:before="120"/>
        <w:rPr>
          <w:rFonts w:cs="Segoe UI"/>
          <w:szCs w:val="20"/>
        </w:rPr>
      </w:pPr>
      <w:r w:rsidRPr="00491983">
        <w:rPr>
          <w:rFonts w:cs="Segoe UI"/>
          <w:b/>
          <w:szCs w:val="20"/>
        </w:rPr>
        <w:t xml:space="preserve">V budúcom roku sú rozpočtované výdavky na obsluhu štátneho dlhu </w:t>
      </w:r>
      <w:r>
        <w:rPr>
          <w:rFonts w:cs="Segoe UI"/>
          <w:b/>
          <w:szCs w:val="20"/>
        </w:rPr>
        <w:t xml:space="preserve">vyššie </w:t>
      </w:r>
      <w:r w:rsidRPr="00491983">
        <w:rPr>
          <w:rFonts w:cs="Segoe UI"/>
          <w:b/>
          <w:szCs w:val="20"/>
        </w:rPr>
        <w:t xml:space="preserve">o 382 mil. eur </w:t>
      </w:r>
      <w:r>
        <w:rPr>
          <w:rFonts w:cs="Segoe UI"/>
          <w:b/>
          <w:szCs w:val="20"/>
        </w:rPr>
        <w:t>než</w:t>
      </w:r>
      <w:r w:rsidRPr="00491983">
        <w:rPr>
          <w:rFonts w:cs="Segoe UI"/>
          <w:b/>
          <w:szCs w:val="20"/>
        </w:rPr>
        <w:t xml:space="preserve"> sa očakáva v tomto roku</w:t>
      </w:r>
      <w:r>
        <w:rPr>
          <w:rFonts w:cs="Segoe UI"/>
          <w:b/>
          <w:szCs w:val="20"/>
        </w:rPr>
        <w:t xml:space="preserve"> </w:t>
      </w:r>
      <w:r w:rsidRPr="0087188A">
        <w:rPr>
          <w:rFonts w:cs="Segoe UI"/>
          <w:szCs w:val="20"/>
        </w:rPr>
        <w:t>(graf 1</w:t>
      </w:r>
      <w:r w:rsidR="008E65AC">
        <w:rPr>
          <w:rFonts w:cs="Segoe UI"/>
          <w:szCs w:val="20"/>
        </w:rPr>
        <w:t>5</w:t>
      </w:r>
      <w:r w:rsidRPr="0087188A">
        <w:rPr>
          <w:rFonts w:cs="Segoe UI"/>
          <w:szCs w:val="20"/>
        </w:rPr>
        <w:t>)</w:t>
      </w:r>
      <w:r w:rsidRPr="0087188A">
        <w:rPr>
          <w:rFonts w:cs="Segoe UI"/>
          <w:b/>
          <w:szCs w:val="20"/>
        </w:rPr>
        <w:t>.</w:t>
      </w:r>
      <w:r w:rsidRPr="008446C0">
        <w:rPr>
          <w:rFonts w:cs="Segoe UI"/>
          <w:szCs w:val="20"/>
        </w:rPr>
        <w:t xml:space="preserve"> </w:t>
      </w:r>
      <w:r w:rsidRPr="00491983">
        <w:rPr>
          <w:rFonts w:cs="Segoe UI"/>
          <w:szCs w:val="20"/>
        </w:rPr>
        <w:t>Dôvodom je zvýšenie úro</w:t>
      </w:r>
      <w:r>
        <w:rPr>
          <w:rFonts w:cs="Segoe UI"/>
          <w:szCs w:val="20"/>
        </w:rPr>
        <w:t>kových sadzieb, ktoré vplývajú</w:t>
      </w:r>
      <w:r w:rsidRPr="00491983">
        <w:rPr>
          <w:rFonts w:cs="Segoe UI"/>
          <w:szCs w:val="20"/>
        </w:rPr>
        <w:t xml:space="preserve"> </w:t>
      </w:r>
      <w:r>
        <w:rPr>
          <w:rFonts w:cs="Segoe UI"/>
          <w:szCs w:val="20"/>
        </w:rPr>
        <w:t xml:space="preserve">na </w:t>
      </w:r>
      <w:r w:rsidRPr="00491983">
        <w:rPr>
          <w:rFonts w:cs="Segoe UI"/>
          <w:szCs w:val="20"/>
        </w:rPr>
        <w:t xml:space="preserve">nové emisie štátnych cenných papierov a celkový </w:t>
      </w:r>
      <w:r>
        <w:rPr>
          <w:rFonts w:cs="Segoe UI"/>
          <w:szCs w:val="20"/>
        </w:rPr>
        <w:t>rast nominálneho dlhu ovplyvnený výdavkami</w:t>
      </w:r>
      <w:r w:rsidRPr="00491983">
        <w:rPr>
          <w:rFonts w:cs="Segoe UI"/>
          <w:szCs w:val="20"/>
        </w:rPr>
        <w:t xml:space="preserve"> na zmiernenie dopadov</w:t>
      </w:r>
      <w:r>
        <w:rPr>
          <w:rFonts w:cs="Segoe UI"/>
          <w:szCs w:val="20"/>
        </w:rPr>
        <w:t xml:space="preserve"> pandémie a energetickej krízy. H</w:t>
      </w:r>
      <w:r w:rsidRPr="00491983">
        <w:rPr>
          <w:rFonts w:cs="Segoe UI"/>
          <w:szCs w:val="20"/>
        </w:rPr>
        <w:t>rubý dlh sa nachádza nad najvyšším sankčným pásmom ústavného zákona o rozpočtovej zodpovednosti</w:t>
      </w:r>
      <w:r>
        <w:rPr>
          <w:rFonts w:cs="Segoe UI"/>
          <w:szCs w:val="20"/>
        </w:rPr>
        <w:t>,</w:t>
      </w:r>
      <w:r w:rsidRPr="00491983">
        <w:rPr>
          <w:rFonts w:cs="Segoe UI"/>
          <w:szCs w:val="20"/>
        </w:rPr>
        <w:t xml:space="preserve"> </w:t>
      </w:r>
      <w:r w:rsidR="00DC09B4">
        <w:rPr>
          <w:rFonts w:cs="Segoe UI"/>
          <w:szCs w:val="20"/>
        </w:rPr>
        <w:t>ale bez najprísnejších sankcií.</w:t>
      </w:r>
    </w:p>
    <w:p w14:paraId="491B4606" w14:textId="13E6738E" w:rsidR="00A923B2" w:rsidRPr="00DC09B4" w:rsidRDefault="00DC09B4" w:rsidP="00A923B2">
      <w:pPr>
        <w:spacing w:before="120"/>
        <w:rPr>
          <w:rFonts w:cs="Segoe UI"/>
          <w:b/>
          <w:szCs w:val="20"/>
        </w:rPr>
      </w:pPr>
      <w:r w:rsidRPr="00DC09B4">
        <w:rPr>
          <w:rFonts w:cs="Segoe UI"/>
          <w:b/>
          <w:szCs w:val="20"/>
        </w:rPr>
        <w:lastRenderedPageBreak/>
        <w:t>NKÚ SR upozorňuje, že b</w:t>
      </w:r>
      <w:r w:rsidR="00A923B2" w:rsidRPr="00DC09B4">
        <w:rPr>
          <w:rFonts w:cs="Segoe UI"/>
          <w:b/>
          <w:szCs w:val="20"/>
        </w:rPr>
        <w:t xml:space="preserve">udúci rok v novembri uplynie výnimka pre uplatňovanie sankcií od 3. pásma. Po ukončení výnimky by mala vláda požiadať NR SR o vyslovenie dôvery, viazať 3 % výdavkov ŠR a pripraviť návrh RVS s nerastúcimi výdavkami a </w:t>
      </w:r>
      <w:r w:rsidR="00094707" w:rsidRPr="00DC09B4">
        <w:rPr>
          <w:rFonts w:cs="Segoe UI"/>
          <w:b/>
          <w:szCs w:val="20"/>
        </w:rPr>
        <w:t> </w:t>
      </w:r>
      <w:r w:rsidR="00A923B2" w:rsidRPr="00DC09B4">
        <w:rPr>
          <w:rFonts w:cs="Segoe UI"/>
          <w:b/>
          <w:szCs w:val="20"/>
        </w:rPr>
        <w:t xml:space="preserve">vyrovnaným hospodárením. </w:t>
      </w:r>
    </w:p>
    <w:p w14:paraId="0CE243CE" w14:textId="77777777" w:rsidR="009545CC" w:rsidRPr="00B41C2D" w:rsidRDefault="009545CC" w:rsidP="009545CC">
      <w:pPr>
        <w:pStyle w:val="Popis"/>
        <w:keepNext/>
      </w:pPr>
      <w:r w:rsidRPr="008446C0">
        <w:t>Graf</w:t>
      </w:r>
      <w:r>
        <w:t xml:space="preserve"> 15</w:t>
      </w:r>
      <w:r w:rsidRPr="008446C0">
        <w:t>: Výdavky na správu štátneho dlhu v rokoch 2019 až 2027 (v mil. eur)</w:t>
      </w:r>
    </w:p>
    <w:p w14:paraId="5F4FF4A0" w14:textId="77777777" w:rsidR="009545CC" w:rsidRDefault="009545CC" w:rsidP="009545CC">
      <w:pPr>
        <w:pStyle w:val="Popis"/>
        <w:keepNext/>
        <w:pBdr>
          <w:top w:val="single" w:sz="4" w:space="1" w:color="auto"/>
          <w:bottom w:val="single" w:sz="4" w:space="1" w:color="auto"/>
        </w:pBdr>
      </w:pPr>
      <w:r>
        <w:rPr>
          <w:noProof/>
          <w:lang w:eastAsia="sk-SK"/>
        </w:rPr>
        <w:drawing>
          <wp:inline distT="0" distB="0" distL="0" distR="0" wp14:anchorId="590B422D" wp14:editId="1FF698C8">
            <wp:extent cx="5759450" cy="2159635"/>
            <wp:effectExtent l="0" t="0" r="0" b="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9688035" w14:textId="77777777" w:rsidR="009545CC" w:rsidRDefault="009545CC" w:rsidP="009545CC">
      <w:pPr>
        <w:pStyle w:val="Zdroj"/>
      </w:pPr>
      <w:r w:rsidRPr="0087188A">
        <w:t xml:space="preserve">Zdroj: </w:t>
      </w:r>
      <w:r>
        <w:t>Návrh RVS 2025 až 2027.</w:t>
      </w:r>
    </w:p>
    <w:p w14:paraId="15DFEA7D" w14:textId="7DD27B13" w:rsidR="00183E6C" w:rsidRDefault="00966EF9" w:rsidP="00966EF9">
      <w:pPr>
        <w:spacing w:after="0"/>
        <w:rPr>
          <w:rFonts w:cs="Segoe UI"/>
          <w:szCs w:val="20"/>
        </w:rPr>
      </w:pPr>
      <w:r>
        <w:rPr>
          <w:rFonts w:cs="Segoe UI"/>
          <w:b/>
          <w:szCs w:val="20"/>
          <w:lang w:eastAsia="sk-SK"/>
        </w:rPr>
        <w:t>V súvislosti</w:t>
      </w:r>
      <w:r w:rsidRPr="00491983">
        <w:rPr>
          <w:rFonts w:cs="Segoe UI"/>
          <w:b/>
          <w:szCs w:val="20"/>
          <w:lang w:eastAsia="sk-SK"/>
        </w:rPr>
        <w:t xml:space="preserve"> s podporou financovania investícií vláda v PVV deklarovala </w:t>
      </w:r>
      <w:r w:rsidR="00A03256">
        <w:rPr>
          <w:rFonts w:cs="Segoe UI"/>
          <w:b/>
          <w:szCs w:val="20"/>
          <w:lang w:eastAsia="sk-SK"/>
        </w:rPr>
        <w:t xml:space="preserve">emisiu </w:t>
      </w:r>
      <w:r w:rsidR="00886A48">
        <w:rPr>
          <w:rFonts w:cs="Segoe UI"/>
          <w:b/>
          <w:szCs w:val="20"/>
          <w:lang w:eastAsia="sk-SK"/>
        </w:rPr>
        <w:t xml:space="preserve">štátnych </w:t>
      </w:r>
      <w:r w:rsidRPr="00491983">
        <w:rPr>
          <w:rFonts w:cs="Segoe UI"/>
          <w:b/>
          <w:szCs w:val="20"/>
          <w:lang w:eastAsia="sk-SK"/>
        </w:rPr>
        <w:t>dlhopis</w:t>
      </w:r>
      <w:r w:rsidR="00A03256">
        <w:rPr>
          <w:rFonts w:cs="Segoe UI"/>
          <w:b/>
          <w:szCs w:val="20"/>
          <w:lang w:eastAsia="sk-SK"/>
        </w:rPr>
        <w:t>ov</w:t>
      </w:r>
      <w:r w:rsidRPr="00491983">
        <w:rPr>
          <w:rFonts w:cs="Segoe UI"/>
          <w:b/>
          <w:szCs w:val="20"/>
          <w:lang w:eastAsia="sk-SK"/>
        </w:rPr>
        <w:t xml:space="preserve"> pre občanov SR. </w:t>
      </w:r>
      <w:r w:rsidRPr="00491983">
        <w:rPr>
          <w:rFonts w:cs="Segoe UI"/>
          <w:szCs w:val="20"/>
          <w:lang w:eastAsia="sk-SK"/>
        </w:rPr>
        <w:t>MF SR v spolupráci s Agentúrou pre riadenie dlhu a likvidity plánuje prvú emisiu pre občanov na jar budúceho roka v </w:t>
      </w:r>
      <w:r>
        <w:rPr>
          <w:rFonts w:cs="Segoe UI"/>
          <w:szCs w:val="20"/>
          <w:lang w:eastAsia="sk-SK"/>
        </w:rPr>
        <w:t>objeme</w:t>
      </w:r>
      <w:r w:rsidRPr="00491983">
        <w:rPr>
          <w:rFonts w:cs="Segoe UI"/>
          <w:szCs w:val="20"/>
          <w:lang w:eastAsia="sk-SK"/>
        </w:rPr>
        <w:t xml:space="preserve"> </w:t>
      </w:r>
      <w:r>
        <w:rPr>
          <w:rFonts w:cs="Segoe UI"/>
          <w:szCs w:val="20"/>
          <w:lang w:eastAsia="sk-SK"/>
        </w:rPr>
        <w:t>približne</w:t>
      </w:r>
      <w:r w:rsidRPr="00491983">
        <w:rPr>
          <w:rFonts w:cs="Segoe UI"/>
          <w:szCs w:val="20"/>
          <w:lang w:eastAsia="sk-SK"/>
        </w:rPr>
        <w:t xml:space="preserve"> 300 mil. eur</w:t>
      </w:r>
      <w:r>
        <w:rPr>
          <w:rFonts w:cs="Segoe UI"/>
          <w:szCs w:val="20"/>
          <w:lang w:eastAsia="sk-SK"/>
        </w:rPr>
        <w:t>,</w:t>
      </w:r>
      <w:r w:rsidRPr="00491983">
        <w:rPr>
          <w:rFonts w:cs="Segoe UI"/>
          <w:szCs w:val="20"/>
          <w:lang w:eastAsia="sk-SK"/>
        </w:rPr>
        <w:t xml:space="preserve"> čo tvorí 3 % z celkových predaných emisií ročne. Predaj bude prebiehať prostredníctvom </w:t>
      </w:r>
      <w:r>
        <w:rPr>
          <w:rFonts w:cs="Segoe UI"/>
          <w:szCs w:val="20"/>
          <w:lang w:eastAsia="sk-SK"/>
        </w:rPr>
        <w:t>piatich</w:t>
      </w:r>
      <w:r w:rsidRPr="00491983">
        <w:rPr>
          <w:rFonts w:cs="Segoe UI"/>
          <w:szCs w:val="20"/>
          <w:lang w:eastAsia="sk-SK"/>
        </w:rPr>
        <w:t xml:space="preserve"> komerčných bánk</w:t>
      </w:r>
      <w:r w:rsidRPr="00491983">
        <w:rPr>
          <w:rStyle w:val="Odkaznapoznmkupodiarou"/>
          <w:rFonts w:cs="Segoe UI"/>
          <w:szCs w:val="20"/>
          <w:lang w:eastAsia="sk-SK"/>
        </w:rPr>
        <w:footnoteReference w:id="30"/>
      </w:r>
      <w:r w:rsidRPr="00491983">
        <w:rPr>
          <w:rFonts w:cs="Segoe UI"/>
          <w:szCs w:val="20"/>
          <w:lang w:eastAsia="sk-SK"/>
        </w:rPr>
        <w:t xml:space="preserve"> s minimálnou investíci</w:t>
      </w:r>
      <w:r>
        <w:rPr>
          <w:rFonts w:cs="Segoe UI"/>
          <w:szCs w:val="20"/>
          <w:lang w:eastAsia="sk-SK"/>
        </w:rPr>
        <w:t>o</w:t>
      </w:r>
      <w:r w:rsidRPr="00491983">
        <w:rPr>
          <w:rFonts w:cs="Segoe UI"/>
          <w:szCs w:val="20"/>
          <w:lang w:eastAsia="sk-SK"/>
        </w:rPr>
        <w:t xml:space="preserve">u </w:t>
      </w:r>
      <w:r>
        <w:rPr>
          <w:rFonts w:cs="Segoe UI"/>
          <w:szCs w:val="20"/>
          <w:lang w:eastAsia="sk-SK"/>
        </w:rPr>
        <w:t xml:space="preserve">tisíc eur. Výnos bude na úrovni približne </w:t>
      </w:r>
      <w:r w:rsidRPr="00491983">
        <w:rPr>
          <w:rFonts w:cs="Segoe UI"/>
          <w:szCs w:val="20"/>
          <w:lang w:eastAsia="sk-SK"/>
        </w:rPr>
        <w:t>3 %</w:t>
      </w:r>
      <w:r w:rsidRPr="00491983">
        <w:rPr>
          <w:rStyle w:val="Odkaznapoznmkupodiarou"/>
          <w:rFonts w:cs="Segoe UI"/>
          <w:szCs w:val="20"/>
          <w:lang w:eastAsia="sk-SK"/>
        </w:rPr>
        <w:footnoteReference w:id="31"/>
      </w:r>
      <w:r>
        <w:rPr>
          <w:rFonts w:cs="Segoe UI"/>
          <w:szCs w:val="20"/>
          <w:lang w:eastAsia="sk-SK"/>
        </w:rPr>
        <w:t xml:space="preserve"> </w:t>
      </w:r>
      <w:r w:rsidRPr="007D3725">
        <w:rPr>
          <w:rFonts w:cs="Segoe UI"/>
          <w:szCs w:val="20"/>
          <w:lang w:eastAsia="sk-SK"/>
        </w:rPr>
        <w:t xml:space="preserve">v závislosti </w:t>
      </w:r>
      <w:r>
        <w:rPr>
          <w:rFonts w:cs="Segoe UI"/>
          <w:szCs w:val="20"/>
          <w:lang w:eastAsia="sk-SK"/>
        </w:rPr>
        <w:t xml:space="preserve">najmä </w:t>
      </w:r>
      <w:r w:rsidRPr="007D3725">
        <w:rPr>
          <w:rFonts w:cs="Segoe UI"/>
          <w:szCs w:val="20"/>
          <w:lang w:eastAsia="sk-SK"/>
        </w:rPr>
        <w:t>od obchodovania štátnych dlhopisov na sekundárnom trhu</w:t>
      </w:r>
      <w:r>
        <w:rPr>
          <w:rFonts w:cs="Segoe UI"/>
          <w:szCs w:val="20"/>
          <w:lang w:eastAsia="sk-SK"/>
        </w:rPr>
        <w:t>.</w:t>
      </w:r>
      <w:r w:rsidRPr="00491983">
        <w:rPr>
          <w:rFonts w:cs="Segoe UI"/>
          <w:szCs w:val="20"/>
          <w:lang w:eastAsia="sk-SK"/>
        </w:rPr>
        <w:t xml:space="preserve"> Splatnos</w:t>
      </w:r>
      <w:r>
        <w:rPr>
          <w:rFonts w:cs="Segoe UI"/>
          <w:szCs w:val="20"/>
          <w:lang w:eastAsia="sk-SK"/>
        </w:rPr>
        <w:t>ť dlhopisov bude do piatich</w:t>
      </w:r>
      <w:r w:rsidRPr="00491983">
        <w:rPr>
          <w:rFonts w:cs="Segoe UI"/>
          <w:szCs w:val="20"/>
          <w:lang w:eastAsia="sk-SK"/>
        </w:rPr>
        <w:t xml:space="preserve"> rokov. Pravdepo</w:t>
      </w:r>
      <w:r>
        <w:rPr>
          <w:rFonts w:cs="Segoe UI"/>
          <w:szCs w:val="20"/>
          <w:lang w:eastAsia="sk-SK"/>
        </w:rPr>
        <w:t xml:space="preserve">dobne budú vydané dlhopisy </w:t>
      </w:r>
      <w:r w:rsidRPr="00491983">
        <w:rPr>
          <w:rFonts w:cs="Segoe UI"/>
          <w:szCs w:val="20"/>
          <w:lang w:eastAsia="sk-SK"/>
        </w:rPr>
        <w:t>so splatno</w:t>
      </w:r>
      <w:r>
        <w:rPr>
          <w:rFonts w:cs="Segoe UI"/>
          <w:szCs w:val="20"/>
          <w:lang w:eastAsia="sk-SK"/>
        </w:rPr>
        <w:t xml:space="preserve">sťou dva a štyri roky, s ktorými </w:t>
      </w:r>
      <w:r w:rsidRPr="00491983">
        <w:rPr>
          <w:rFonts w:cs="Segoe UI"/>
          <w:szCs w:val="20"/>
          <w:lang w:eastAsia="sk-SK"/>
        </w:rPr>
        <w:t>bude možné obchodovať na sekundárnom trhu a</w:t>
      </w:r>
      <w:r w:rsidRPr="00491983">
        <w:rPr>
          <w:rFonts w:cs="Segoe UI"/>
          <w:szCs w:val="20"/>
        </w:rPr>
        <w:t xml:space="preserve"> </w:t>
      </w:r>
      <w:r>
        <w:rPr>
          <w:rFonts w:cs="Segoe UI"/>
          <w:szCs w:val="20"/>
          <w:lang w:eastAsia="sk-SK"/>
        </w:rPr>
        <w:t>príjmy z nich</w:t>
      </w:r>
      <w:r w:rsidRPr="00491983">
        <w:rPr>
          <w:rFonts w:cs="Segoe UI"/>
          <w:szCs w:val="20"/>
          <w:lang w:eastAsia="sk-SK"/>
        </w:rPr>
        <w:t xml:space="preserve"> by mali byť oslobodené od daní aj odvodov</w:t>
      </w:r>
      <w:r w:rsidR="00DC09B4">
        <w:rPr>
          <w:rFonts w:cs="Segoe UI"/>
          <w:szCs w:val="20"/>
          <w:lang w:eastAsia="sk-SK"/>
        </w:rPr>
        <w:t>, čo navýši ich efektívny výnos</w:t>
      </w:r>
      <w:r w:rsidRPr="00491983">
        <w:rPr>
          <w:rFonts w:cs="Segoe UI"/>
          <w:szCs w:val="20"/>
          <w:lang w:eastAsia="sk-SK"/>
        </w:rPr>
        <w:t>.</w:t>
      </w:r>
      <w:r w:rsidRPr="00491983">
        <w:rPr>
          <w:rStyle w:val="Odkaznapoznmkupodiarou"/>
          <w:rFonts w:cs="Segoe UI"/>
          <w:szCs w:val="20"/>
          <w:lang w:eastAsia="sk-SK"/>
        </w:rPr>
        <w:footnoteReference w:id="32"/>
      </w:r>
      <w:r>
        <w:rPr>
          <w:rFonts w:cs="Segoe UI"/>
          <w:szCs w:val="20"/>
          <w:lang w:eastAsia="sk-SK"/>
        </w:rPr>
        <w:t xml:space="preserve"> Dôležitými ukazovateľmi bude záujem a efektívnosť dlhopisov vzhľadom na dodatočné administratívne náklady, ktoré vzniknú v súvislosti s diverzifikáciou </w:t>
      </w:r>
      <w:r w:rsidR="00EA466F">
        <w:rPr>
          <w:rFonts w:cs="Segoe UI"/>
          <w:szCs w:val="20"/>
          <w:lang w:eastAsia="sk-SK"/>
        </w:rPr>
        <w:t>štátneho dlhu</w:t>
      </w:r>
      <w:r>
        <w:rPr>
          <w:rFonts w:cs="Segoe UI"/>
          <w:szCs w:val="20"/>
          <w:lang w:eastAsia="sk-SK"/>
        </w:rPr>
        <w:t>.</w:t>
      </w:r>
      <w:r w:rsidR="00183E6C">
        <w:rPr>
          <w:rFonts w:cs="Segoe UI"/>
          <w:szCs w:val="20"/>
        </w:rPr>
        <w:br w:type="page"/>
      </w:r>
    </w:p>
    <w:p w14:paraId="754B57D8" w14:textId="4F81F6A9" w:rsidR="00C30CC5" w:rsidRDefault="00C30CC5" w:rsidP="00C30CC5">
      <w:pPr>
        <w:pStyle w:val="Nadpis1"/>
      </w:pPr>
      <w:bookmarkStart w:id="24" w:name="_Toc86396376"/>
      <w:bookmarkStart w:id="25" w:name="_Toc182559184"/>
      <w:r>
        <w:lastRenderedPageBreak/>
        <w:t>Rozpočtové vzťahy SR a</w:t>
      </w:r>
      <w:r w:rsidR="00865D0E">
        <w:t> </w:t>
      </w:r>
      <w:r>
        <w:t>EÚ</w:t>
      </w:r>
      <w:bookmarkEnd w:id="24"/>
      <w:bookmarkEnd w:id="25"/>
    </w:p>
    <w:p w14:paraId="510677A6" w14:textId="04BAE0F1" w:rsidR="00695476" w:rsidRDefault="00695476" w:rsidP="00695476">
      <w:pPr>
        <w:rPr>
          <w:rFonts w:cs="Segoe UI"/>
          <w:b/>
          <w:color w:val="000000" w:themeColor="text1"/>
          <w:szCs w:val="20"/>
        </w:rPr>
      </w:pPr>
      <w:bookmarkStart w:id="26" w:name="_Toc86396377"/>
      <w:bookmarkStart w:id="27" w:name="_Toc153363158"/>
      <w:bookmarkEnd w:id="27"/>
      <w:r w:rsidRPr="00727E02">
        <w:rPr>
          <w:rFonts w:cs="Segoe UI"/>
          <w:b/>
          <w:color w:val="000000" w:themeColor="text1"/>
          <w:szCs w:val="20"/>
        </w:rPr>
        <w:t xml:space="preserve">Prostriedky z rozpočtu </w:t>
      </w:r>
      <w:r>
        <w:rPr>
          <w:rFonts w:cs="Segoe UI"/>
          <w:b/>
          <w:color w:val="000000" w:themeColor="text1"/>
          <w:szCs w:val="20"/>
        </w:rPr>
        <w:t>EÚ</w:t>
      </w:r>
      <w:r w:rsidRPr="00727E02">
        <w:rPr>
          <w:rFonts w:cs="Segoe UI"/>
          <w:b/>
          <w:color w:val="000000" w:themeColor="text1"/>
          <w:szCs w:val="20"/>
        </w:rPr>
        <w:t xml:space="preserve"> s</w:t>
      </w:r>
      <w:r>
        <w:rPr>
          <w:rFonts w:cs="Segoe UI"/>
          <w:b/>
          <w:color w:val="000000" w:themeColor="text1"/>
          <w:szCs w:val="20"/>
        </w:rPr>
        <w:t>ú</w:t>
      </w:r>
      <w:r w:rsidRPr="00727E02">
        <w:rPr>
          <w:rFonts w:cs="Segoe UI"/>
          <w:b/>
          <w:color w:val="000000" w:themeColor="text1"/>
          <w:szCs w:val="20"/>
        </w:rPr>
        <w:t xml:space="preserve"> na </w:t>
      </w:r>
      <w:r w:rsidRPr="002B62C8">
        <w:rPr>
          <w:rFonts w:cs="Segoe UI"/>
          <w:b/>
          <w:color w:val="000000" w:themeColor="text1"/>
          <w:szCs w:val="20"/>
        </w:rPr>
        <w:t>rok 202</w:t>
      </w:r>
      <w:r>
        <w:rPr>
          <w:rFonts w:cs="Segoe UI"/>
          <w:b/>
          <w:color w:val="000000" w:themeColor="text1"/>
          <w:szCs w:val="20"/>
        </w:rPr>
        <w:t>5</w:t>
      </w:r>
      <w:r w:rsidRPr="002B62C8">
        <w:rPr>
          <w:rFonts w:cs="Segoe UI"/>
          <w:b/>
          <w:color w:val="000000" w:themeColor="text1"/>
          <w:szCs w:val="20"/>
        </w:rPr>
        <w:t xml:space="preserve"> rozpočt</w:t>
      </w:r>
      <w:r>
        <w:rPr>
          <w:rFonts w:cs="Segoe UI"/>
          <w:b/>
          <w:color w:val="000000" w:themeColor="text1"/>
          <w:szCs w:val="20"/>
        </w:rPr>
        <w:t>ované vo výške 2,1</w:t>
      </w:r>
      <w:r w:rsidRPr="002B62C8">
        <w:rPr>
          <w:rFonts w:cs="Segoe UI"/>
          <w:b/>
          <w:color w:val="000000" w:themeColor="text1"/>
          <w:szCs w:val="20"/>
        </w:rPr>
        <w:t xml:space="preserve"> mld. eur</w:t>
      </w:r>
      <w:r>
        <w:rPr>
          <w:rFonts w:cs="Segoe UI"/>
          <w:b/>
          <w:color w:val="000000" w:themeColor="text1"/>
          <w:szCs w:val="20"/>
        </w:rPr>
        <w:t xml:space="preserve"> a</w:t>
      </w:r>
      <w:r w:rsidRPr="002B62C8">
        <w:rPr>
          <w:rFonts w:cs="Segoe UI"/>
          <w:b/>
          <w:color w:val="000000" w:themeColor="text1"/>
          <w:szCs w:val="20"/>
        </w:rPr>
        <w:t xml:space="preserve"> </w:t>
      </w:r>
      <w:r>
        <w:rPr>
          <w:rFonts w:cs="Segoe UI"/>
          <w:b/>
          <w:color w:val="000000" w:themeColor="text1"/>
          <w:szCs w:val="20"/>
        </w:rPr>
        <w:t>s</w:t>
      </w:r>
      <w:r w:rsidRPr="002B62C8">
        <w:rPr>
          <w:rFonts w:cs="Segoe UI"/>
          <w:b/>
          <w:color w:val="000000" w:themeColor="text1"/>
          <w:szCs w:val="20"/>
        </w:rPr>
        <w:t xml:space="preserve">polu s </w:t>
      </w:r>
      <w:r>
        <w:rPr>
          <w:rFonts w:cs="Segoe UI"/>
          <w:b/>
          <w:color w:val="000000" w:themeColor="text1"/>
          <w:szCs w:val="20"/>
        </w:rPr>
        <w:t> </w:t>
      </w:r>
      <w:r w:rsidRPr="002B62C8">
        <w:rPr>
          <w:rFonts w:cs="Segoe UI"/>
          <w:b/>
          <w:color w:val="000000" w:themeColor="text1"/>
          <w:szCs w:val="20"/>
        </w:rPr>
        <w:t xml:space="preserve">prostriedkami z </w:t>
      </w:r>
      <w:r>
        <w:rPr>
          <w:rFonts w:cs="Segoe UI"/>
          <w:b/>
          <w:color w:val="000000" w:themeColor="text1"/>
          <w:szCs w:val="20"/>
        </w:rPr>
        <w:t>POO</w:t>
      </w:r>
      <w:r w:rsidRPr="002B62C8">
        <w:rPr>
          <w:rFonts w:cs="Segoe UI"/>
          <w:b/>
          <w:color w:val="000000" w:themeColor="text1"/>
          <w:szCs w:val="20"/>
        </w:rPr>
        <w:t xml:space="preserve"> </w:t>
      </w:r>
      <w:r>
        <w:rPr>
          <w:rFonts w:cs="Segoe UI"/>
          <w:b/>
          <w:color w:val="000000" w:themeColor="text1"/>
          <w:szCs w:val="20"/>
        </w:rPr>
        <w:t>predstavujú sumu 3</w:t>
      </w:r>
      <w:r w:rsidRPr="002B62C8">
        <w:rPr>
          <w:rFonts w:cs="Segoe UI"/>
          <w:b/>
          <w:color w:val="000000" w:themeColor="text1"/>
          <w:szCs w:val="20"/>
        </w:rPr>
        <w:t>,</w:t>
      </w:r>
      <w:r>
        <w:rPr>
          <w:rFonts w:cs="Segoe UI"/>
          <w:b/>
          <w:color w:val="000000" w:themeColor="text1"/>
          <w:szCs w:val="20"/>
        </w:rPr>
        <w:t>3</w:t>
      </w:r>
      <w:r w:rsidRPr="002B62C8">
        <w:rPr>
          <w:rFonts w:cs="Segoe UI"/>
          <w:b/>
          <w:color w:val="000000" w:themeColor="text1"/>
          <w:szCs w:val="20"/>
        </w:rPr>
        <w:t xml:space="preserve"> mld. eur</w:t>
      </w:r>
      <w:r>
        <w:rPr>
          <w:rFonts w:cs="Segoe UI"/>
          <w:color w:val="000000" w:themeColor="text1"/>
          <w:szCs w:val="20"/>
        </w:rPr>
        <w:t xml:space="preserve"> (tabuľka 4)</w:t>
      </w:r>
      <w:r w:rsidRPr="002B62C8">
        <w:rPr>
          <w:rFonts w:cs="Segoe UI"/>
          <w:b/>
          <w:color w:val="000000" w:themeColor="text1"/>
          <w:szCs w:val="20"/>
        </w:rPr>
        <w:t>.</w:t>
      </w:r>
    </w:p>
    <w:p w14:paraId="0028EB7B" w14:textId="77777777" w:rsidR="00695476" w:rsidRPr="002B62C8" w:rsidRDefault="00695476" w:rsidP="00695476">
      <w:pPr>
        <w:pStyle w:val="Popis"/>
        <w:keepNext/>
      </w:pPr>
      <w:r w:rsidRPr="00D81BEB">
        <w:rPr>
          <w:color w:val="314364"/>
        </w:rPr>
        <w:t>Tabuľka</w:t>
      </w:r>
      <w:r>
        <w:rPr>
          <w:color w:val="314364"/>
        </w:rPr>
        <w:t xml:space="preserve"> 4</w:t>
      </w:r>
      <w:r w:rsidRPr="00D81BEB">
        <w:rPr>
          <w:color w:val="314364"/>
        </w:rPr>
        <w:t xml:space="preserve">: </w:t>
      </w:r>
      <w:r w:rsidRPr="002B62C8">
        <w:t>Rozpočtové vzťahy medzi S</w:t>
      </w:r>
      <w:r>
        <w:t>lovenskom</w:t>
      </w:r>
      <w:r w:rsidRPr="002B62C8">
        <w:t xml:space="preserve"> a EÚ v návrhu </w:t>
      </w:r>
      <w:r>
        <w:t>RVS</w:t>
      </w:r>
      <w:r w:rsidRPr="002B62C8">
        <w:t xml:space="preserve"> na rok 202</w:t>
      </w:r>
      <w:r>
        <w:t>5</w:t>
      </w:r>
      <w:r w:rsidRPr="002B62C8">
        <w:t xml:space="preserve"> </w:t>
      </w:r>
      <w:r>
        <w:t>(</w:t>
      </w:r>
      <w:r w:rsidRPr="002B62C8">
        <w:t>v mil. eur</w:t>
      </w:r>
      <w:r>
        <w:t>)</w:t>
      </w:r>
    </w:p>
    <w:tbl>
      <w:tblPr>
        <w:tblW w:w="4928" w:type="pct"/>
        <w:tblLayout w:type="fixed"/>
        <w:tblCellMar>
          <w:left w:w="70" w:type="dxa"/>
          <w:right w:w="70" w:type="dxa"/>
        </w:tblCellMar>
        <w:tblLook w:val="04A0" w:firstRow="1" w:lastRow="0" w:firstColumn="1" w:lastColumn="0" w:noHBand="0" w:noVBand="1"/>
      </w:tblPr>
      <w:tblGrid>
        <w:gridCol w:w="3125"/>
        <w:gridCol w:w="1835"/>
        <w:gridCol w:w="1821"/>
        <w:gridCol w:w="2153"/>
      </w:tblGrid>
      <w:tr w:rsidR="00695476" w:rsidRPr="00CF67BC" w14:paraId="16A1B57A" w14:textId="77777777" w:rsidTr="00695476">
        <w:trPr>
          <w:trHeight w:val="586"/>
        </w:trPr>
        <w:tc>
          <w:tcPr>
            <w:tcW w:w="1749" w:type="pct"/>
            <w:tcBorders>
              <w:left w:val="single" w:sz="4" w:space="0" w:color="FFFFFF" w:themeColor="background1"/>
              <w:right w:val="single" w:sz="4" w:space="0" w:color="FFFFFF" w:themeColor="background1"/>
            </w:tcBorders>
            <w:shd w:val="clear" w:color="000000" w:fill="314364"/>
            <w:vAlign w:val="center"/>
            <w:hideMark/>
          </w:tcPr>
          <w:p w14:paraId="3CDE8ECC" w14:textId="77777777" w:rsidR="00695476" w:rsidRPr="00CF67BC" w:rsidRDefault="00695476" w:rsidP="00004331">
            <w:pPr>
              <w:spacing w:after="0" w:line="240" w:lineRule="auto"/>
              <w:jc w:val="center"/>
              <w:rPr>
                <w:rFonts w:eastAsia="Times New Roman" w:cs="Segoe UI"/>
                <w:b/>
                <w:bCs/>
                <w:color w:val="FFFFFF"/>
                <w:sz w:val="18"/>
                <w:szCs w:val="18"/>
                <w:lang w:eastAsia="sk-SK"/>
              </w:rPr>
            </w:pPr>
          </w:p>
        </w:tc>
        <w:tc>
          <w:tcPr>
            <w:tcW w:w="2046" w:type="pct"/>
            <w:gridSpan w:val="2"/>
            <w:tcBorders>
              <w:left w:val="single" w:sz="4" w:space="0" w:color="FFFFFF" w:themeColor="background1"/>
              <w:bottom w:val="single" w:sz="4" w:space="0" w:color="FFFFFF" w:themeColor="background1"/>
              <w:right w:val="single" w:sz="4" w:space="0" w:color="FFFFFF" w:themeColor="background1"/>
            </w:tcBorders>
            <w:shd w:val="clear" w:color="000000" w:fill="314364"/>
            <w:vAlign w:val="center"/>
            <w:hideMark/>
          </w:tcPr>
          <w:p w14:paraId="4118FC08" w14:textId="77777777" w:rsidR="00695476" w:rsidRPr="00CF67BC" w:rsidRDefault="00695476" w:rsidP="00004331">
            <w:pPr>
              <w:spacing w:after="0" w:line="240" w:lineRule="auto"/>
              <w:jc w:val="center"/>
              <w:rPr>
                <w:rFonts w:eastAsia="Times New Roman" w:cs="Segoe UI"/>
                <w:b/>
                <w:bCs/>
                <w:color w:val="FFFFFF"/>
                <w:sz w:val="18"/>
                <w:szCs w:val="18"/>
                <w:lang w:eastAsia="sk-SK"/>
              </w:rPr>
            </w:pPr>
            <w:r w:rsidRPr="00CF67BC">
              <w:rPr>
                <w:rFonts w:eastAsia="Times New Roman" w:cs="Segoe UI"/>
                <w:b/>
                <w:bCs/>
                <w:color w:val="FFFFFF"/>
                <w:sz w:val="18"/>
                <w:szCs w:val="18"/>
                <w:lang w:eastAsia="sk-SK"/>
              </w:rPr>
              <w:t>Príjem prostriedkov z rozpočtu EÚ</w:t>
            </w:r>
          </w:p>
        </w:tc>
        <w:tc>
          <w:tcPr>
            <w:tcW w:w="1205" w:type="pct"/>
            <w:vMerge w:val="restart"/>
            <w:tcBorders>
              <w:left w:val="single" w:sz="4" w:space="0" w:color="FFFFFF" w:themeColor="background1"/>
            </w:tcBorders>
            <w:shd w:val="clear" w:color="000000" w:fill="314364"/>
            <w:vAlign w:val="center"/>
            <w:hideMark/>
          </w:tcPr>
          <w:p w14:paraId="7689918D" w14:textId="77777777" w:rsidR="00695476" w:rsidRPr="00CF67BC" w:rsidRDefault="00695476" w:rsidP="00004331">
            <w:pPr>
              <w:spacing w:after="0" w:line="240" w:lineRule="auto"/>
              <w:jc w:val="center"/>
              <w:rPr>
                <w:rFonts w:eastAsia="Times New Roman" w:cs="Segoe UI"/>
                <w:b/>
                <w:bCs/>
                <w:color w:val="FFFFFF"/>
                <w:sz w:val="18"/>
                <w:szCs w:val="18"/>
                <w:lang w:eastAsia="sk-SK"/>
              </w:rPr>
            </w:pPr>
            <w:r w:rsidRPr="00CF67BC">
              <w:rPr>
                <w:rFonts w:eastAsia="Times New Roman" w:cs="Segoe UI"/>
                <w:b/>
                <w:bCs/>
                <w:color w:val="FFFFFF"/>
                <w:sz w:val="18"/>
                <w:szCs w:val="18"/>
                <w:lang w:eastAsia="sk-SK"/>
              </w:rPr>
              <w:t>Príjem prostriedkov</w:t>
            </w:r>
            <w:r>
              <w:rPr>
                <w:rFonts w:eastAsia="Times New Roman" w:cs="Segoe UI"/>
                <w:b/>
                <w:bCs/>
                <w:color w:val="FFFFFF"/>
                <w:sz w:val="18"/>
                <w:szCs w:val="18"/>
                <w:lang w:eastAsia="sk-SK"/>
              </w:rPr>
              <w:t xml:space="preserve"> </w:t>
            </w:r>
            <w:r w:rsidRPr="00CF67BC">
              <w:rPr>
                <w:rFonts w:eastAsia="Times New Roman" w:cs="Segoe UI"/>
                <w:b/>
                <w:bCs/>
                <w:color w:val="FFFFFF"/>
                <w:sz w:val="18"/>
                <w:szCs w:val="18"/>
                <w:lang w:eastAsia="sk-SK"/>
              </w:rPr>
              <w:t>z P</w:t>
            </w:r>
            <w:r>
              <w:rPr>
                <w:rFonts w:eastAsia="Times New Roman" w:cs="Segoe UI"/>
                <w:b/>
                <w:bCs/>
                <w:color w:val="FFFFFF"/>
                <w:sz w:val="18"/>
                <w:szCs w:val="18"/>
                <w:lang w:eastAsia="sk-SK"/>
              </w:rPr>
              <w:t>OO</w:t>
            </w:r>
          </w:p>
        </w:tc>
      </w:tr>
      <w:tr w:rsidR="00695476" w:rsidRPr="00CF67BC" w14:paraId="0012C2D1" w14:textId="77777777" w:rsidTr="00695476">
        <w:trPr>
          <w:trHeight w:val="85"/>
        </w:trPr>
        <w:tc>
          <w:tcPr>
            <w:tcW w:w="1749" w:type="pct"/>
            <w:tcBorders>
              <w:top w:val="nil"/>
              <w:left w:val="single" w:sz="4" w:space="0" w:color="FFFFFF" w:themeColor="background1"/>
              <w:bottom w:val="nil"/>
              <w:right w:val="single" w:sz="4" w:space="0" w:color="FFFFFF" w:themeColor="background1"/>
            </w:tcBorders>
            <w:shd w:val="clear" w:color="000000" w:fill="314364"/>
            <w:vAlign w:val="center"/>
            <w:hideMark/>
          </w:tcPr>
          <w:p w14:paraId="54BBC87C" w14:textId="77777777" w:rsidR="00695476" w:rsidRPr="00CF67BC" w:rsidRDefault="00695476" w:rsidP="00004331">
            <w:pPr>
              <w:spacing w:after="0" w:line="240" w:lineRule="auto"/>
              <w:rPr>
                <w:rFonts w:eastAsia="Times New Roman" w:cs="Segoe UI"/>
                <w:b/>
                <w:bCs/>
                <w:color w:val="FFFFFF"/>
                <w:sz w:val="18"/>
                <w:szCs w:val="18"/>
                <w:lang w:eastAsia="sk-SK"/>
              </w:rPr>
            </w:pPr>
            <w:r w:rsidRPr="00CF67BC">
              <w:rPr>
                <w:rFonts w:eastAsia="Times New Roman" w:cs="Segoe UI"/>
                <w:b/>
                <w:bCs/>
                <w:color w:val="FFFFFF"/>
                <w:sz w:val="18"/>
                <w:szCs w:val="18"/>
                <w:lang w:eastAsia="sk-SK"/>
              </w:rPr>
              <w:t> </w:t>
            </w:r>
          </w:p>
        </w:tc>
        <w:tc>
          <w:tcPr>
            <w:tcW w:w="1027" w:type="pct"/>
            <w:tcBorders>
              <w:top w:val="single" w:sz="4" w:space="0" w:color="FFFFFF" w:themeColor="background1"/>
              <w:left w:val="single" w:sz="4" w:space="0" w:color="FFFFFF" w:themeColor="background1"/>
              <w:right w:val="single" w:sz="4" w:space="0" w:color="FFFFFF" w:themeColor="background1"/>
            </w:tcBorders>
            <w:shd w:val="clear" w:color="000000" w:fill="314364"/>
            <w:vAlign w:val="center"/>
            <w:hideMark/>
          </w:tcPr>
          <w:p w14:paraId="43071B9B" w14:textId="77777777" w:rsidR="00695476" w:rsidRPr="00CF67BC" w:rsidRDefault="00695476" w:rsidP="00004331">
            <w:pPr>
              <w:spacing w:after="0" w:line="240" w:lineRule="auto"/>
              <w:jc w:val="center"/>
              <w:rPr>
                <w:rFonts w:eastAsia="Times New Roman" w:cs="Segoe UI"/>
                <w:b/>
                <w:bCs/>
                <w:color w:val="FFFFFF"/>
                <w:sz w:val="18"/>
                <w:szCs w:val="18"/>
                <w:lang w:eastAsia="sk-SK"/>
              </w:rPr>
            </w:pPr>
            <w:r w:rsidRPr="00CF67BC">
              <w:rPr>
                <w:rFonts w:eastAsia="Times New Roman" w:cs="Segoe UI"/>
                <w:b/>
                <w:bCs/>
                <w:color w:val="FFFFFF"/>
                <w:sz w:val="18"/>
                <w:szCs w:val="18"/>
                <w:lang w:eastAsia="sk-SK"/>
              </w:rPr>
              <w:t>3. PO</w:t>
            </w:r>
          </w:p>
        </w:tc>
        <w:tc>
          <w:tcPr>
            <w:tcW w:w="1019" w:type="pct"/>
            <w:tcBorders>
              <w:top w:val="single" w:sz="4" w:space="0" w:color="FFFFFF" w:themeColor="background1"/>
              <w:left w:val="single" w:sz="4" w:space="0" w:color="FFFFFF" w:themeColor="background1"/>
              <w:right w:val="single" w:sz="4" w:space="0" w:color="FFFFFF" w:themeColor="background1"/>
            </w:tcBorders>
            <w:shd w:val="clear" w:color="000000" w:fill="314364"/>
            <w:vAlign w:val="center"/>
            <w:hideMark/>
          </w:tcPr>
          <w:p w14:paraId="02BAEBFE" w14:textId="77777777" w:rsidR="00695476" w:rsidRPr="00CF67BC" w:rsidRDefault="00695476" w:rsidP="00004331">
            <w:pPr>
              <w:spacing w:after="0" w:line="240" w:lineRule="auto"/>
              <w:jc w:val="center"/>
              <w:rPr>
                <w:rFonts w:eastAsia="Times New Roman" w:cs="Segoe UI"/>
                <w:b/>
                <w:bCs/>
                <w:color w:val="FFFFFF"/>
                <w:sz w:val="18"/>
                <w:szCs w:val="18"/>
                <w:lang w:eastAsia="sk-SK"/>
              </w:rPr>
            </w:pPr>
            <w:r w:rsidRPr="00CF67BC">
              <w:rPr>
                <w:rFonts w:eastAsia="Times New Roman" w:cs="Segoe UI"/>
                <w:b/>
                <w:bCs/>
                <w:color w:val="FFFFFF"/>
                <w:sz w:val="18"/>
                <w:szCs w:val="18"/>
                <w:lang w:eastAsia="sk-SK"/>
              </w:rPr>
              <w:t>4. PO</w:t>
            </w:r>
          </w:p>
        </w:tc>
        <w:tc>
          <w:tcPr>
            <w:tcW w:w="1205" w:type="pct"/>
            <w:vMerge/>
            <w:tcBorders>
              <w:left w:val="single" w:sz="4" w:space="0" w:color="FFFFFF" w:themeColor="background1"/>
            </w:tcBorders>
            <w:vAlign w:val="center"/>
            <w:hideMark/>
          </w:tcPr>
          <w:p w14:paraId="57FC2B37" w14:textId="77777777" w:rsidR="00695476" w:rsidRPr="00CF67BC" w:rsidRDefault="00695476" w:rsidP="00004331">
            <w:pPr>
              <w:spacing w:after="0" w:line="240" w:lineRule="auto"/>
              <w:rPr>
                <w:rFonts w:eastAsia="Times New Roman" w:cs="Segoe UI"/>
                <w:b/>
                <w:bCs/>
                <w:color w:val="FFFFFF"/>
                <w:sz w:val="18"/>
                <w:szCs w:val="18"/>
                <w:lang w:eastAsia="sk-SK"/>
              </w:rPr>
            </w:pPr>
          </w:p>
        </w:tc>
      </w:tr>
      <w:tr w:rsidR="00695476" w:rsidRPr="00CF67BC" w14:paraId="3715A09D" w14:textId="77777777" w:rsidTr="00695476">
        <w:trPr>
          <w:trHeight w:val="356"/>
        </w:trPr>
        <w:tc>
          <w:tcPr>
            <w:tcW w:w="1749" w:type="pct"/>
            <w:tcBorders>
              <w:top w:val="nil"/>
              <w:left w:val="single" w:sz="4" w:space="0" w:color="FFFFFF" w:themeColor="background1"/>
              <w:bottom w:val="nil"/>
              <w:right w:val="single" w:sz="4" w:space="0" w:color="FFFFFF" w:themeColor="background1"/>
            </w:tcBorders>
            <w:shd w:val="clear" w:color="000000" w:fill="FFFFFF"/>
            <w:noWrap/>
            <w:vAlign w:val="center"/>
            <w:hideMark/>
          </w:tcPr>
          <w:p w14:paraId="6AC86A45" w14:textId="77777777" w:rsidR="00695476" w:rsidRPr="000C6806" w:rsidRDefault="00695476" w:rsidP="00004331">
            <w:pPr>
              <w:spacing w:after="0" w:line="240" w:lineRule="auto"/>
              <w:rPr>
                <w:rFonts w:eastAsia="Times New Roman" w:cs="Segoe UI"/>
                <w:sz w:val="18"/>
                <w:szCs w:val="18"/>
                <w:lang w:eastAsia="sk-SK"/>
              </w:rPr>
            </w:pPr>
            <w:r w:rsidRPr="000C6806">
              <w:rPr>
                <w:rFonts w:eastAsia="Times New Roman" w:cs="Segoe UI"/>
                <w:sz w:val="18"/>
                <w:szCs w:val="18"/>
                <w:lang w:eastAsia="sk-SK"/>
              </w:rPr>
              <w:t xml:space="preserve">Poľnohospodárske fondy </w:t>
            </w:r>
          </w:p>
        </w:tc>
        <w:tc>
          <w:tcPr>
            <w:tcW w:w="1027" w:type="pct"/>
            <w:tcBorders>
              <w:left w:val="single" w:sz="4" w:space="0" w:color="FFFFFF" w:themeColor="background1"/>
              <w:bottom w:val="nil"/>
              <w:right w:val="single" w:sz="4" w:space="0" w:color="FFFFFF" w:themeColor="background1"/>
            </w:tcBorders>
            <w:shd w:val="clear" w:color="000000" w:fill="FFFFFF"/>
            <w:noWrap/>
            <w:vAlign w:val="center"/>
            <w:hideMark/>
          </w:tcPr>
          <w:p w14:paraId="25A1C890" w14:textId="77777777" w:rsidR="00695476" w:rsidRPr="000C6806" w:rsidRDefault="00695476" w:rsidP="00004331">
            <w:pPr>
              <w:spacing w:after="0" w:line="240" w:lineRule="auto"/>
              <w:jc w:val="right"/>
              <w:rPr>
                <w:rFonts w:eastAsia="Times New Roman" w:cs="Segoe UI"/>
                <w:sz w:val="18"/>
                <w:szCs w:val="18"/>
                <w:lang w:eastAsia="sk-SK"/>
              </w:rPr>
            </w:pPr>
            <w:r w:rsidRPr="000C6806">
              <w:rPr>
                <w:rFonts w:eastAsia="Times New Roman" w:cs="Segoe UI"/>
                <w:sz w:val="18"/>
                <w:szCs w:val="18"/>
                <w:lang w:eastAsia="sk-SK"/>
              </w:rPr>
              <w:t>0,0</w:t>
            </w:r>
          </w:p>
        </w:tc>
        <w:tc>
          <w:tcPr>
            <w:tcW w:w="1019" w:type="pct"/>
            <w:tcBorders>
              <w:left w:val="single" w:sz="4" w:space="0" w:color="FFFFFF" w:themeColor="background1"/>
              <w:bottom w:val="nil"/>
              <w:right w:val="single" w:sz="4" w:space="0" w:color="FFFFFF" w:themeColor="background1"/>
            </w:tcBorders>
            <w:shd w:val="clear" w:color="000000" w:fill="FFFFFF"/>
            <w:noWrap/>
            <w:vAlign w:val="center"/>
            <w:hideMark/>
          </w:tcPr>
          <w:p w14:paraId="4A98085D" w14:textId="77777777" w:rsidR="00695476" w:rsidRPr="000C6806" w:rsidRDefault="00695476" w:rsidP="00004331">
            <w:pPr>
              <w:spacing w:after="0" w:line="240" w:lineRule="auto"/>
              <w:jc w:val="right"/>
              <w:rPr>
                <w:rFonts w:eastAsia="Times New Roman" w:cs="Segoe UI"/>
                <w:sz w:val="18"/>
                <w:szCs w:val="18"/>
                <w:lang w:eastAsia="sk-SK"/>
              </w:rPr>
            </w:pPr>
            <w:r w:rsidRPr="000C6806">
              <w:rPr>
                <w:rFonts w:eastAsia="Times New Roman" w:cs="Segoe UI"/>
                <w:sz w:val="18"/>
                <w:szCs w:val="18"/>
                <w:lang w:eastAsia="sk-SK"/>
              </w:rPr>
              <w:t>578,9</w:t>
            </w:r>
          </w:p>
        </w:tc>
        <w:tc>
          <w:tcPr>
            <w:tcW w:w="1205" w:type="pct"/>
            <w:tcBorders>
              <w:top w:val="nil"/>
              <w:left w:val="single" w:sz="4" w:space="0" w:color="FFFFFF" w:themeColor="background1"/>
              <w:bottom w:val="nil"/>
            </w:tcBorders>
            <w:shd w:val="clear" w:color="000000" w:fill="FFFFFF"/>
            <w:noWrap/>
            <w:vAlign w:val="center"/>
            <w:hideMark/>
          </w:tcPr>
          <w:p w14:paraId="4585BFA3" w14:textId="77777777" w:rsidR="00695476" w:rsidRPr="000C6806" w:rsidRDefault="00695476" w:rsidP="00004331">
            <w:pPr>
              <w:spacing w:after="0" w:line="240" w:lineRule="auto"/>
              <w:jc w:val="right"/>
              <w:rPr>
                <w:rFonts w:eastAsia="Times New Roman" w:cs="Segoe UI"/>
                <w:sz w:val="18"/>
                <w:szCs w:val="18"/>
                <w:lang w:eastAsia="sk-SK"/>
              </w:rPr>
            </w:pPr>
            <w:r w:rsidRPr="000C6806">
              <w:rPr>
                <w:rFonts w:eastAsia="Times New Roman" w:cs="Segoe UI"/>
                <w:sz w:val="18"/>
                <w:szCs w:val="18"/>
                <w:lang w:eastAsia="sk-SK"/>
              </w:rPr>
              <w:t>-</w:t>
            </w:r>
          </w:p>
        </w:tc>
      </w:tr>
      <w:tr w:rsidR="00695476" w:rsidRPr="00CF67BC" w14:paraId="46817D7F" w14:textId="77777777" w:rsidTr="00695476">
        <w:trPr>
          <w:trHeight w:val="292"/>
        </w:trPr>
        <w:tc>
          <w:tcPr>
            <w:tcW w:w="1749" w:type="pct"/>
            <w:tcBorders>
              <w:top w:val="nil"/>
              <w:left w:val="single" w:sz="4" w:space="0" w:color="FFFFFF" w:themeColor="background1"/>
              <w:bottom w:val="single" w:sz="4" w:space="0" w:color="FFFFFF" w:themeColor="background1"/>
              <w:right w:val="single" w:sz="4" w:space="0" w:color="FFFFFF" w:themeColor="background1"/>
            </w:tcBorders>
            <w:shd w:val="clear" w:color="000000" w:fill="FFFFFF"/>
            <w:noWrap/>
            <w:vAlign w:val="center"/>
            <w:hideMark/>
          </w:tcPr>
          <w:p w14:paraId="53BF7D0D" w14:textId="77777777" w:rsidR="00695476" w:rsidRPr="000C6806" w:rsidRDefault="00695476" w:rsidP="00004331">
            <w:pPr>
              <w:spacing w:after="0" w:line="240" w:lineRule="auto"/>
              <w:rPr>
                <w:rFonts w:eastAsia="Times New Roman" w:cs="Segoe UI"/>
                <w:sz w:val="18"/>
                <w:szCs w:val="18"/>
                <w:lang w:eastAsia="sk-SK"/>
              </w:rPr>
            </w:pPr>
            <w:r w:rsidRPr="000C6806">
              <w:rPr>
                <w:rFonts w:eastAsia="Times New Roman" w:cs="Segoe UI"/>
                <w:sz w:val="18"/>
                <w:szCs w:val="18"/>
                <w:lang w:eastAsia="sk-SK"/>
              </w:rPr>
              <w:t>Štrukturálne fondy</w:t>
            </w:r>
          </w:p>
        </w:tc>
        <w:tc>
          <w:tcPr>
            <w:tcW w:w="1027" w:type="pct"/>
            <w:tcBorders>
              <w:top w:val="nil"/>
              <w:left w:val="single" w:sz="4" w:space="0" w:color="FFFFFF" w:themeColor="background1"/>
              <w:bottom w:val="single" w:sz="4" w:space="0" w:color="FFFFFF" w:themeColor="background1"/>
              <w:right w:val="single" w:sz="4" w:space="0" w:color="FFFFFF" w:themeColor="background1"/>
            </w:tcBorders>
            <w:shd w:val="clear" w:color="000000" w:fill="FFFFFF"/>
            <w:noWrap/>
            <w:vAlign w:val="center"/>
            <w:hideMark/>
          </w:tcPr>
          <w:p w14:paraId="742D49A4" w14:textId="77777777" w:rsidR="00695476" w:rsidRPr="000C6806" w:rsidRDefault="00695476" w:rsidP="00004331">
            <w:pPr>
              <w:spacing w:after="0" w:line="240" w:lineRule="auto"/>
              <w:jc w:val="right"/>
              <w:rPr>
                <w:rFonts w:eastAsia="Times New Roman" w:cs="Segoe UI"/>
                <w:sz w:val="18"/>
                <w:szCs w:val="18"/>
                <w:lang w:eastAsia="sk-SK"/>
              </w:rPr>
            </w:pPr>
            <w:r w:rsidRPr="000C6806">
              <w:rPr>
                <w:rFonts w:eastAsia="Times New Roman" w:cs="Segoe UI"/>
                <w:sz w:val="18"/>
                <w:szCs w:val="18"/>
                <w:lang w:eastAsia="sk-SK"/>
              </w:rPr>
              <w:t>0,0</w:t>
            </w:r>
          </w:p>
        </w:tc>
        <w:tc>
          <w:tcPr>
            <w:tcW w:w="1019" w:type="pct"/>
            <w:tcBorders>
              <w:top w:val="nil"/>
              <w:left w:val="single" w:sz="4" w:space="0" w:color="FFFFFF" w:themeColor="background1"/>
              <w:bottom w:val="single" w:sz="4" w:space="0" w:color="FFFFFF" w:themeColor="background1"/>
              <w:right w:val="single" w:sz="4" w:space="0" w:color="FFFFFF" w:themeColor="background1"/>
            </w:tcBorders>
            <w:shd w:val="clear" w:color="000000" w:fill="FFFFFF"/>
            <w:noWrap/>
            <w:vAlign w:val="center"/>
            <w:hideMark/>
          </w:tcPr>
          <w:p w14:paraId="086F0454" w14:textId="77777777" w:rsidR="00695476" w:rsidRPr="000C6806" w:rsidRDefault="00695476" w:rsidP="00004331">
            <w:pPr>
              <w:spacing w:after="0" w:line="240" w:lineRule="auto"/>
              <w:jc w:val="right"/>
              <w:rPr>
                <w:rFonts w:eastAsia="Times New Roman" w:cs="Segoe UI"/>
                <w:sz w:val="18"/>
                <w:szCs w:val="18"/>
                <w:lang w:eastAsia="sk-SK"/>
              </w:rPr>
            </w:pPr>
            <w:r w:rsidRPr="000C6806">
              <w:rPr>
                <w:rFonts w:eastAsia="Times New Roman" w:cs="Segoe UI"/>
                <w:sz w:val="18"/>
                <w:szCs w:val="18"/>
                <w:lang w:eastAsia="sk-SK"/>
              </w:rPr>
              <w:t>1 563,3</w:t>
            </w:r>
          </w:p>
        </w:tc>
        <w:tc>
          <w:tcPr>
            <w:tcW w:w="1205" w:type="pct"/>
            <w:tcBorders>
              <w:top w:val="nil"/>
              <w:left w:val="single" w:sz="4" w:space="0" w:color="FFFFFF" w:themeColor="background1"/>
              <w:bottom w:val="single" w:sz="4" w:space="0" w:color="FFFFFF" w:themeColor="background1"/>
            </w:tcBorders>
            <w:shd w:val="clear" w:color="000000" w:fill="FFFFFF"/>
            <w:noWrap/>
            <w:vAlign w:val="center"/>
            <w:hideMark/>
          </w:tcPr>
          <w:p w14:paraId="2605C5C9" w14:textId="77777777" w:rsidR="00695476" w:rsidRPr="000C6806" w:rsidRDefault="00695476" w:rsidP="00004331">
            <w:pPr>
              <w:spacing w:after="0" w:line="240" w:lineRule="auto"/>
              <w:jc w:val="right"/>
              <w:rPr>
                <w:rFonts w:eastAsia="Times New Roman" w:cs="Segoe UI"/>
                <w:sz w:val="18"/>
                <w:szCs w:val="18"/>
                <w:lang w:eastAsia="sk-SK"/>
              </w:rPr>
            </w:pPr>
            <w:r w:rsidRPr="000C6806">
              <w:rPr>
                <w:rFonts w:eastAsia="Times New Roman" w:cs="Segoe UI"/>
                <w:sz w:val="18"/>
                <w:szCs w:val="18"/>
                <w:lang w:eastAsia="sk-SK"/>
              </w:rPr>
              <w:t>-</w:t>
            </w:r>
          </w:p>
        </w:tc>
      </w:tr>
      <w:tr w:rsidR="00695476" w:rsidRPr="00CF67BC" w14:paraId="52628F6C" w14:textId="77777777" w:rsidTr="00695476">
        <w:trPr>
          <w:trHeight w:val="292"/>
        </w:trPr>
        <w:tc>
          <w:tcPr>
            <w:tcW w:w="1749" w:type="pct"/>
            <w:tcBorders>
              <w:top w:val="single" w:sz="4" w:space="0" w:color="FFFFFF" w:themeColor="background1"/>
              <w:left w:val="nil"/>
            </w:tcBorders>
            <w:shd w:val="clear" w:color="000000" w:fill="FFFFFF"/>
            <w:noWrap/>
            <w:vAlign w:val="center"/>
          </w:tcPr>
          <w:p w14:paraId="70B843EE" w14:textId="77777777" w:rsidR="00695476" w:rsidRPr="000C6806" w:rsidRDefault="00695476" w:rsidP="00004331">
            <w:pPr>
              <w:spacing w:after="0" w:line="240" w:lineRule="auto"/>
              <w:rPr>
                <w:rFonts w:eastAsia="Times New Roman" w:cs="Segoe UI"/>
                <w:b/>
                <w:sz w:val="18"/>
                <w:szCs w:val="18"/>
                <w:lang w:eastAsia="sk-SK"/>
              </w:rPr>
            </w:pPr>
            <w:r w:rsidRPr="000C6806">
              <w:rPr>
                <w:rFonts w:eastAsia="Times New Roman" w:cs="Segoe UI"/>
                <w:b/>
                <w:color w:val="002060"/>
                <w:sz w:val="18"/>
                <w:szCs w:val="18"/>
                <w:lang w:eastAsia="sk-SK"/>
              </w:rPr>
              <w:t>Prostriedky z rozpočtu EÚ spolu</w:t>
            </w:r>
          </w:p>
        </w:tc>
        <w:tc>
          <w:tcPr>
            <w:tcW w:w="2046" w:type="pct"/>
            <w:gridSpan w:val="2"/>
            <w:tcBorders>
              <w:top w:val="single" w:sz="4" w:space="0" w:color="FFFFFF" w:themeColor="background1"/>
            </w:tcBorders>
            <w:shd w:val="clear" w:color="000000" w:fill="FFFFFF"/>
            <w:noWrap/>
            <w:vAlign w:val="center"/>
          </w:tcPr>
          <w:p w14:paraId="6812F6A6" w14:textId="77777777" w:rsidR="00695476" w:rsidRPr="000C6806" w:rsidRDefault="00695476" w:rsidP="00004331">
            <w:pPr>
              <w:spacing w:after="0" w:line="240" w:lineRule="auto"/>
              <w:jc w:val="center"/>
              <w:rPr>
                <w:rFonts w:eastAsia="Times New Roman" w:cs="Segoe UI"/>
                <w:sz w:val="18"/>
                <w:szCs w:val="18"/>
                <w:lang w:eastAsia="sk-SK"/>
              </w:rPr>
            </w:pPr>
            <w:r w:rsidRPr="000C6806">
              <w:rPr>
                <w:rFonts w:cs="Segoe UI"/>
                <w:b/>
                <w:bCs/>
                <w:color w:val="002060"/>
                <w:sz w:val="18"/>
                <w:szCs w:val="18"/>
              </w:rPr>
              <w:t>2 142,3</w:t>
            </w:r>
          </w:p>
        </w:tc>
        <w:tc>
          <w:tcPr>
            <w:tcW w:w="1205" w:type="pct"/>
            <w:tcBorders>
              <w:top w:val="single" w:sz="4" w:space="0" w:color="FFFFFF" w:themeColor="background1"/>
              <w:right w:val="single" w:sz="4" w:space="0" w:color="FFFFFF" w:themeColor="background1"/>
            </w:tcBorders>
            <w:shd w:val="clear" w:color="000000" w:fill="FFFFFF"/>
            <w:noWrap/>
            <w:vAlign w:val="center"/>
          </w:tcPr>
          <w:p w14:paraId="3A8D1B71" w14:textId="77777777" w:rsidR="00695476" w:rsidRPr="000C6806" w:rsidRDefault="00695476" w:rsidP="00004331">
            <w:pPr>
              <w:spacing w:after="0" w:line="240" w:lineRule="auto"/>
              <w:jc w:val="right"/>
              <w:rPr>
                <w:rFonts w:eastAsia="Times New Roman" w:cs="Segoe UI"/>
                <w:sz w:val="18"/>
                <w:szCs w:val="18"/>
                <w:lang w:eastAsia="sk-SK"/>
              </w:rPr>
            </w:pPr>
            <w:r>
              <w:rPr>
                <w:rFonts w:eastAsia="Times New Roman" w:cs="Segoe UI"/>
                <w:sz w:val="18"/>
                <w:szCs w:val="18"/>
                <w:lang w:eastAsia="sk-SK"/>
              </w:rPr>
              <w:t>-</w:t>
            </w:r>
          </w:p>
        </w:tc>
      </w:tr>
      <w:tr w:rsidR="00695476" w:rsidRPr="005F44C7" w14:paraId="36027AA8" w14:textId="77777777" w:rsidTr="00695476">
        <w:trPr>
          <w:trHeight w:val="292"/>
        </w:trPr>
        <w:tc>
          <w:tcPr>
            <w:tcW w:w="1749" w:type="pct"/>
            <w:tcBorders>
              <w:bottom w:val="single" w:sz="4" w:space="0" w:color="auto"/>
            </w:tcBorders>
            <w:shd w:val="clear" w:color="auto" w:fill="FFFFFF" w:themeFill="background1"/>
            <w:vAlign w:val="center"/>
          </w:tcPr>
          <w:p w14:paraId="2A25061E" w14:textId="77777777" w:rsidR="00695476" w:rsidRPr="005F44C7" w:rsidRDefault="00695476" w:rsidP="00004331">
            <w:pPr>
              <w:spacing w:after="0"/>
              <w:jc w:val="left"/>
              <w:rPr>
                <w:rFonts w:eastAsia="Times New Roman" w:cs="Segoe UI"/>
                <w:b/>
                <w:bCs/>
                <w:color w:val="000000"/>
                <w:sz w:val="18"/>
                <w:szCs w:val="18"/>
                <w:lang w:eastAsia="sk-SK"/>
              </w:rPr>
            </w:pPr>
            <w:r w:rsidRPr="000C6806">
              <w:rPr>
                <w:rFonts w:eastAsia="Times New Roman" w:cs="Segoe UI"/>
                <w:b/>
                <w:color w:val="002060"/>
                <w:sz w:val="18"/>
                <w:szCs w:val="18"/>
                <w:lang w:eastAsia="sk-SK"/>
              </w:rPr>
              <w:t>Prostriedky z POO</w:t>
            </w:r>
          </w:p>
        </w:tc>
        <w:tc>
          <w:tcPr>
            <w:tcW w:w="1027" w:type="pct"/>
            <w:tcBorders>
              <w:bottom w:val="single" w:sz="4" w:space="0" w:color="auto"/>
            </w:tcBorders>
            <w:shd w:val="clear" w:color="auto" w:fill="FFFFFF" w:themeFill="background1"/>
            <w:vAlign w:val="center"/>
          </w:tcPr>
          <w:p w14:paraId="6968653E" w14:textId="77777777" w:rsidR="00695476" w:rsidRPr="000C6806" w:rsidRDefault="00695476" w:rsidP="00004331">
            <w:pPr>
              <w:spacing w:after="0"/>
              <w:jc w:val="right"/>
              <w:rPr>
                <w:rFonts w:cs="Segoe UI"/>
                <w:bCs/>
                <w:sz w:val="18"/>
                <w:szCs w:val="18"/>
              </w:rPr>
            </w:pPr>
            <w:r w:rsidRPr="000C6806">
              <w:rPr>
                <w:rFonts w:cs="Segoe UI"/>
                <w:bCs/>
                <w:sz w:val="18"/>
                <w:szCs w:val="18"/>
              </w:rPr>
              <w:t>-</w:t>
            </w:r>
          </w:p>
        </w:tc>
        <w:tc>
          <w:tcPr>
            <w:tcW w:w="1019" w:type="pct"/>
            <w:tcBorders>
              <w:bottom w:val="single" w:sz="4" w:space="0" w:color="auto"/>
            </w:tcBorders>
            <w:shd w:val="clear" w:color="000000" w:fill="FFFFFF" w:themeFill="background1"/>
            <w:vAlign w:val="center"/>
          </w:tcPr>
          <w:p w14:paraId="6500EC24" w14:textId="77777777" w:rsidR="00695476" w:rsidRPr="000C6806" w:rsidDel="002B62C8" w:rsidRDefault="00695476" w:rsidP="00004331">
            <w:pPr>
              <w:spacing w:after="0"/>
              <w:jc w:val="right"/>
              <w:rPr>
                <w:rFonts w:cs="Segoe UI"/>
                <w:bCs/>
                <w:sz w:val="18"/>
                <w:szCs w:val="18"/>
              </w:rPr>
            </w:pPr>
            <w:r w:rsidRPr="000C6806">
              <w:rPr>
                <w:rFonts w:cs="Segoe UI"/>
                <w:bCs/>
                <w:sz w:val="18"/>
                <w:szCs w:val="18"/>
              </w:rPr>
              <w:t>-</w:t>
            </w:r>
          </w:p>
        </w:tc>
        <w:tc>
          <w:tcPr>
            <w:tcW w:w="1205" w:type="pct"/>
            <w:tcBorders>
              <w:bottom w:val="single" w:sz="4" w:space="0" w:color="auto"/>
              <w:right w:val="single" w:sz="4" w:space="0" w:color="FFFFFF" w:themeColor="background1"/>
            </w:tcBorders>
            <w:shd w:val="clear" w:color="000000" w:fill="FFFFFF" w:themeFill="background1"/>
            <w:vAlign w:val="center"/>
          </w:tcPr>
          <w:p w14:paraId="6F6FFB24" w14:textId="77777777" w:rsidR="00695476" w:rsidRPr="000C6806" w:rsidRDefault="00695476" w:rsidP="00004331">
            <w:pPr>
              <w:spacing w:after="0"/>
              <w:jc w:val="right"/>
              <w:rPr>
                <w:rFonts w:cs="Segoe UI"/>
                <w:b/>
                <w:bCs/>
                <w:color w:val="002060"/>
                <w:sz w:val="18"/>
                <w:szCs w:val="18"/>
              </w:rPr>
            </w:pPr>
            <w:r w:rsidRPr="000C6806">
              <w:rPr>
                <w:rFonts w:cs="Segoe UI"/>
                <w:b/>
                <w:bCs/>
                <w:color w:val="002060"/>
                <w:sz w:val="18"/>
                <w:szCs w:val="18"/>
              </w:rPr>
              <w:t>1 205,5</w:t>
            </w:r>
          </w:p>
        </w:tc>
      </w:tr>
      <w:tr w:rsidR="00695476" w:rsidRPr="00CF67BC" w14:paraId="05BDA58E" w14:textId="77777777" w:rsidTr="00004331">
        <w:trPr>
          <w:trHeight w:val="292"/>
        </w:trPr>
        <w:tc>
          <w:tcPr>
            <w:tcW w:w="1749" w:type="pct"/>
            <w:tcBorders>
              <w:top w:val="single" w:sz="4" w:space="0" w:color="auto"/>
              <w:bottom w:val="single" w:sz="4" w:space="0" w:color="auto"/>
            </w:tcBorders>
            <w:shd w:val="clear" w:color="auto" w:fill="FFFFFF" w:themeFill="background1"/>
            <w:vAlign w:val="center"/>
          </w:tcPr>
          <w:p w14:paraId="18284C23" w14:textId="77777777" w:rsidR="00695476" w:rsidRDefault="00695476" w:rsidP="00004331">
            <w:pPr>
              <w:spacing w:after="0"/>
              <w:jc w:val="left"/>
              <w:rPr>
                <w:rFonts w:eastAsia="Times New Roman" w:cs="Segoe UI"/>
                <w:sz w:val="18"/>
                <w:szCs w:val="18"/>
                <w:lang w:eastAsia="sk-SK"/>
              </w:rPr>
            </w:pPr>
            <w:r w:rsidRPr="00C47238">
              <w:rPr>
                <w:rFonts w:eastAsia="Times New Roman" w:cs="Segoe UI"/>
                <w:b/>
                <w:bCs/>
                <w:color w:val="000000"/>
                <w:sz w:val="18"/>
                <w:szCs w:val="18"/>
                <w:lang w:eastAsia="sk-SK"/>
              </w:rPr>
              <w:t>Prostriedky z EÚ spolu</w:t>
            </w:r>
          </w:p>
        </w:tc>
        <w:tc>
          <w:tcPr>
            <w:tcW w:w="3251" w:type="pct"/>
            <w:gridSpan w:val="3"/>
            <w:tcBorders>
              <w:top w:val="single" w:sz="4" w:space="0" w:color="auto"/>
              <w:bottom w:val="single" w:sz="4" w:space="0" w:color="auto"/>
              <w:right w:val="single" w:sz="4" w:space="0" w:color="FFFFFF" w:themeColor="background1"/>
            </w:tcBorders>
            <w:shd w:val="clear" w:color="auto" w:fill="FFFFFF" w:themeFill="background1"/>
            <w:vAlign w:val="center"/>
          </w:tcPr>
          <w:p w14:paraId="5CFD8AAB" w14:textId="77777777" w:rsidR="00695476" w:rsidRPr="005F44C7" w:rsidRDefault="00695476" w:rsidP="00004331">
            <w:pPr>
              <w:spacing w:after="0"/>
              <w:jc w:val="center"/>
              <w:rPr>
                <w:rFonts w:cs="Segoe UI"/>
                <w:bCs/>
                <w:sz w:val="18"/>
                <w:szCs w:val="18"/>
              </w:rPr>
            </w:pPr>
            <w:r w:rsidRPr="000C6806">
              <w:rPr>
                <w:rFonts w:cs="Segoe UI"/>
                <w:b/>
                <w:bCs/>
                <w:sz w:val="18"/>
                <w:szCs w:val="18"/>
              </w:rPr>
              <w:t>3 347,8</w:t>
            </w:r>
          </w:p>
        </w:tc>
      </w:tr>
      <w:tr w:rsidR="00695476" w:rsidRPr="00CF67BC" w14:paraId="76DE690C" w14:textId="77777777" w:rsidTr="00004331">
        <w:trPr>
          <w:trHeight w:val="292"/>
        </w:trPr>
        <w:tc>
          <w:tcPr>
            <w:tcW w:w="1749" w:type="pct"/>
            <w:shd w:val="clear" w:color="auto" w:fill="FFFFFF" w:themeFill="background1"/>
            <w:vAlign w:val="center"/>
            <w:hideMark/>
          </w:tcPr>
          <w:p w14:paraId="3E7B187C" w14:textId="3474D079" w:rsidR="00695476" w:rsidRPr="00695476" w:rsidRDefault="00695476" w:rsidP="00695476">
            <w:pPr>
              <w:pStyle w:val="Zdroj"/>
              <w:jc w:val="both"/>
              <w:rPr>
                <w:rFonts w:cs="Segoe UI"/>
              </w:rPr>
            </w:pPr>
            <w:r w:rsidRPr="00F850E2">
              <w:rPr>
                <w:rFonts w:cs="Segoe UI"/>
              </w:rPr>
              <w:t>Zdroj: Návrh RVS 2025 – 2027</w:t>
            </w:r>
            <w:r>
              <w:rPr>
                <w:rFonts w:cs="Segoe UI"/>
              </w:rPr>
              <w:t>.</w:t>
            </w:r>
          </w:p>
        </w:tc>
        <w:tc>
          <w:tcPr>
            <w:tcW w:w="3251" w:type="pct"/>
            <w:gridSpan w:val="3"/>
            <w:shd w:val="clear" w:color="auto" w:fill="FFFFFF" w:themeFill="background1"/>
            <w:vAlign w:val="center"/>
            <w:hideMark/>
          </w:tcPr>
          <w:p w14:paraId="1367240B" w14:textId="77777777" w:rsidR="00695476" w:rsidRPr="000C6806" w:rsidRDefault="00695476" w:rsidP="00004331">
            <w:pPr>
              <w:spacing w:after="0"/>
              <w:jc w:val="center"/>
              <w:rPr>
                <w:rFonts w:cs="Segoe UI"/>
                <w:b/>
                <w:bCs/>
                <w:sz w:val="18"/>
                <w:szCs w:val="18"/>
              </w:rPr>
            </w:pPr>
          </w:p>
        </w:tc>
      </w:tr>
    </w:tbl>
    <w:p w14:paraId="4D70F442" w14:textId="77777777" w:rsidR="00695476" w:rsidRDefault="00695476" w:rsidP="00695476">
      <w:pPr>
        <w:rPr>
          <w:rFonts w:cs="Segoe UI"/>
          <w:szCs w:val="20"/>
        </w:rPr>
      </w:pPr>
      <w:r w:rsidRPr="00695476">
        <w:rPr>
          <w:rFonts w:cs="Segoe UI"/>
          <w:b/>
          <w:szCs w:val="20"/>
        </w:rPr>
        <w:t>Rozpočet na rok 2025 zohľadňuje nevyhnutnú potrebu akcelerácie čerpania štrukturálnych fondov</w:t>
      </w:r>
      <w:r w:rsidRPr="00172A71">
        <w:rPr>
          <w:rFonts w:cs="Segoe UI"/>
          <w:szCs w:val="20"/>
        </w:rPr>
        <w:t xml:space="preserve"> v súvislosti s potrebou plnenia prvého finančného míľnika EK v zmysle pravidla n+3 za prvý ročný záväzok 2022.</w:t>
      </w:r>
      <w:r w:rsidRPr="00172A71">
        <w:rPr>
          <w:rStyle w:val="Odkaznapoznmkupodiarou"/>
          <w:rFonts w:cs="Segoe UI"/>
          <w:szCs w:val="20"/>
        </w:rPr>
        <w:footnoteReference w:id="33"/>
      </w:r>
    </w:p>
    <w:p w14:paraId="6E4013F1" w14:textId="2611F58D" w:rsidR="00F77E21" w:rsidRDefault="008C6D0D" w:rsidP="00F77E21">
      <w:pPr>
        <w:rPr>
          <w:rFonts w:cs="Segoe UI"/>
          <w:szCs w:val="20"/>
        </w:rPr>
      </w:pPr>
      <w:r w:rsidRPr="00F77E21">
        <w:rPr>
          <w:rFonts w:cs="Segoe UI"/>
          <w:b/>
          <w:szCs w:val="20"/>
        </w:rPr>
        <w:t>Výdavky za prostriedky EÚ</w:t>
      </w:r>
      <w:r w:rsidRPr="00F77E21">
        <w:rPr>
          <w:rStyle w:val="Odkaznapoznmkupodiarou"/>
          <w:rFonts w:cs="Segoe UI"/>
          <w:szCs w:val="20"/>
        </w:rPr>
        <w:footnoteReference w:id="34"/>
      </w:r>
      <w:r w:rsidRPr="00F77E21">
        <w:rPr>
          <w:rFonts w:cs="Segoe UI"/>
          <w:b/>
          <w:szCs w:val="20"/>
        </w:rPr>
        <w:t xml:space="preserve"> sú plánované na rok 2025 v rámci ôsmich kapitol</w:t>
      </w:r>
      <w:r w:rsidRPr="00F77E21">
        <w:rPr>
          <w:rFonts w:cs="Segoe UI"/>
          <w:szCs w:val="20"/>
          <w:vertAlign w:val="superscript"/>
        </w:rPr>
        <w:footnoteReference w:id="35"/>
      </w:r>
      <w:r w:rsidRPr="00172A71">
        <w:rPr>
          <w:rFonts w:cs="Segoe UI"/>
          <w:szCs w:val="20"/>
        </w:rPr>
        <w:t>, z toho za oblasť poľnohospodárskych fondov v sume 578,9 mil. eur a zvyšných 1 563,3 mil. eur za štrukturálne fondy.</w:t>
      </w:r>
      <w:r w:rsidR="00F77E21" w:rsidRPr="00F77E21">
        <w:rPr>
          <w:rFonts w:cs="Segoe UI"/>
          <w:szCs w:val="20"/>
        </w:rPr>
        <w:t xml:space="preserve"> </w:t>
      </w:r>
      <w:r w:rsidR="00F77E21" w:rsidRPr="00172A71">
        <w:rPr>
          <w:rFonts w:cs="Segoe UI"/>
          <w:szCs w:val="20"/>
        </w:rPr>
        <w:t xml:space="preserve">Prostriedky EÚ sa rozpočtujú s neutrálnym dopadom na verejné financie, </w:t>
      </w:r>
      <w:r w:rsidR="00F77E21">
        <w:rPr>
          <w:rFonts w:cs="Segoe UI"/>
          <w:szCs w:val="20"/>
        </w:rPr>
        <w:t>preto sú</w:t>
      </w:r>
      <w:r w:rsidR="00F77E21" w:rsidRPr="00172A71">
        <w:rPr>
          <w:rFonts w:cs="Segoe UI"/>
          <w:szCs w:val="20"/>
        </w:rPr>
        <w:t xml:space="preserve"> </w:t>
      </w:r>
      <w:r w:rsidR="00F77E21">
        <w:rPr>
          <w:rFonts w:cs="Segoe UI"/>
          <w:szCs w:val="20"/>
        </w:rPr>
        <w:t xml:space="preserve">rozpočtované </w:t>
      </w:r>
      <w:r w:rsidR="00F77E21" w:rsidRPr="00172A71">
        <w:rPr>
          <w:rFonts w:cs="Segoe UI"/>
          <w:szCs w:val="20"/>
        </w:rPr>
        <w:t xml:space="preserve">v rovnakej sume </w:t>
      </w:r>
      <w:r w:rsidR="00F77E21">
        <w:rPr>
          <w:rFonts w:cs="Segoe UI"/>
          <w:szCs w:val="20"/>
        </w:rPr>
        <w:t>ako príjmy (2,1 mld. eur)</w:t>
      </w:r>
      <w:r w:rsidR="00F77E21" w:rsidRPr="00172A71">
        <w:rPr>
          <w:rFonts w:cs="Segoe UI"/>
          <w:szCs w:val="20"/>
        </w:rPr>
        <w:t>.</w:t>
      </w:r>
    </w:p>
    <w:p w14:paraId="19989D63" w14:textId="77777777" w:rsidR="004B7A63" w:rsidRPr="00172A71" w:rsidRDefault="004B7A63" w:rsidP="004B7A63">
      <w:pPr>
        <w:rPr>
          <w:rFonts w:cs="Segoe UI"/>
          <w:szCs w:val="20"/>
        </w:rPr>
      </w:pPr>
      <w:r w:rsidRPr="00F77E21">
        <w:rPr>
          <w:rFonts w:cs="Segoe UI"/>
          <w:b/>
          <w:szCs w:val="20"/>
        </w:rPr>
        <w:t>K prostriedkom EÚ sa rozpočtujú aj výdavky na spolufinancovanie zo ŠR, ktoré sa</w:t>
      </w:r>
      <w:r>
        <w:rPr>
          <w:rFonts w:cs="Segoe UI"/>
          <w:b/>
          <w:szCs w:val="20"/>
        </w:rPr>
        <w:t xml:space="preserve"> od roku 2025</w:t>
      </w:r>
      <w:r w:rsidRPr="00F77E21">
        <w:rPr>
          <w:rFonts w:cs="Segoe UI"/>
          <w:b/>
          <w:szCs w:val="20"/>
        </w:rPr>
        <w:t xml:space="preserve"> </w:t>
      </w:r>
      <w:r>
        <w:rPr>
          <w:rFonts w:cs="Segoe UI"/>
          <w:szCs w:val="20"/>
        </w:rPr>
        <w:t>plánujú</w:t>
      </w:r>
      <w:r w:rsidRPr="00C15DBB">
        <w:rPr>
          <w:rFonts w:cs="Segoe UI"/>
          <w:szCs w:val="20"/>
        </w:rPr>
        <w:t xml:space="preserve"> </w:t>
      </w:r>
      <w:r w:rsidRPr="00172A71">
        <w:rPr>
          <w:rFonts w:cs="Segoe UI"/>
          <w:szCs w:val="20"/>
        </w:rPr>
        <w:t xml:space="preserve">v celkovom objeme 456,9 mil. eur, z toho výdavky na spolufinancovanie zo </w:t>
      </w:r>
      <w:r>
        <w:rPr>
          <w:rFonts w:cs="Segoe UI"/>
          <w:szCs w:val="20"/>
        </w:rPr>
        <w:t> </w:t>
      </w:r>
      <w:r w:rsidRPr="00172A71">
        <w:rPr>
          <w:rFonts w:cs="Segoe UI"/>
          <w:szCs w:val="20"/>
        </w:rPr>
        <w:t>ŠR k prostriedkom EÚ v objeme 447,8 mil. eur</w:t>
      </w:r>
      <w:r w:rsidRPr="00172A71">
        <w:rPr>
          <w:rStyle w:val="Odkaznapoznmkupodiarou"/>
          <w:rFonts w:cs="Segoe UI"/>
          <w:szCs w:val="20"/>
        </w:rPr>
        <w:footnoteReference w:id="36"/>
      </w:r>
      <w:r w:rsidRPr="00172A71">
        <w:rPr>
          <w:rFonts w:cs="Segoe UI"/>
          <w:szCs w:val="20"/>
        </w:rPr>
        <w:t xml:space="preserve"> a zvyšnú sumu 9</w:t>
      </w:r>
      <w:r>
        <w:rPr>
          <w:rFonts w:cs="Segoe UI"/>
          <w:szCs w:val="20"/>
        </w:rPr>
        <w:t>,1</w:t>
      </w:r>
      <w:r w:rsidRPr="00172A71">
        <w:rPr>
          <w:rFonts w:cs="Segoe UI"/>
          <w:szCs w:val="20"/>
        </w:rPr>
        <w:t> mil. eur tvoria výdavky na spolufinancovanie zo ŠR k</w:t>
      </w:r>
      <w:r>
        <w:rPr>
          <w:rFonts w:cs="Segoe UI"/>
          <w:szCs w:val="20"/>
        </w:rPr>
        <w:t> </w:t>
      </w:r>
      <w:r w:rsidRPr="00172A71">
        <w:rPr>
          <w:rFonts w:cs="Segoe UI"/>
          <w:szCs w:val="20"/>
        </w:rPr>
        <w:t>zahraničným grantom.</w:t>
      </w:r>
    </w:p>
    <w:p w14:paraId="25C68435" w14:textId="5E78B719" w:rsidR="008C6D0D" w:rsidRPr="00172A71" w:rsidRDefault="008C6D0D" w:rsidP="008C6D0D">
      <w:pPr>
        <w:rPr>
          <w:rFonts w:cs="Segoe UI"/>
          <w:szCs w:val="20"/>
        </w:rPr>
      </w:pPr>
      <w:r w:rsidRPr="00F77E21">
        <w:rPr>
          <w:rFonts w:cs="Segoe UI"/>
          <w:b/>
          <w:szCs w:val="20"/>
        </w:rPr>
        <w:t>Príjmy ŠR z prostriedkov POO na rok 2025 sú rozpočtované v rámci kapitoly VPS.</w:t>
      </w:r>
      <w:r w:rsidRPr="00172A71">
        <w:rPr>
          <w:rFonts w:cs="Segoe UI"/>
          <w:szCs w:val="20"/>
          <w:vertAlign w:val="superscript"/>
        </w:rPr>
        <w:footnoteReference w:id="37"/>
      </w:r>
      <w:r>
        <w:rPr>
          <w:rFonts w:cs="Segoe UI"/>
          <w:szCs w:val="20"/>
        </w:rPr>
        <w:t xml:space="preserve"> Tie sú určené na krytie uskutočnených výdavkov na implementáciu POO, ktoré sú vo </w:t>
      </w:r>
      <w:r w:rsidRPr="00172A71">
        <w:rPr>
          <w:rFonts w:cs="Segoe UI"/>
          <w:szCs w:val="20"/>
        </w:rPr>
        <w:t xml:space="preserve">výdavkoch ŠR na </w:t>
      </w:r>
      <w:r>
        <w:rPr>
          <w:rFonts w:cs="Segoe UI"/>
          <w:szCs w:val="20"/>
        </w:rPr>
        <w:t xml:space="preserve">budúci </w:t>
      </w:r>
      <w:r w:rsidRPr="00172A71">
        <w:rPr>
          <w:rFonts w:cs="Segoe UI"/>
          <w:szCs w:val="20"/>
        </w:rPr>
        <w:t>rok plánované v rámci 12 kapitol</w:t>
      </w:r>
      <w:r w:rsidRPr="00172A71">
        <w:rPr>
          <w:rFonts w:cs="Segoe UI"/>
          <w:szCs w:val="20"/>
          <w:vertAlign w:val="superscript"/>
        </w:rPr>
        <w:footnoteReference w:id="38"/>
      </w:r>
      <w:r w:rsidRPr="00172A71">
        <w:rPr>
          <w:rFonts w:cs="Segoe UI"/>
          <w:szCs w:val="20"/>
        </w:rPr>
        <w:t xml:space="preserve"> v celkovej výške 1 205,5 mil. eur. </w:t>
      </w:r>
    </w:p>
    <w:p w14:paraId="26FBB153" w14:textId="1AC0AC54" w:rsidR="00BE3D51" w:rsidRPr="00003AB7" w:rsidRDefault="00BE3D51" w:rsidP="00BE3D51">
      <w:pPr>
        <w:pStyle w:val="Nadpis2"/>
        <w:rPr>
          <w:rFonts w:cs="Segoe UI"/>
        </w:rPr>
      </w:pPr>
      <w:bookmarkStart w:id="28" w:name="_Toc181017725"/>
      <w:bookmarkStart w:id="29" w:name="_Toc182559185"/>
      <w:r w:rsidRPr="00003AB7">
        <w:rPr>
          <w:rFonts w:cs="Segoe UI"/>
        </w:rPr>
        <w:t xml:space="preserve">EŠIF programového obdobia 2014 </w:t>
      </w:r>
      <w:r w:rsidR="00455267">
        <w:rPr>
          <w:rFonts w:cs="Segoe UI"/>
        </w:rPr>
        <w:t xml:space="preserve">– </w:t>
      </w:r>
      <w:r w:rsidRPr="00003AB7">
        <w:rPr>
          <w:rFonts w:cs="Segoe UI"/>
        </w:rPr>
        <w:t>2020</w:t>
      </w:r>
      <w:bookmarkEnd w:id="28"/>
      <w:bookmarkEnd w:id="29"/>
    </w:p>
    <w:p w14:paraId="2E921652" w14:textId="39EEACA9" w:rsidR="00BE3D51" w:rsidRDefault="00BE3D51" w:rsidP="00BE3D51">
      <w:pPr>
        <w:rPr>
          <w:rFonts w:eastAsiaTheme="majorEastAsia" w:cs="Segoe UI"/>
          <w:szCs w:val="20"/>
        </w:rPr>
      </w:pPr>
      <w:r w:rsidRPr="00BE3D51">
        <w:rPr>
          <w:rFonts w:eastAsiaTheme="majorEastAsia" w:cs="Segoe UI"/>
          <w:b/>
          <w:szCs w:val="20"/>
        </w:rPr>
        <w:t xml:space="preserve">Možnosť čerpať finančné prostriedky v rámci 10 operačných programov </w:t>
      </w:r>
      <w:r w:rsidR="00FB742A">
        <w:rPr>
          <w:rFonts w:eastAsiaTheme="majorEastAsia" w:cs="Segoe UI"/>
          <w:szCs w:val="20"/>
        </w:rPr>
        <w:t xml:space="preserve">(OP) </w:t>
      </w:r>
      <w:r w:rsidRPr="00BE3D51">
        <w:rPr>
          <w:rFonts w:eastAsiaTheme="majorEastAsia" w:cs="Segoe UI"/>
          <w:b/>
          <w:szCs w:val="20"/>
        </w:rPr>
        <w:t>EŠIF bola ukončená 31. decembra 2023</w:t>
      </w:r>
      <w:r w:rsidRPr="00172A71">
        <w:rPr>
          <w:rFonts w:eastAsiaTheme="majorEastAsia" w:cs="Segoe UI"/>
          <w:szCs w:val="20"/>
        </w:rPr>
        <w:t xml:space="preserve">, kedy v zmysle pravidla n+3 museli byť vyplatené všetky prostriedky z úrovne </w:t>
      </w:r>
      <w:r w:rsidRPr="00172A71">
        <w:rPr>
          <w:rFonts w:eastAsiaTheme="majorEastAsia" w:cs="Segoe UI"/>
          <w:szCs w:val="20"/>
        </w:rPr>
        <w:lastRenderedPageBreak/>
        <w:t>prijímateľov na zhotoviteľov/dodávateľov. K </w:t>
      </w:r>
      <w:r>
        <w:rPr>
          <w:rFonts w:eastAsiaTheme="majorEastAsia" w:cs="Segoe UI"/>
          <w:szCs w:val="20"/>
        </w:rPr>
        <w:t>koncu</w:t>
      </w:r>
      <w:r w:rsidRPr="00172A71">
        <w:rPr>
          <w:rFonts w:eastAsiaTheme="majorEastAsia" w:cs="Segoe UI"/>
          <w:szCs w:val="20"/>
        </w:rPr>
        <w:t xml:space="preserve"> </w:t>
      </w:r>
      <w:r>
        <w:rPr>
          <w:rFonts w:eastAsiaTheme="majorEastAsia" w:cs="Segoe UI"/>
          <w:szCs w:val="20"/>
        </w:rPr>
        <w:t>septembr</w:t>
      </w:r>
      <w:r w:rsidR="008A27DD">
        <w:rPr>
          <w:rFonts w:eastAsiaTheme="majorEastAsia" w:cs="Segoe UI"/>
          <w:szCs w:val="20"/>
        </w:rPr>
        <w:t>a</w:t>
      </w:r>
      <w:r w:rsidRPr="00172A71">
        <w:rPr>
          <w:rFonts w:eastAsiaTheme="majorEastAsia" w:cs="Segoe UI"/>
          <w:szCs w:val="20"/>
        </w:rPr>
        <w:t xml:space="preserve"> 2024 </w:t>
      </w:r>
      <w:r>
        <w:rPr>
          <w:rFonts w:eastAsiaTheme="majorEastAsia" w:cs="Segoe UI"/>
          <w:szCs w:val="20"/>
        </w:rPr>
        <w:t>bol</w:t>
      </w:r>
      <w:r w:rsidRPr="00172A71">
        <w:rPr>
          <w:rFonts w:eastAsiaTheme="majorEastAsia" w:cs="Segoe UI"/>
          <w:szCs w:val="20"/>
        </w:rPr>
        <w:t xml:space="preserve"> stav čerpania</w:t>
      </w:r>
      <w:r w:rsidRPr="00172A71">
        <w:rPr>
          <w:rStyle w:val="Odkaznapoznmkupodiarou"/>
          <w:rFonts w:eastAsiaTheme="majorEastAsia" w:cs="Segoe UI"/>
          <w:szCs w:val="20"/>
        </w:rPr>
        <w:footnoteReference w:id="39"/>
      </w:r>
      <w:r w:rsidRPr="00172A71">
        <w:rPr>
          <w:rFonts w:eastAsiaTheme="majorEastAsia" w:cs="Segoe UI"/>
          <w:szCs w:val="20"/>
        </w:rPr>
        <w:t xml:space="preserve"> </w:t>
      </w:r>
      <w:r>
        <w:rPr>
          <w:rFonts w:eastAsiaTheme="majorEastAsia" w:cs="Segoe UI"/>
          <w:szCs w:val="20"/>
        </w:rPr>
        <w:t>desiatich</w:t>
      </w:r>
      <w:r w:rsidRPr="00172A71">
        <w:rPr>
          <w:rFonts w:eastAsiaTheme="majorEastAsia" w:cs="Segoe UI"/>
          <w:szCs w:val="20"/>
        </w:rPr>
        <w:t xml:space="preserve"> </w:t>
      </w:r>
      <w:r>
        <w:rPr>
          <w:rFonts w:eastAsiaTheme="majorEastAsia" w:cs="Segoe UI"/>
          <w:szCs w:val="20"/>
        </w:rPr>
        <w:t>OP</w:t>
      </w:r>
      <w:r w:rsidRPr="00172A71">
        <w:rPr>
          <w:rFonts w:eastAsiaTheme="majorEastAsia" w:cs="Segoe UI"/>
          <w:szCs w:val="20"/>
        </w:rPr>
        <w:t xml:space="preserve"> </w:t>
      </w:r>
      <w:r>
        <w:rPr>
          <w:rFonts w:eastAsiaTheme="majorEastAsia" w:cs="Segoe UI"/>
          <w:szCs w:val="20"/>
        </w:rPr>
        <w:t xml:space="preserve">na úrovni </w:t>
      </w:r>
      <w:r w:rsidRPr="00172A71">
        <w:rPr>
          <w:rFonts w:eastAsiaTheme="majorEastAsia" w:cs="Segoe UI"/>
          <w:szCs w:val="20"/>
        </w:rPr>
        <w:t>100,3 % z alokácie</w:t>
      </w:r>
      <w:r w:rsidRPr="00172A71">
        <w:rPr>
          <w:rStyle w:val="Odkaznapoznmkupodiarou"/>
          <w:rFonts w:eastAsiaTheme="majorEastAsia" w:cs="Segoe UI"/>
          <w:szCs w:val="20"/>
        </w:rPr>
        <w:footnoteReference w:id="40"/>
      </w:r>
      <w:r w:rsidRPr="00172A71">
        <w:rPr>
          <w:rFonts w:eastAsiaTheme="majorEastAsia" w:cs="Segoe UI"/>
          <w:szCs w:val="20"/>
        </w:rPr>
        <w:t>.</w:t>
      </w:r>
    </w:p>
    <w:p w14:paraId="1591B611" w14:textId="2B922B9C" w:rsidR="00DC0EAE" w:rsidRPr="00DC0EAE" w:rsidRDefault="00DC0EAE" w:rsidP="00DC0EAE">
      <w:pPr>
        <w:rPr>
          <w:rFonts w:eastAsiaTheme="majorEastAsia" w:cs="Segoe UI"/>
          <w:szCs w:val="20"/>
        </w:rPr>
      </w:pPr>
      <w:r w:rsidRPr="00DC0EAE">
        <w:rPr>
          <w:rFonts w:eastAsiaTheme="majorEastAsia" w:cs="Segoe UI"/>
          <w:b/>
          <w:szCs w:val="20"/>
        </w:rPr>
        <w:t>V </w:t>
      </w:r>
      <w:r w:rsidR="008E65AC">
        <w:rPr>
          <w:rFonts w:eastAsiaTheme="majorEastAsia" w:cs="Segoe UI"/>
          <w:b/>
          <w:szCs w:val="20"/>
        </w:rPr>
        <w:t>I</w:t>
      </w:r>
      <w:r w:rsidRPr="00DC0EAE">
        <w:rPr>
          <w:rFonts w:eastAsiaTheme="majorEastAsia" w:cs="Segoe UI"/>
          <w:b/>
          <w:szCs w:val="20"/>
        </w:rPr>
        <w:t>ROP došlo k nadčerpaniu prostriedkov za zdroj EÚ o viac ako 9 % z alokácie</w:t>
      </w:r>
      <w:r w:rsidRPr="00DC0EAE">
        <w:rPr>
          <w:rFonts w:eastAsiaTheme="majorEastAsia" w:cs="Segoe UI"/>
          <w:szCs w:val="20"/>
        </w:rPr>
        <w:t xml:space="preserve"> </w:t>
      </w:r>
      <w:r w:rsidR="008E65AC">
        <w:rPr>
          <w:rFonts w:eastAsiaTheme="majorEastAsia" w:cs="Segoe UI"/>
          <w:szCs w:val="20"/>
        </w:rPr>
        <w:t xml:space="preserve">(graf 16) </w:t>
      </w:r>
      <w:r w:rsidRPr="00DC0EAE">
        <w:rPr>
          <w:rFonts w:eastAsiaTheme="majorEastAsia" w:cs="Segoe UI"/>
          <w:szCs w:val="20"/>
        </w:rPr>
        <w:t xml:space="preserve">(t. j. o 181,4 </w:t>
      </w:r>
      <w:r w:rsidR="00872A92">
        <w:rPr>
          <w:rFonts w:eastAsiaTheme="majorEastAsia" w:cs="Segoe UI"/>
          <w:szCs w:val="20"/>
        </w:rPr>
        <w:t> </w:t>
      </w:r>
      <w:r w:rsidRPr="00DC0EAE">
        <w:rPr>
          <w:rFonts w:eastAsiaTheme="majorEastAsia" w:cs="Segoe UI"/>
          <w:szCs w:val="20"/>
        </w:rPr>
        <w:t>mil. eur)</w:t>
      </w:r>
      <w:r w:rsidR="008E65AC">
        <w:rPr>
          <w:rFonts w:eastAsiaTheme="majorEastAsia" w:cs="Segoe UI"/>
          <w:szCs w:val="20"/>
        </w:rPr>
        <w:t>.</w:t>
      </w:r>
      <w:r w:rsidRPr="00DC0EAE">
        <w:rPr>
          <w:rFonts w:eastAsiaTheme="majorEastAsia" w:cs="Segoe UI"/>
          <w:szCs w:val="20"/>
        </w:rPr>
        <w:t> </w:t>
      </w:r>
      <w:r w:rsidR="008E65AC">
        <w:rPr>
          <w:rFonts w:eastAsiaTheme="majorEastAsia" w:cs="Segoe UI"/>
          <w:szCs w:val="20"/>
        </w:rPr>
        <w:t>S</w:t>
      </w:r>
      <w:r w:rsidRPr="00DC0EAE">
        <w:rPr>
          <w:rFonts w:eastAsiaTheme="majorEastAsia" w:cs="Segoe UI"/>
          <w:szCs w:val="20"/>
        </w:rPr>
        <w:t>polufinancovani</w:t>
      </w:r>
      <w:r w:rsidR="008E65AC">
        <w:rPr>
          <w:rFonts w:eastAsiaTheme="majorEastAsia" w:cs="Segoe UI"/>
          <w:szCs w:val="20"/>
        </w:rPr>
        <w:t>e</w:t>
      </w:r>
      <w:r w:rsidRPr="00DC0EAE">
        <w:rPr>
          <w:rFonts w:eastAsiaTheme="majorEastAsia" w:cs="Segoe UI"/>
          <w:szCs w:val="20"/>
        </w:rPr>
        <w:t xml:space="preserve"> zo ŠR </w:t>
      </w:r>
      <w:r w:rsidR="008E65AC">
        <w:rPr>
          <w:rFonts w:eastAsiaTheme="majorEastAsia" w:cs="Segoe UI"/>
          <w:szCs w:val="20"/>
        </w:rPr>
        <w:t xml:space="preserve">bolo vyššie o </w:t>
      </w:r>
      <w:r w:rsidRPr="00DC0EAE">
        <w:rPr>
          <w:rFonts w:eastAsiaTheme="majorEastAsia" w:cs="Segoe UI"/>
          <w:szCs w:val="20"/>
        </w:rPr>
        <w:t>viac ako 47 % z alokácie (t. j. o 130,9 mil. eur), ktoré bolo pokryté zabezpečením dodatočných prostriedkov zo ŠR, získaných okrem iného aj úpravou pomerov financovania projektov, či využitím úspor zo spolufinancovania zo ŠR z iných OP.</w:t>
      </w:r>
      <w:r>
        <w:rPr>
          <w:rStyle w:val="Odkaznapoznmkupodiarou"/>
          <w:rFonts w:eastAsiaTheme="majorEastAsia" w:cs="Segoe UI"/>
          <w:szCs w:val="20"/>
        </w:rPr>
        <w:footnoteReference w:id="41"/>
      </w:r>
    </w:p>
    <w:p w14:paraId="65A64BE6" w14:textId="28854BB9" w:rsidR="00966EF9" w:rsidRPr="0087188A" w:rsidRDefault="00966EF9" w:rsidP="00966EF9">
      <w:pPr>
        <w:pStyle w:val="Popis"/>
        <w:keepNext/>
        <w:rPr>
          <w:color w:val="314364"/>
        </w:rPr>
      </w:pPr>
      <w:r>
        <w:rPr>
          <w:color w:val="314364"/>
        </w:rPr>
        <w:t>Graf 1</w:t>
      </w:r>
      <w:r w:rsidR="008E65AC">
        <w:rPr>
          <w:color w:val="314364"/>
        </w:rPr>
        <w:t>6</w:t>
      </w:r>
      <w:r w:rsidRPr="0087188A">
        <w:rPr>
          <w:color w:val="314364"/>
        </w:rPr>
        <w:t xml:space="preserve">: Stav čerpania EŠIF (bez PRV) k 30. 9. 2024 </w:t>
      </w:r>
      <w:r>
        <w:rPr>
          <w:color w:val="314364"/>
        </w:rPr>
        <w:t>(v mil. eur)</w:t>
      </w:r>
    </w:p>
    <w:tbl>
      <w:tblPr>
        <w:tblStyle w:val="Mriekatabuky"/>
        <w:tblW w:w="5000" w:type="pct"/>
        <w:tblCellMar>
          <w:left w:w="70" w:type="dxa"/>
          <w:right w:w="70" w:type="dxa"/>
        </w:tblCellMar>
        <w:tblLook w:val="04A0" w:firstRow="1" w:lastRow="0" w:firstColumn="1" w:lastColumn="0" w:noHBand="0" w:noVBand="1"/>
      </w:tblPr>
      <w:tblGrid>
        <w:gridCol w:w="9070"/>
      </w:tblGrid>
      <w:tr w:rsidR="00966EF9" w14:paraId="0CE8D15B" w14:textId="77777777" w:rsidTr="00B571E8">
        <w:trPr>
          <w:trHeight w:val="3118"/>
        </w:trPr>
        <w:tc>
          <w:tcPr>
            <w:tcW w:w="5000" w:type="pct"/>
            <w:tcBorders>
              <w:top w:val="single" w:sz="4" w:space="0" w:color="314364" w:themeColor="text2"/>
              <w:left w:val="nil"/>
              <w:bottom w:val="single" w:sz="4" w:space="0" w:color="314364" w:themeColor="text2"/>
              <w:right w:val="nil"/>
            </w:tcBorders>
          </w:tcPr>
          <w:p w14:paraId="37BA9B69" w14:textId="77777777" w:rsidR="00966EF9" w:rsidRDefault="00966EF9" w:rsidP="00B571E8">
            <w:pPr>
              <w:spacing w:after="0"/>
              <w:rPr>
                <w:rFonts w:eastAsiaTheme="majorEastAsia" w:cs="Segoe UI"/>
                <w:szCs w:val="20"/>
              </w:rPr>
            </w:pPr>
            <w:r>
              <w:rPr>
                <w:noProof/>
                <w:lang w:eastAsia="sk-SK"/>
              </w:rPr>
              <w:drawing>
                <wp:inline distT="0" distB="0" distL="0" distR="0" wp14:anchorId="51B20361" wp14:editId="35387F66">
                  <wp:extent cx="5676900" cy="1962150"/>
                  <wp:effectExtent l="0" t="0" r="0" b="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14:paraId="5AB44B1A" w14:textId="77777777" w:rsidR="00966EF9" w:rsidRPr="0087188A" w:rsidRDefault="00966EF9" w:rsidP="00966EF9">
      <w:pPr>
        <w:pStyle w:val="Zdroj"/>
        <w:rPr>
          <w:i w:val="0"/>
          <w:szCs w:val="16"/>
        </w:rPr>
      </w:pPr>
      <w:r w:rsidRPr="0087188A">
        <w:rPr>
          <w:szCs w:val="16"/>
        </w:rPr>
        <w:t xml:space="preserve">Zdroj: </w:t>
      </w:r>
      <w:r>
        <w:rPr>
          <w:szCs w:val="16"/>
        </w:rPr>
        <w:t>MF SR.</w:t>
      </w:r>
    </w:p>
    <w:p w14:paraId="6D06AEE0" w14:textId="1138A018" w:rsidR="008A27DD" w:rsidRDefault="00BE3D51" w:rsidP="00BE3D51">
      <w:pPr>
        <w:rPr>
          <w:rFonts w:cs="Segoe UI"/>
          <w:szCs w:val="20"/>
        </w:rPr>
      </w:pPr>
      <w:r w:rsidRPr="00BE3D51">
        <w:rPr>
          <w:rFonts w:cs="Segoe UI"/>
          <w:b/>
          <w:szCs w:val="20"/>
        </w:rPr>
        <w:t xml:space="preserve">Ku koncu </w:t>
      </w:r>
      <w:r w:rsidR="007D53EF">
        <w:rPr>
          <w:rFonts w:cs="Segoe UI"/>
          <w:b/>
          <w:szCs w:val="20"/>
        </w:rPr>
        <w:t>septembra</w:t>
      </w:r>
      <w:r w:rsidRPr="00BE3D51">
        <w:rPr>
          <w:rFonts w:cs="Segoe UI"/>
          <w:b/>
          <w:szCs w:val="20"/>
        </w:rPr>
        <w:t xml:space="preserve"> 2024 predstavovala </w:t>
      </w:r>
      <w:r w:rsidR="007D53EF">
        <w:rPr>
          <w:rFonts w:cs="Segoe UI"/>
          <w:b/>
          <w:szCs w:val="20"/>
        </w:rPr>
        <w:t xml:space="preserve">potvrdená </w:t>
      </w:r>
      <w:r w:rsidRPr="00BE3D51">
        <w:rPr>
          <w:rFonts w:cs="Segoe UI"/>
          <w:b/>
          <w:szCs w:val="20"/>
        </w:rPr>
        <w:t>výška nedočerpaného záväzku za desať OP EŠIF takmer 15</w:t>
      </w:r>
      <w:r w:rsidR="007D53EF">
        <w:rPr>
          <w:rFonts w:cs="Segoe UI"/>
          <w:b/>
          <w:szCs w:val="20"/>
        </w:rPr>
        <w:t>4</w:t>
      </w:r>
      <w:r w:rsidRPr="00BE3D51">
        <w:rPr>
          <w:rFonts w:cs="Segoe UI"/>
          <w:b/>
          <w:szCs w:val="20"/>
        </w:rPr>
        <w:t>,</w:t>
      </w:r>
      <w:r w:rsidR="007D53EF">
        <w:rPr>
          <w:rFonts w:cs="Segoe UI"/>
          <w:b/>
          <w:szCs w:val="20"/>
        </w:rPr>
        <w:t>4</w:t>
      </w:r>
      <w:r w:rsidRPr="00BE3D51">
        <w:rPr>
          <w:rFonts w:cs="Segoe UI"/>
          <w:b/>
          <w:szCs w:val="20"/>
        </w:rPr>
        <w:t> mil. eur</w:t>
      </w:r>
      <w:r w:rsidRPr="00172A71">
        <w:rPr>
          <w:rStyle w:val="Odkaznapoznmkupodiarou"/>
          <w:rFonts w:cs="Segoe UI"/>
          <w:szCs w:val="20"/>
        </w:rPr>
        <w:footnoteReference w:id="42"/>
      </w:r>
      <w:r w:rsidRPr="00172A71">
        <w:rPr>
          <w:rFonts w:cs="Segoe UI"/>
          <w:szCs w:val="20"/>
        </w:rPr>
        <w:t xml:space="preserve">. Najväčší objem prepadnutých prostriedkov (108,4 mil. eur) bol zaznamenaný v rokoch 2017 </w:t>
      </w:r>
      <w:r w:rsidR="00DC0EAE">
        <w:rPr>
          <w:rFonts w:cs="Segoe UI"/>
          <w:szCs w:val="20"/>
        </w:rPr>
        <w:t>a</w:t>
      </w:r>
      <w:r w:rsidR="00D277E1">
        <w:rPr>
          <w:rFonts w:cs="Segoe UI"/>
          <w:szCs w:val="20"/>
        </w:rPr>
        <w:t xml:space="preserve"> </w:t>
      </w:r>
      <w:r w:rsidRPr="00172A71">
        <w:rPr>
          <w:rFonts w:cs="Segoe UI"/>
          <w:szCs w:val="20"/>
        </w:rPr>
        <w:t>2018 za OP Výskum a</w:t>
      </w:r>
      <w:r w:rsidR="00FB742A">
        <w:rPr>
          <w:rFonts w:cs="Segoe UI"/>
          <w:szCs w:val="20"/>
        </w:rPr>
        <w:t> </w:t>
      </w:r>
      <w:r w:rsidRPr="00172A71">
        <w:rPr>
          <w:rFonts w:cs="Segoe UI"/>
          <w:szCs w:val="20"/>
        </w:rPr>
        <w:t>inovácie</w:t>
      </w:r>
      <w:r w:rsidR="00FB742A">
        <w:rPr>
          <w:rFonts w:cs="Segoe UI"/>
          <w:szCs w:val="20"/>
        </w:rPr>
        <w:t xml:space="preserve"> (VaI)</w:t>
      </w:r>
      <w:r w:rsidRPr="00172A71">
        <w:rPr>
          <w:rFonts w:cs="Segoe UI"/>
          <w:szCs w:val="20"/>
        </w:rPr>
        <w:t xml:space="preserve"> (MŠVV</w:t>
      </w:r>
      <w:r w:rsidR="0083753F">
        <w:rPr>
          <w:rFonts w:cs="Segoe UI"/>
          <w:szCs w:val="20"/>
        </w:rPr>
        <w:t>a</w:t>
      </w:r>
      <w:r w:rsidR="008A27DD">
        <w:rPr>
          <w:rFonts w:cs="Segoe UI"/>
          <w:szCs w:val="20"/>
        </w:rPr>
        <w:t>M</w:t>
      </w:r>
      <w:r w:rsidRPr="00172A71">
        <w:rPr>
          <w:rFonts w:cs="Segoe UI"/>
          <w:szCs w:val="20"/>
        </w:rPr>
        <w:t xml:space="preserve"> SR), pričom negatívny trend sa podaril zvrátiť v roku 2019 zlúčením tohto OP s úspešne napredujúcim OP Integrovaná infraštruktúra</w:t>
      </w:r>
      <w:r w:rsidR="00FB742A">
        <w:rPr>
          <w:rFonts w:cs="Segoe UI"/>
          <w:szCs w:val="20"/>
        </w:rPr>
        <w:t xml:space="preserve"> (</w:t>
      </w:r>
      <w:r w:rsidR="00DC0EAE">
        <w:rPr>
          <w:rFonts w:cs="Segoe UI"/>
          <w:szCs w:val="20"/>
        </w:rPr>
        <w:t>OP II</w:t>
      </w:r>
      <w:r w:rsidR="00FB742A">
        <w:rPr>
          <w:rFonts w:cs="Segoe UI"/>
          <w:szCs w:val="20"/>
        </w:rPr>
        <w:t>)</w:t>
      </w:r>
      <w:r w:rsidRPr="00172A71">
        <w:rPr>
          <w:rFonts w:cs="Segoe UI"/>
          <w:szCs w:val="20"/>
        </w:rPr>
        <w:t xml:space="preserve"> (MD SR).</w:t>
      </w:r>
    </w:p>
    <w:p w14:paraId="182E7F85" w14:textId="579D5B34" w:rsidR="00162C00" w:rsidRDefault="00162C00" w:rsidP="00162C00">
      <w:pPr>
        <w:rPr>
          <w:rFonts w:cs="Segoe UI"/>
          <w:szCs w:val="20"/>
        </w:rPr>
      </w:pPr>
      <w:r w:rsidRPr="00162C00">
        <w:rPr>
          <w:rFonts w:cs="Segoe UI"/>
          <w:b/>
          <w:szCs w:val="20"/>
        </w:rPr>
        <w:t>Prostriedky určené na financovanie výskumu a inovácií boli z dôvodu ich nevyužitia dovedna znížené o 481,2 mil. eur</w:t>
      </w:r>
      <w:r w:rsidRPr="00162C00">
        <w:rPr>
          <w:rStyle w:val="Odkaznapoznmkupodiarou"/>
          <w:rFonts w:cs="Segoe UI"/>
          <w:szCs w:val="20"/>
        </w:rPr>
        <w:footnoteReference w:id="43"/>
      </w:r>
      <w:r w:rsidRPr="00162C00">
        <w:rPr>
          <w:rFonts w:cs="Segoe UI"/>
          <w:szCs w:val="20"/>
        </w:rPr>
        <w:t>, čo predstavuje pokles o 21,2 % alokovaných prostriedkov pre túto oblasť</w:t>
      </w:r>
      <w:r w:rsidRPr="00162C00">
        <w:rPr>
          <w:rStyle w:val="Odkaznapoznmkupodiarou"/>
          <w:rFonts w:cs="Segoe UI"/>
          <w:szCs w:val="20"/>
        </w:rPr>
        <w:footnoteReference w:id="44"/>
      </w:r>
      <w:r w:rsidRPr="00162C00">
        <w:rPr>
          <w:rFonts w:cs="Segoe UI"/>
          <w:szCs w:val="20"/>
        </w:rPr>
        <w:t>.</w:t>
      </w:r>
    </w:p>
    <w:p w14:paraId="25467229" w14:textId="10E608CE" w:rsidR="00004331" w:rsidRDefault="00F10A2D" w:rsidP="00004331">
      <w:pPr>
        <w:rPr>
          <w:rFonts w:cs="Segoe UI"/>
          <w:szCs w:val="16"/>
        </w:rPr>
      </w:pPr>
      <w:r w:rsidRPr="00F10A2D">
        <w:rPr>
          <w:rFonts w:cs="Segoe UI"/>
          <w:b/>
          <w:szCs w:val="16"/>
        </w:rPr>
        <w:t>Odhad nedočerpaného ročného záväzku 2020 za päť OP, za ktoré bola na EK už predložená záverečná žiadosť o platbu za 10. účtovný rok, predstavuje 3,85 mil. eur</w:t>
      </w:r>
      <w:r>
        <w:rPr>
          <w:rFonts w:cs="Segoe UI"/>
          <w:szCs w:val="16"/>
        </w:rPr>
        <w:t xml:space="preserve"> (tabuľka 5), pričom jeho výška</w:t>
      </w:r>
      <w:r w:rsidRPr="00015A0C">
        <w:rPr>
          <w:rFonts w:cs="Segoe UI"/>
          <w:szCs w:val="16"/>
        </w:rPr>
        <w:t xml:space="preserve"> </w:t>
      </w:r>
      <w:r>
        <w:rPr>
          <w:rFonts w:cs="Segoe UI"/>
          <w:szCs w:val="16"/>
        </w:rPr>
        <w:t xml:space="preserve">nie je </w:t>
      </w:r>
      <w:r w:rsidRPr="00015A0C">
        <w:rPr>
          <w:rFonts w:cs="Segoe UI"/>
          <w:szCs w:val="16"/>
        </w:rPr>
        <w:t>zatiaľ potvrden</w:t>
      </w:r>
      <w:r>
        <w:rPr>
          <w:rFonts w:cs="Segoe UI"/>
          <w:szCs w:val="16"/>
        </w:rPr>
        <w:t>á</w:t>
      </w:r>
      <w:r w:rsidRPr="00015A0C">
        <w:rPr>
          <w:rFonts w:cs="Segoe UI"/>
          <w:szCs w:val="16"/>
        </w:rPr>
        <w:t xml:space="preserve"> zo strany EK</w:t>
      </w:r>
      <w:r w:rsidR="00004331">
        <w:rPr>
          <w:rFonts w:cs="Segoe UI"/>
          <w:szCs w:val="16"/>
        </w:rPr>
        <w:t xml:space="preserve"> v prípade štyroch OP (Rybné hospodárstvo, Efektívna verejná správa, </w:t>
      </w:r>
      <w:r w:rsidR="00004331" w:rsidRPr="00341A4C">
        <w:rPr>
          <w:rFonts w:cs="Segoe UI"/>
          <w:szCs w:val="16"/>
        </w:rPr>
        <w:t>Interreg V-A SK-CZ</w:t>
      </w:r>
      <w:r w:rsidR="00004331">
        <w:rPr>
          <w:rFonts w:cs="Segoe UI"/>
          <w:szCs w:val="16"/>
        </w:rPr>
        <w:t xml:space="preserve"> a Technická pomoc)</w:t>
      </w:r>
      <w:r w:rsidR="00004331" w:rsidRPr="00015A0C">
        <w:rPr>
          <w:rFonts w:cs="Segoe UI"/>
          <w:szCs w:val="16"/>
        </w:rPr>
        <w:t>.</w:t>
      </w:r>
    </w:p>
    <w:p w14:paraId="67009C82" w14:textId="77777777" w:rsidR="00E460B8" w:rsidRPr="00172A71" w:rsidRDefault="00E460B8" w:rsidP="00E460B8">
      <w:pPr>
        <w:rPr>
          <w:rFonts w:eastAsiaTheme="majorEastAsia" w:cs="Segoe UI"/>
          <w:szCs w:val="20"/>
        </w:rPr>
      </w:pPr>
      <w:r w:rsidRPr="00BE3D51">
        <w:rPr>
          <w:rFonts w:eastAsiaTheme="majorEastAsia" w:cs="Segoe UI"/>
          <w:b/>
          <w:szCs w:val="20"/>
        </w:rPr>
        <w:t>V rámci krajín EÚ má Slovensko najhoršiu pozíciu v čerpan</w:t>
      </w:r>
      <w:r>
        <w:rPr>
          <w:rFonts w:eastAsiaTheme="majorEastAsia" w:cs="Segoe UI"/>
          <w:b/>
          <w:szCs w:val="20"/>
        </w:rPr>
        <w:t>í</w:t>
      </w:r>
      <w:r w:rsidRPr="00BE3D51">
        <w:rPr>
          <w:rFonts w:eastAsiaTheme="majorEastAsia" w:cs="Segoe UI"/>
          <w:b/>
          <w:szCs w:val="20"/>
        </w:rPr>
        <w:t xml:space="preserve"> prostriedkov </w:t>
      </w:r>
      <w:r w:rsidRPr="002819AD">
        <w:rPr>
          <w:rFonts w:eastAsiaTheme="majorEastAsia" w:cs="Segoe UI"/>
          <w:b/>
          <w:szCs w:val="20"/>
        </w:rPr>
        <w:t>Európskeho poľnohospodárskeho fondu pre rozvoj vidieka</w:t>
      </w:r>
      <w:r w:rsidRPr="00BE3D51">
        <w:rPr>
          <w:rFonts w:eastAsiaTheme="majorEastAsia" w:cs="Segoe UI"/>
          <w:b/>
          <w:szCs w:val="20"/>
        </w:rPr>
        <w:t xml:space="preserve"> </w:t>
      </w:r>
      <w:r w:rsidRPr="00F77E21">
        <w:rPr>
          <w:rFonts w:eastAsiaTheme="majorEastAsia" w:cs="Segoe UI"/>
          <w:szCs w:val="20"/>
        </w:rPr>
        <w:t>(EPFRV)</w:t>
      </w:r>
      <w:r w:rsidRPr="00BE3D51">
        <w:rPr>
          <w:rFonts w:eastAsiaTheme="majorEastAsia" w:cs="Segoe UI"/>
          <w:b/>
          <w:szCs w:val="20"/>
        </w:rPr>
        <w:t xml:space="preserve"> z Programu rozvoja vidieka</w:t>
      </w:r>
      <w:r>
        <w:rPr>
          <w:rFonts w:eastAsiaTheme="majorEastAsia" w:cs="Segoe UI"/>
          <w:b/>
          <w:szCs w:val="20"/>
        </w:rPr>
        <w:t xml:space="preserve"> </w:t>
      </w:r>
      <w:r>
        <w:rPr>
          <w:rFonts w:eastAsiaTheme="majorEastAsia" w:cs="Segoe UI"/>
          <w:szCs w:val="20"/>
        </w:rPr>
        <w:t>(PRV)</w:t>
      </w:r>
      <w:r w:rsidRPr="00BE3D51">
        <w:rPr>
          <w:rFonts w:eastAsiaTheme="majorEastAsia" w:cs="Segoe UI"/>
          <w:b/>
          <w:szCs w:val="20"/>
        </w:rPr>
        <w:t>.</w:t>
      </w:r>
      <w:r>
        <w:rPr>
          <w:rFonts w:eastAsiaTheme="majorEastAsia" w:cs="Segoe UI"/>
          <w:b/>
          <w:szCs w:val="20"/>
        </w:rPr>
        <w:t xml:space="preserve"> </w:t>
      </w:r>
      <w:r w:rsidRPr="00EF32DC">
        <w:rPr>
          <w:rFonts w:eastAsiaTheme="majorEastAsia" w:cs="Segoe UI"/>
          <w:b/>
          <w:szCs w:val="20"/>
        </w:rPr>
        <w:t>Slovensku sa zatiaľ podarilo vyčerpať len 63 % z rozpočtu programu</w:t>
      </w:r>
      <w:r w:rsidRPr="00EF32DC">
        <w:rPr>
          <w:rStyle w:val="Odkaznapoznmkupodiarou"/>
          <w:rFonts w:eastAsiaTheme="majorEastAsia" w:cs="Segoe UI"/>
          <w:szCs w:val="20"/>
        </w:rPr>
        <w:footnoteReference w:id="45"/>
      </w:r>
      <w:r w:rsidRPr="00EF32DC">
        <w:rPr>
          <w:rFonts w:eastAsiaTheme="majorEastAsia" w:cs="Segoe UI"/>
          <w:b/>
          <w:szCs w:val="20"/>
        </w:rPr>
        <w:t xml:space="preserve">. </w:t>
      </w:r>
      <w:r w:rsidRPr="00EF32DC">
        <w:rPr>
          <w:rFonts w:eastAsiaTheme="majorEastAsia" w:cs="Segoe UI"/>
          <w:szCs w:val="20"/>
        </w:rPr>
        <w:t>V rámci zvyšných krajín V4  vyčerpalo Poľsko k rovnakému termínu 75 %, Maďarsko 90 % a Česko 93% z rozpočtu programu.</w:t>
      </w:r>
      <w:r>
        <w:rPr>
          <w:rFonts w:eastAsiaTheme="majorEastAsia" w:cs="Segoe UI"/>
          <w:b/>
          <w:szCs w:val="20"/>
        </w:rPr>
        <w:t xml:space="preserve"> </w:t>
      </w:r>
      <w:r w:rsidRPr="00EF32DC">
        <w:rPr>
          <w:rFonts w:eastAsiaTheme="majorEastAsia" w:cs="Segoe UI"/>
          <w:b/>
          <w:szCs w:val="20"/>
        </w:rPr>
        <w:lastRenderedPageBreak/>
        <w:t>Z dôvodu nedostatočného čerpania ku koncu roka 2023 PRV prvýkrát definitívne prišiel o časť alokácie z ročného záväzku 2020</w:t>
      </w:r>
      <w:r w:rsidRPr="00172A71">
        <w:rPr>
          <w:rFonts w:eastAsiaTheme="majorEastAsia" w:cs="Segoe UI"/>
          <w:szCs w:val="20"/>
        </w:rPr>
        <w:t xml:space="preserve"> </w:t>
      </w:r>
      <w:r w:rsidRPr="005375FA">
        <w:rPr>
          <w:rFonts w:eastAsiaTheme="majorEastAsia" w:cs="Segoe UI"/>
          <w:b/>
          <w:szCs w:val="20"/>
        </w:rPr>
        <w:t>v sume 46,5 mil. eur</w:t>
      </w:r>
      <w:r w:rsidRPr="00172A71">
        <w:rPr>
          <w:rFonts w:eastAsiaTheme="majorEastAsia" w:cs="Segoe UI"/>
          <w:szCs w:val="20"/>
        </w:rPr>
        <w:t xml:space="preserve"> (t.</w:t>
      </w:r>
      <w:r>
        <w:rPr>
          <w:rFonts w:eastAsiaTheme="majorEastAsia" w:cs="Segoe UI"/>
          <w:szCs w:val="20"/>
        </w:rPr>
        <w:t xml:space="preserve"> </w:t>
      </w:r>
      <w:r w:rsidRPr="00172A71">
        <w:rPr>
          <w:rFonts w:eastAsiaTheme="majorEastAsia" w:cs="Segoe UI"/>
          <w:szCs w:val="20"/>
        </w:rPr>
        <w:t xml:space="preserve">j. 2 </w:t>
      </w:r>
      <w:r>
        <w:rPr>
          <w:rFonts w:eastAsiaTheme="majorEastAsia" w:cs="Segoe UI"/>
          <w:szCs w:val="20"/>
        </w:rPr>
        <w:t> </w:t>
      </w:r>
      <w:r w:rsidRPr="00172A71">
        <w:rPr>
          <w:rFonts w:eastAsiaTheme="majorEastAsia" w:cs="Segoe UI"/>
          <w:szCs w:val="20"/>
        </w:rPr>
        <w:t>% z</w:t>
      </w:r>
      <w:r>
        <w:rPr>
          <w:rFonts w:eastAsiaTheme="majorEastAsia" w:cs="Segoe UI"/>
          <w:szCs w:val="20"/>
        </w:rPr>
        <w:t> </w:t>
      </w:r>
      <w:r w:rsidRPr="00172A71">
        <w:rPr>
          <w:rFonts w:eastAsiaTheme="majorEastAsia" w:cs="Segoe UI"/>
          <w:szCs w:val="20"/>
        </w:rPr>
        <w:t>alokácie</w:t>
      </w:r>
      <w:r>
        <w:rPr>
          <w:rFonts w:eastAsiaTheme="majorEastAsia" w:cs="Segoe UI"/>
          <w:szCs w:val="20"/>
        </w:rPr>
        <w:t>).</w:t>
      </w:r>
    </w:p>
    <w:p w14:paraId="74DF93C1" w14:textId="77777777" w:rsidR="00004331" w:rsidRDefault="00004331" w:rsidP="00004331">
      <w:pPr>
        <w:pStyle w:val="Popis"/>
        <w:keepNext/>
        <w:rPr>
          <w:color w:val="314364"/>
        </w:rPr>
      </w:pPr>
      <w:r w:rsidRPr="0087188A">
        <w:rPr>
          <w:color w:val="314364"/>
        </w:rPr>
        <w:t xml:space="preserve">Tabuľka </w:t>
      </w:r>
      <w:r>
        <w:rPr>
          <w:color w:val="314364"/>
        </w:rPr>
        <w:t>5</w:t>
      </w:r>
      <w:r w:rsidRPr="0087188A">
        <w:rPr>
          <w:color w:val="314364"/>
        </w:rPr>
        <w:t>: Výška nedočerpaného záväzku k 3</w:t>
      </w:r>
      <w:r>
        <w:rPr>
          <w:color w:val="314364"/>
        </w:rPr>
        <w:t>0</w:t>
      </w:r>
      <w:r w:rsidRPr="0087188A">
        <w:rPr>
          <w:color w:val="314364"/>
        </w:rPr>
        <w:t xml:space="preserve">. </w:t>
      </w:r>
      <w:r>
        <w:rPr>
          <w:color w:val="314364"/>
        </w:rPr>
        <w:t>9</w:t>
      </w:r>
      <w:r w:rsidRPr="0087188A">
        <w:rPr>
          <w:color w:val="314364"/>
        </w:rPr>
        <w:t>. 2024 (v tis. eur za zdroj EÚ)</w:t>
      </w:r>
    </w:p>
    <w:tbl>
      <w:tblPr>
        <w:tblW w:w="5000" w:type="pct"/>
        <w:tblBorders>
          <w:bottom w:val="single" w:sz="4" w:space="0" w:color="314364" w:themeColor="text2"/>
          <w:insideH w:val="single" w:sz="4" w:space="0" w:color="314364" w:themeColor="text2"/>
        </w:tblBorders>
        <w:tblCellMar>
          <w:left w:w="70" w:type="dxa"/>
          <w:right w:w="70" w:type="dxa"/>
        </w:tblCellMar>
        <w:tblLook w:val="04A0" w:firstRow="1" w:lastRow="0" w:firstColumn="1" w:lastColumn="0" w:noHBand="0" w:noVBand="1"/>
      </w:tblPr>
      <w:tblGrid>
        <w:gridCol w:w="1766"/>
        <w:gridCol w:w="939"/>
        <w:gridCol w:w="879"/>
        <w:gridCol w:w="799"/>
        <w:gridCol w:w="11"/>
        <w:gridCol w:w="811"/>
        <w:gridCol w:w="20"/>
        <w:gridCol w:w="790"/>
        <w:gridCol w:w="9"/>
        <w:gridCol w:w="802"/>
        <w:gridCol w:w="960"/>
        <w:gridCol w:w="1284"/>
      </w:tblGrid>
      <w:tr w:rsidR="00004331" w:rsidRPr="007F428F" w14:paraId="26E328C8" w14:textId="77777777" w:rsidTr="00004331">
        <w:trPr>
          <w:trHeight w:val="283"/>
        </w:trPr>
        <w:tc>
          <w:tcPr>
            <w:tcW w:w="974" w:type="pct"/>
            <w:vMerge w:val="restart"/>
            <w:shd w:val="clear" w:color="000000" w:fill="314364"/>
            <w:vAlign w:val="center"/>
            <w:hideMark/>
          </w:tcPr>
          <w:p w14:paraId="4034418F" w14:textId="77777777" w:rsidR="00004331" w:rsidRPr="007F428F" w:rsidRDefault="00004331" w:rsidP="00004331">
            <w:pPr>
              <w:spacing w:after="0" w:line="240" w:lineRule="auto"/>
              <w:jc w:val="center"/>
              <w:rPr>
                <w:rFonts w:eastAsia="Times New Roman" w:cs="Segoe UI"/>
                <w:b/>
                <w:bCs/>
                <w:color w:val="FFFFFF"/>
                <w:sz w:val="16"/>
                <w:szCs w:val="16"/>
                <w:lang w:eastAsia="sk-SK"/>
              </w:rPr>
            </w:pPr>
            <w:r w:rsidRPr="007F428F">
              <w:rPr>
                <w:rFonts w:eastAsia="Times New Roman" w:cs="Segoe UI"/>
                <w:b/>
                <w:bCs/>
                <w:color w:val="FFFFFF"/>
                <w:sz w:val="16"/>
                <w:szCs w:val="16"/>
                <w:lang w:eastAsia="sk-SK"/>
              </w:rPr>
              <w:t>Operačný program</w:t>
            </w:r>
          </w:p>
        </w:tc>
        <w:tc>
          <w:tcPr>
            <w:tcW w:w="3316" w:type="pct"/>
            <w:gridSpan w:val="10"/>
            <w:shd w:val="clear" w:color="000000" w:fill="314364"/>
            <w:vAlign w:val="center"/>
            <w:hideMark/>
          </w:tcPr>
          <w:p w14:paraId="2FC3DAE6" w14:textId="77777777" w:rsidR="00004331" w:rsidRPr="007F428F" w:rsidRDefault="00004331" w:rsidP="00004331">
            <w:pPr>
              <w:spacing w:after="0" w:line="240" w:lineRule="auto"/>
              <w:jc w:val="center"/>
              <w:rPr>
                <w:rFonts w:eastAsia="Times New Roman" w:cs="Segoe UI"/>
                <w:b/>
                <w:bCs/>
                <w:color w:val="FFFFFF"/>
                <w:sz w:val="16"/>
                <w:szCs w:val="16"/>
                <w:lang w:eastAsia="sk-SK"/>
              </w:rPr>
            </w:pPr>
            <w:r w:rsidRPr="007F428F">
              <w:rPr>
                <w:rFonts w:eastAsia="Times New Roman" w:cs="Segoe UI"/>
                <w:b/>
                <w:bCs/>
                <w:color w:val="FFFFFF"/>
                <w:sz w:val="16"/>
                <w:szCs w:val="16"/>
                <w:lang w:eastAsia="sk-SK"/>
              </w:rPr>
              <w:t xml:space="preserve">Potvrdený dekomitment </w:t>
            </w:r>
            <w:r>
              <w:rPr>
                <w:rFonts w:eastAsia="Times New Roman" w:cs="Segoe UI"/>
                <w:b/>
                <w:bCs/>
                <w:color w:val="FFFFFF"/>
                <w:sz w:val="16"/>
                <w:szCs w:val="16"/>
                <w:lang w:eastAsia="sk-SK"/>
              </w:rPr>
              <w:t>(pravidlo n+3)</w:t>
            </w:r>
          </w:p>
        </w:tc>
        <w:tc>
          <w:tcPr>
            <w:tcW w:w="710" w:type="pct"/>
            <w:vMerge w:val="restart"/>
            <w:shd w:val="clear" w:color="000000" w:fill="314364"/>
            <w:vAlign w:val="center"/>
            <w:hideMark/>
          </w:tcPr>
          <w:p w14:paraId="07B17C21" w14:textId="77777777" w:rsidR="00004331" w:rsidRPr="007F428F" w:rsidRDefault="00004331" w:rsidP="00004331">
            <w:pPr>
              <w:spacing w:after="0" w:line="240" w:lineRule="auto"/>
              <w:jc w:val="center"/>
              <w:rPr>
                <w:rFonts w:eastAsia="Times New Roman" w:cs="Segoe UI"/>
                <w:b/>
                <w:bCs/>
                <w:color w:val="FFFFFF"/>
                <w:sz w:val="16"/>
                <w:szCs w:val="16"/>
                <w:lang w:eastAsia="sk-SK"/>
              </w:rPr>
            </w:pPr>
            <w:r w:rsidRPr="007F428F">
              <w:rPr>
                <w:rFonts w:eastAsia="Times New Roman" w:cs="Segoe UI"/>
                <w:b/>
                <w:bCs/>
                <w:color w:val="FFFFFF"/>
                <w:sz w:val="16"/>
                <w:szCs w:val="16"/>
                <w:lang w:eastAsia="sk-SK"/>
              </w:rPr>
              <w:t xml:space="preserve">Odhad dekomitmentu </w:t>
            </w:r>
          </w:p>
          <w:p w14:paraId="3EF3B7E9" w14:textId="77777777" w:rsidR="00004331" w:rsidRPr="007F428F" w:rsidRDefault="00004331" w:rsidP="00004331">
            <w:pPr>
              <w:spacing w:after="0" w:line="240" w:lineRule="auto"/>
              <w:jc w:val="center"/>
              <w:rPr>
                <w:rFonts w:eastAsia="Times New Roman" w:cs="Segoe UI"/>
                <w:b/>
                <w:bCs/>
                <w:color w:val="FFFFFF"/>
                <w:sz w:val="16"/>
                <w:szCs w:val="16"/>
                <w:lang w:eastAsia="sk-SK"/>
              </w:rPr>
            </w:pPr>
            <w:r w:rsidRPr="007F428F">
              <w:rPr>
                <w:rFonts w:eastAsia="Times New Roman" w:cs="Segoe UI"/>
                <w:b/>
                <w:bCs/>
                <w:color w:val="FFFFFF"/>
                <w:sz w:val="16"/>
                <w:szCs w:val="16"/>
                <w:lang w:eastAsia="sk-SK"/>
              </w:rPr>
              <w:t>2023 (záväzok 2020) k 3</w:t>
            </w:r>
            <w:r>
              <w:rPr>
                <w:rFonts w:eastAsia="Times New Roman" w:cs="Segoe UI"/>
                <w:b/>
                <w:bCs/>
                <w:color w:val="FFFFFF"/>
                <w:sz w:val="16"/>
                <w:szCs w:val="16"/>
                <w:lang w:eastAsia="sk-SK"/>
              </w:rPr>
              <w:t>0</w:t>
            </w:r>
            <w:r w:rsidRPr="007F428F">
              <w:rPr>
                <w:rFonts w:eastAsia="Times New Roman" w:cs="Segoe UI"/>
                <w:b/>
                <w:bCs/>
                <w:color w:val="FFFFFF"/>
                <w:sz w:val="16"/>
                <w:szCs w:val="16"/>
                <w:lang w:eastAsia="sk-SK"/>
              </w:rPr>
              <w:t>.</w:t>
            </w:r>
            <w:r>
              <w:rPr>
                <w:rFonts w:eastAsia="Times New Roman" w:cs="Segoe UI"/>
                <w:b/>
                <w:bCs/>
                <w:color w:val="FFFFFF"/>
                <w:sz w:val="16"/>
                <w:szCs w:val="16"/>
                <w:lang w:eastAsia="sk-SK"/>
              </w:rPr>
              <w:t>9</w:t>
            </w:r>
            <w:r w:rsidRPr="007F428F">
              <w:rPr>
                <w:rFonts w:eastAsia="Times New Roman" w:cs="Segoe UI"/>
                <w:b/>
                <w:bCs/>
                <w:color w:val="FFFFFF"/>
                <w:sz w:val="16"/>
                <w:szCs w:val="16"/>
                <w:lang w:eastAsia="sk-SK"/>
              </w:rPr>
              <w:t>.2024**</w:t>
            </w:r>
          </w:p>
        </w:tc>
      </w:tr>
      <w:tr w:rsidR="00004331" w:rsidRPr="007F428F" w14:paraId="0B19C980" w14:textId="77777777" w:rsidTr="00004331">
        <w:trPr>
          <w:trHeight w:val="283"/>
        </w:trPr>
        <w:tc>
          <w:tcPr>
            <w:tcW w:w="974" w:type="pct"/>
            <w:vMerge/>
            <w:vAlign w:val="center"/>
            <w:hideMark/>
          </w:tcPr>
          <w:p w14:paraId="73A050E7" w14:textId="77777777" w:rsidR="00004331" w:rsidRPr="007F428F" w:rsidRDefault="00004331" w:rsidP="00004331">
            <w:pPr>
              <w:spacing w:after="0" w:line="240" w:lineRule="auto"/>
              <w:jc w:val="left"/>
              <w:rPr>
                <w:rFonts w:eastAsia="Times New Roman" w:cs="Segoe UI"/>
                <w:b/>
                <w:bCs/>
                <w:color w:val="FFFFFF"/>
                <w:sz w:val="16"/>
                <w:szCs w:val="16"/>
                <w:lang w:eastAsia="sk-SK"/>
              </w:rPr>
            </w:pPr>
          </w:p>
        </w:tc>
        <w:tc>
          <w:tcPr>
            <w:tcW w:w="518" w:type="pct"/>
            <w:shd w:val="clear" w:color="000000" w:fill="314364"/>
            <w:vAlign w:val="center"/>
            <w:hideMark/>
          </w:tcPr>
          <w:p w14:paraId="684C9C5C" w14:textId="77777777" w:rsidR="00004331" w:rsidRPr="007F428F" w:rsidRDefault="00004331" w:rsidP="00004331">
            <w:pPr>
              <w:spacing w:after="0" w:line="240" w:lineRule="auto"/>
              <w:jc w:val="center"/>
              <w:rPr>
                <w:rFonts w:eastAsia="Times New Roman" w:cs="Segoe UI"/>
                <w:b/>
                <w:bCs/>
                <w:color w:val="FFFFFF"/>
                <w:sz w:val="16"/>
                <w:szCs w:val="16"/>
                <w:lang w:eastAsia="sk-SK"/>
              </w:rPr>
            </w:pPr>
            <w:r w:rsidRPr="007F428F">
              <w:rPr>
                <w:rFonts w:eastAsia="Times New Roman" w:cs="Segoe UI"/>
                <w:b/>
                <w:bCs/>
                <w:color w:val="FFFFFF"/>
                <w:sz w:val="16"/>
                <w:szCs w:val="16"/>
                <w:lang w:eastAsia="sk-SK"/>
              </w:rPr>
              <w:t>rok 2017 (záväzok 2014)</w:t>
            </w:r>
          </w:p>
        </w:tc>
        <w:tc>
          <w:tcPr>
            <w:tcW w:w="485" w:type="pct"/>
            <w:shd w:val="clear" w:color="000000" w:fill="314364"/>
            <w:vAlign w:val="center"/>
            <w:hideMark/>
          </w:tcPr>
          <w:p w14:paraId="5E176BBB" w14:textId="77777777" w:rsidR="00004331" w:rsidRPr="007F428F" w:rsidRDefault="00004331" w:rsidP="00004331">
            <w:pPr>
              <w:spacing w:after="0" w:line="240" w:lineRule="auto"/>
              <w:jc w:val="center"/>
              <w:rPr>
                <w:rFonts w:eastAsia="Times New Roman" w:cs="Segoe UI"/>
                <w:b/>
                <w:bCs/>
                <w:color w:val="FFFFFF"/>
                <w:sz w:val="16"/>
                <w:szCs w:val="16"/>
                <w:lang w:eastAsia="sk-SK"/>
              </w:rPr>
            </w:pPr>
            <w:r w:rsidRPr="007F428F">
              <w:rPr>
                <w:rFonts w:eastAsia="Times New Roman" w:cs="Segoe UI"/>
                <w:b/>
                <w:bCs/>
                <w:color w:val="FFFFFF"/>
                <w:sz w:val="16"/>
                <w:szCs w:val="16"/>
                <w:lang w:eastAsia="sk-SK"/>
              </w:rPr>
              <w:t>rok 2018 (záväzok 2015)</w:t>
            </w:r>
          </w:p>
        </w:tc>
        <w:tc>
          <w:tcPr>
            <w:tcW w:w="440" w:type="pct"/>
            <w:shd w:val="clear" w:color="000000" w:fill="314364"/>
            <w:vAlign w:val="center"/>
            <w:hideMark/>
          </w:tcPr>
          <w:p w14:paraId="438CDDDE" w14:textId="77777777" w:rsidR="00004331" w:rsidRPr="007F428F" w:rsidRDefault="00004331" w:rsidP="00004331">
            <w:pPr>
              <w:spacing w:after="0" w:line="240" w:lineRule="auto"/>
              <w:ind w:hanging="49"/>
              <w:jc w:val="center"/>
              <w:rPr>
                <w:rFonts w:eastAsia="Times New Roman" w:cs="Segoe UI"/>
                <w:b/>
                <w:bCs/>
                <w:color w:val="FFFFFF"/>
                <w:sz w:val="16"/>
                <w:szCs w:val="16"/>
                <w:lang w:eastAsia="sk-SK"/>
              </w:rPr>
            </w:pPr>
            <w:r w:rsidRPr="007F428F">
              <w:rPr>
                <w:rFonts w:eastAsia="Times New Roman" w:cs="Segoe UI"/>
                <w:b/>
                <w:bCs/>
                <w:color w:val="FFFFFF"/>
                <w:sz w:val="16"/>
                <w:szCs w:val="16"/>
                <w:lang w:eastAsia="sk-SK"/>
              </w:rPr>
              <w:t>rok 2019 (záväzok 2016)</w:t>
            </w:r>
          </w:p>
        </w:tc>
        <w:tc>
          <w:tcPr>
            <w:tcW w:w="464" w:type="pct"/>
            <w:gridSpan w:val="3"/>
            <w:shd w:val="clear" w:color="000000" w:fill="314364"/>
            <w:vAlign w:val="center"/>
            <w:hideMark/>
          </w:tcPr>
          <w:p w14:paraId="0E286DEF" w14:textId="77777777" w:rsidR="00004331" w:rsidRPr="007F428F" w:rsidRDefault="00004331" w:rsidP="00004331">
            <w:pPr>
              <w:spacing w:after="0" w:line="240" w:lineRule="auto"/>
              <w:jc w:val="center"/>
              <w:rPr>
                <w:rFonts w:eastAsia="Times New Roman" w:cs="Segoe UI"/>
                <w:b/>
                <w:bCs/>
                <w:color w:val="FFFFFF"/>
                <w:sz w:val="16"/>
                <w:szCs w:val="16"/>
                <w:lang w:eastAsia="sk-SK"/>
              </w:rPr>
            </w:pPr>
            <w:r w:rsidRPr="007F428F">
              <w:rPr>
                <w:rFonts w:eastAsia="Times New Roman" w:cs="Segoe UI"/>
                <w:b/>
                <w:bCs/>
                <w:color w:val="FFFFFF"/>
                <w:sz w:val="16"/>
                <w:szCs w:val="16"/>
                <w:lang w:eastAsia="sk-SK"/>
              </w:rPr>
              <w:t>rok 2020 (záväzok 2017)</w:t>
            </w:r>
          </w:p>
        </w:tc>
        <w:tc>
          <w:tcPr>
            <w:tcW w:w="440" w:type="pct"/>
            <w:gridSpan w:val="2"/>
            <w:shd w:val="clear" w:color="000000" w:fill="314364"/>
            <w:vAlign w:val="center"/>
            <w:hideMark/>
          </w:tcPr>
          <w:p w14:paraId="400E2CF6" w14:textId="77777777" w:rsidR="00004331" w:rsidRPr="007F428F" w:rsidRDefault="00004331" w:rsidP="00004331">
            <w:pPr>
              <w:spacing w:after="0" w:line="240" w:lineRule="auto"/>
              <w:ind w:right="-51"/>
              <w:jc w:val="center"/>
              <w:rPr>
                <w:rFonts w:eastAsia="Times New Roman" w:cs="Segoe UI"/>
                <w:b/>
                <w:bCs/>
                <w:color w:val="FFFFFF"/>
                <w:sz w:val="16"/>
                <w:szCs w:val="16"/>
                <w:lang w:eastAsia="sk-SK"/>
              </w:rPr>
            </w:pPr>
            <w:r w:rsidRPr="007F428F">
              <w:rPr>
                <w:rFonts w:eastAsia="Times New Roman" w:cs="Segoe UI"/>
                <w:b/>
                <w:bCs/>
                <w:color w:val="FFFFFF"/>
                <w:sz w:val="16"/>
                <w:szCs w:val="16"/>
                <w:lang w:eastAsia="sk-SK"/>
              </w:rPr>
              <w:t>rok 2021 (záväzok 2018)</w:t>
            </w:r>
          </w:p>
        </w:tc>
        <w:tc>
          <w:tcPr>
            <w:tcW w:w="440" w:type="pct"/>
            <w:shd w:val="clear" w:color="000000" w:fill="314364"/>
            <w:vAlign w:val="center"/>
            <w:hideMark/>
          </w:tcPr>
          <w:p w14:paraId="7ADFA99D" w14:textId="77777777" w:rsidR="00004331" w:rsidRPr="007F428F" w:rsidRDefault="00004331" w:rsidP="00004331">
            <w:pPr>
              <w:spacing w:after="0" w:line="240" w:lineRule="auto"/>
              <w:ind w:right="-91"/>
              <w:jc w:val="center"/>
              <w:rPr>
                <w:rFonts w:eastAsia="Times New Roman" w:cs="Segoe UI"/>
                <w:b/>
                <w:bCs/>
                <w:color w:val="FFFFFF"/>
                <w:sz w:val="16"/>
                <w:szCs w:val="16"/>
                <w:lang w:eastAsia="sk-SK"/>
              </w:rPr>
            </w:pPr>
            <w:r w:rsidRPr="007F428F">
              <w:rPr>
                <w:rFonts w:eastAsia="Times New Roman" w:cs="Segoe UI"/>
                <w:b/>
                <w:bCs/>
                <w:color w:val="FFFFFF"/>
                <w:sz w:val="16"/>
                <w:szCs w:val="16"/>
                <w:lang w:eastAsia="sk-SK"/>
              </w:rPr>
              <w:t>rok 2022 (záväzok 2019)</w:t>
            </w:r>
          </w:p>
        </w:tc>
        <w:tc>
          <w:tcPr>
            <w:tcW w:w="529" w:type="pct"/>
            <w:shd w:val="clear" w:color="000000" w:fill="314364"/>
            <w:vAlign w:val="center"/>
            <w:hideMark/>
          </w:tcPr>
          <w:p w14:paraId="717ADA7A" w14:textId="77777777" w:rsidR="00004331" w:rsidRPr="007F428F" w:rsidRDefault="00004331" w:rsidP="00004331">
            <w:pPr>
              <w:spacing w:after="0" w:line="240" w:lineRule="auto"/>
              <w:jc w:val="center"/>
              <w:rPr>
                <w:rFonts w:eastAsia="Times New Roman" w:cs="Segoe UI"/>
                <w:b/>
                <w:bCs/>
                <w:color w:val="FFFFFF"/>
                <w:sz w:val="16"/>
                <w:szCs w:val="16"/>
                <w:lang w:eastAsia="sk-SK"/>
              </w:rPr>
            </w:pPr>
            <w:r w:rsidRPr="007F428F">
              <w:rPr>
                <w:rFonts w:eastAsia="Times New Roman" w:cs="Segoe UI"/>
                <w:b/>
                <w:bCs/>
                <w:color w:val="FFFFFF"/>
                <w:sz w:val="16"/>
                <w:szCs w:val="16"/>
                <w:lang w:eastAsia="sk-SK"/>
              </w:rPr>
              <w:t>SPOLU</w:t>
            </w:r>
          </w:p>
        </w:tc>
        <w:tc>
          <w:tcPr>
            <w:tcW w:w="710" w:type="pct"/>
            <w:vMerge/>
            <w:shd w:val="clear" w:color="000000" w:fill="314364"/>
            <w:vAlign w:val="center"/>
            <w:hideMark/>
          </w:tcPr>
          <w:p w14:paraId="111C70A3" w14:textId="77777777" w:rsidR="00004331" w:rsidRPr="007F428F" w:rsidRDefault="00004331" w:rsidP="00004331">
            <w:pPr>
              <w:spacing w:after="0" w:line="240" w:lineRule="auto"/>
              <w:jc w:val="center"/>
              <w:rPr>
                <w:rFonts w:eastAsia="Times New Roman" w:cs="Segoe UI"/>
                <w:b/>
                <w:bCs/>
                <w:color w:val="FFFFFF"/>
                <w:sz w:val="16"/>
                <w:szCs w:val="16"/>
                <w:lang w:eastAsia="sk-SK"/>
              </w:rPr>
            </w:pPr>
          </w:p>
        </w:tc>
      </w:tr>
      <w:tr w:rsidR="00004331" w:rsidRPr="007F428F" w14:paraId="500139E1" w14:textId="77777777" w:rsidTr="00004331">
        <w:trPr>
          <w:trHeight w:val="283"/>
        </w:trPr>
        <w:tc>
          <w:tcPr>
            <w:tcW w:w="974" w:type="pct"/>
            <w:shd w:val="clear" w:color="000000" w:fill="FFFFFF"/>
            <w:noWrap/>
            <w:vAlign w:val="center"/>
            <w:hideMark/>
          </w:tcPr>
          <w:p w14:paraId="7753F463" w14:textId="77777777" w:rsidR="00004331" w:rsidRPr="007F428F" w:rsidRDefault="00004331" w:rsidP="00004331">
            <w:pPr>
              <w:spacing w:after="0" w:line="240" w:lineRule="auto"/>
              <w:jc w:val="left"/>
              <w:rPr>
                <w:rFonts w:eastAsia="Times New Roman" w:cs="Segoe UI"/>
                <w:color w:val="000000"/>
                <w:sz w:val="16"/>
                <w:szCs w:val="16"/>
                <w:lang w:eastAsia="sk-SK"/>
              </w:rPr>
            </w:pPr>
            <w:r w:rsidRPr="007F428F">
              <w:rPr>
                <w:rFonts w:eastAsia="Times New Roman" w:cs="Segoe UI"/>
                <w:color w:val="000000"/>
                <w:sz w:val="16"/>
                <w:szCs w:val="16"/>
                <w:lang w:eastAsia="sk-SK"/>
              </w:rPr>
              <w:t>OP VaI</w:t>
            </w:r>
          </w:p>
        </w:tc>
        <w:tc>
          <w:tcPr>
            <w:tcW w:w="518" w:type="pct"/>
            <w:shd w:val="clear" w:color="000000" w:fill="FFFFFF"/>
            <w:noWrap/>
            <w:vAlign w:val="center"/>
            <w:hideMark/>
          </w:tcPr>
          <w:p w14:paraId="6AD35F57" w14:textId="77777777" w:rsidR="00004331" w:rsidRPr="007F428F" w:rsidRDefault="00004331" w:rsidP="00004331">
            <w:pPr>
              <w:spacing w:after="0" w:line="240" w:lineRule="auto"/>
              <w:jc w:val="right"/>
              <w:rPr>
                <w:rFonts w:eastAsia="Times New Roman" w:cs="Segoe UI"/>
                <w:color w:val="000000"/>
                <w:sz w:val="16"/>
                <w:szCs w:val="16"/>
                <w:lang w:eastAsia="sk-SK"/>
              </w:rPr>
            </w:pPr>
            <w:r w:rsidRPr="007F428F">
              <w:rPr>
                <w:rFonts w:eastAsia="Times New Roman" w:cs="Segoe UI"/>
                <w:color w:val="000000"/>
                <w:sz w:val="16"/>
                <w:szCs w:val="16"/>
                <w:lang w:eastAsia="sk-SK"/>
              </w:rPr>
              <w:t>26 973,1</w:t>
            </w:r>
          </w:p>
        </w:tc>
        <w:tc>
          <w:tcPr>
            <w:tcW w:w="485" w:type="pct"/>
            <w:shd w:val="clear" w:color="000000" w:fill="FFFFFF"/>
            <w:noWrap/>
            <w:vAlign w:val="center"/>
            <w:hideMark/>
          </w:tcPr>
          <w:p w14:paraId="49FD83AB" w14:textId="77777777" w:rsidR="00004331" w:rsidRPr="007F428F" w:rsidRDefault="00004331" w:rsidP="00004331">
            <w:pPr>
              <w:spacing w:after="0" w:line="240" w:lineRule="auto"/>
              <w:jc w:val="right"/>
              <w:rPr>
                <w:rFonts w:eastAsia="Times New Roman" w:cs="Segoe UI"/>
                <w:color w:val="000000"/>
                <w:sz w:val="16"/>
                <w:szCs w:val="16"/>
                <w:lang w:eastAsia="sk-SK"/>
              </w:rPr>
            </w:pPr>
            <w:r w:rsidRPr="007F428F">
              <w:rPr>
                <w:rFonts w:eastAsia="Times New Roman" w:cs="Segoe UI"/>
                <w:color w:val="000000"/>
                <w:sz w:val="16"/>
                <w:szCs w:val="16"/>
                <w:lang w:eastAsia="sk-SK"/>
              </w:rPr>
              <w:t>81 451,2</w:t>
            </w:r>
          </w:p>
        </w:tc>
        <w:tc>
          <w:tcPr>
            <w:tcW w:w="1785" w:type="pct"/>
            <w:gridSpan w:val="7"/>
            <w:shd w:val="clear" w:color="000000" w:fill="FFFFFF"/>
            <w:vAlign w:val="center"/>
            <w:hideMark/>
          </w:tcPr>
          <w:p w14:paraId="1DB102BA" w14:textId="77777777" w:rsidR="00004331" w:rsidRPr="007F428F" w:rsidRDefault="00004331" w:rsidP="00004331">
            <w:pPr>
              <w:spacing w:after="0" w:line="240" w:lineRule="auto"/>
              <w:jc w:val="center"/>
              <w:rPr>
                <w:rFonts w:eastAsia="Times New Roman" w:cs="Segoe UI"/>
                <w:color w:val="000000"/>
                <w:sz w:val="16"/>
                <w:szCs w:val="16"/>
                <w:lang w:eastAsia="sk-SK"/>
              </w:rPr>
            </w:pPr>
            <w:r w:rsidRPr="007F428F">
              <w:rPr>
                <w:rFonts w:eastAsia="Times New Roman" w:cs="Segoe UI"/>
                <w:color w:val="000000"/>
                <w:sz w:val="16"/>
                <w:szCs w:val="16"/>
                <w:lang w:eastAsia="sk-SK"/>
              </w:rPr>
              <w:t>zlúčený s OP Integrovaná infraštruktúra od roku 2019</w:t>
            </w:r>
          </w:p>
        </w:tc>
        <w:tc>
          <w:tcPr>
            <w:tcW w:w="529" w:type="pct"/>
            <w:shd w:val="clear" w:color="000000" w:fill="FFFFFF"/>
            <w:noWrap/>
            <w:vAlign w:val="center"/>
            <w:hideMark/>
          </w:tcPr>
          <w:p w14:paraId="2AC2579D" w14:textId="77777777" w:rsidR="00004331" w:rsidRPr="000C6806" w:rsidRDefault="00004331" w:rsidP="00004331">
            <w:pPr>
              <w:spacing w:after="0" w:line="240" w:lineRule="auto"/>
              <w:jc w:val="right"/>
              <w:rPr>
                <w:rFonts w:eastAsia="Times New Roman" w:cs="Segoe UI"/>
                <w:b/>
                <w:color w:val="002060"/>
                <w:sz w:val="16"/>
                <w:szCs w:val="16"/>
                <w:lang w:eastAsia="sk-SK"/>
              </w:rPr>
            </w:pPr>
            <w:r w:rsidRPr="000C6806">
              <w:rPr>
                <w:rFonts w:eastAsia="Times New Roman" w:cs="Segoe UI"/>
                <w:b/>
                <w:color w:val="002060"/>
                <w:sz w:val="16"/>
                <w:szCs w:val="16"/>
                <w:lang w:eastAsia="sk-SK"/>
              </w:rPr>
              <w:t>108 424,3</w:t>
            </w:r>
          </w:p>
        </w:tc>
        <w:tc>
          <w:tcPr>
            <w:tcW w:w="710" w:type="pct"/>
            <w:shd w:val="clear" w:color="000000" w:fill="FFFFFF"/>
            <w:noWrap/>
            <w:vAlign w:val="center"/>
            <w:hideMark/>
          </w:tcPr>
          <w:p w14:paraId="7CA7E4CB" w14:textId="77777777" w:rsidR="00004331" w:rsidRPr="007F428F" w:rsidRDefault="00004331" w:rsidP="00004331">
            <w:pPr>
              <w:spacing w:after="0" w:line="240" w:lineRule="auto"/>
              <w:jc w:val="right"/>
              <w:rPr>
                <w:rFonts w:eastAsia="Times New Roman" w:cs="Segoe UI"/>
                <w:color w:val="000000"/>
                <w:sz w:val="16"/>
                <w:szCs w:val="16"/>
                <w:lang w:eastAsia="sk-SK"/>
              </w:rPr>
            </w:pPr>
            <w:r w:rsidRPr="007F428F">
              <w:rPr>
                <w:rFonts w:eastAsia="Times New Roman" w:cs="Segoe UI"/>
                <w:color w:val="000000"/>
                <w:sz w:val="16"/>
                <w:szCs w:val="16"/>
                <w:lang w:eastAsia="sk-SK"/>
              </w:rPr>
              <w:t> </w:t>
            </w:r>
            <w:r>
              <w:rPr>
                <w:rFonts w:eastAsia="Times New Roman" w:cs="Segoe UI"/>
                <w:color w:val="000000"/>
                <w:sz w:val="16"/>
                <w:szCs w:val="16"/>
                <w:lang w:eastAsia="sk-SK"/>
              </w:rPr>
              <w:t>-</w:t>
            </w:r>
          </w:p>
        </w:tc>
      </w:tr>
      <w:tr w:rsidR="00004331" w:rsidRPr="007F428F" w14:paraId="58E107D9" w14:textId="77777777" w:rsidTr="00004331">
        <w:trPr>
          <w:trHeight w:val="283"/>
        </w:trPr>
        <w:tc>
          <w:tcPr>
            <w:tcW w:w="974" w:type="pct"/>
            <w:shd w:val="clear" w:color="000000" w:fill="FFFFFF"/>
            <w:noWrap/>
            <w:vAlign w:val="center"/>
            <w:hideMark/>
          </w:tcPr>
          <w:p w14:paraId="5A164993" w14:textId="77777777" w:rsidR="00004331" w:rsidRPr="007F428F" w:rsidRDefault="00004331" w:rsidP="00004331">
            <w:pPr>
              <w:spacing w:after="0" w:line="240" w:lineRule="auto"/>
              <w:jc w:val="left"/>
              <w:rPr>
                <w:rFonts w:eastAsia="Times New Roman" w:cs="Segoe UI"/>
                <w:color w:val="000000"/>
                <w:sz w:val="16"/>
                <w:szCs w:val="16"/>
                <w:lang w:eastAsia="sk-SK"/>
              </w:rPr>
            </w:pPr>
            <w:r w:rsidRPr="007F428F">
              <w:rPr>
                <w:rFonts w:eastAsia="Times New Roman" w:cs="Segoe UI"/>
                <w:color w:val="000000"/>
                <w:sz w:val="16"/>
                <w:szCs w:val="16"/>
                <w:lang w:eastAsia="sk-SK"/>
              </w:rPr>
              <w:t>IROP</w:t>
            </w:r>
          </w:p>
        </w:tc>
        <w:tc>
          <w:tcPr>
            <w:tcW w:w="518" w:type="pct"/>
            <w:shd w:val="clear" w:color="000000" w:fill="FFFFFF"/>
            <w:noWrap/>
            <w:vAlign w:val="center"/>
            <w:hideMark/>
          </w:tcPr>
          <w:p w14:paraId="24116844" w14:textId="77777777" w:rsidR="00004331" w:rsidRPr="007F428F" w:rsidRDefault="00004331" w:rsidP="00004331">
            <w:pPr>
              <w:spacing w:after="0" w:line="240" w:lineRule="auto"/>
              <w:jc w:val="right"/>
              <w:rPr>
                <w:rFonts w:eastAsia="Times New Roman" w:cs="Segoe UI"/>
                <w:color w:val="000000"/>
                <w:sz w:val="16"/>
                <w:szCs w:val="16"/>
                <w:lang w:eastAsia="sk-SK"/>
              </w:rPr>
            </w:pPr>
            <w:r w:rsidRPr="007F428F">
              <w:rPr>
                <w:rFonts w:eastAsia="Times New Roman" w:cs="Segoe UI"/>
                <w:color w:val="000000"/>
                <w:sz w:val="16"/>
                <w:szCs w:val="16"/>
                <w:lang w:eastAsia="sk-SK"/>
              </w:rPr>
              <w:t>-</w:t>
            </w:r>
          </w:p>
        </w:tc>
        <w:tc>
          <w:tcPr>
            <w:tcW w:w="485" w:type="pct"/>
            <w:shd w:val="clear" w:color="000000" w:fill="FFFFFF"/>
            <w:noWrap/>
            <w:vAlign w:val="center"/>
            <w:hideMark/>
          </w:tcPr>
          <w:p w14:paraId="4AD9C6B4" w14:textId="77777777" w:rsidR="00004331" w:rsidRPr="007F428F" w:rsidRDefault="00004331" w:rsidP="00004331">
            <w:pPr>
              <w:spacing w:after="0" w:line="240" w:lineRule="auto"/>
              <w:jc w:val="right"/>
              <w:rPr>
                <w:rFonts w:eastAsia="Times New Roman" w:cs="Segoe UI"/>
                <w:color w:val="000000"/>
                <w:sz w:val="16"/>
                <w:szCs w:val="16"/>
                <w:lang w:eastAsia="sk-SK"/>
              </w:rPr>
            </w:pPr>
            <w:r w:rsidRPr="007F428F">
              <w:rPr>
                <w:rFonts w:eastAsia="Times New Roman" w:cs="Segoe UI"/>
                <w:color w:val="000000"/>
                <w:sz w:val="16"/>
                <w:szCs w:val="16"/>
                <w:lang w:eastAsia="sk-SK"/>
              </w:rPr>
              <w:t>38 892,3</w:t>
            </w:r>
          </w:p>
        </w:tc>
        <w:tc>
          <w:tcPr>
            <w:tcW w:w="446" w:type="pct"/>
            <w:gridSpan w:val="2"/>
            <w:shd w:val="clear" w:color="000000" w:fill="FFFFFF"/>
            <w:noWrap/>
            <w:vAlign w:val="center"/>
            <w:hideMark/>
          </w:tcPr>
          <w:p w14:paraId="1FA8C49B" w14:textId="77777777" w:rsidR="00004331" w:rsidRPr="007F428F" w:rsidRDefault="00004331" w:rsidP="00004331">
            <w:pPr>
              <w:spacing w:after="0" w:line="240" w:lineRule="auto"/>
              <w:jc w:val="right"/>
              <w:rPr>
                <w:rFonts w:eastAsia="Times New Roman" w:cs="Segoe UI"/>
                <w:color w:val="000000"/>
                <w:sz w:val="16"/>
                <w:szCs w:val="16"/>
                <w:lang w:eastAsia="sk-SK"/>
              </w:rPr>
            </w:pPr>
            <w:r w:rsidRPr="007F428F">
              <w:rPr>
                <w:rFonts w:eastAsia="Times New Roman" w:cs="Segoe UI"/>
                <w:color w:val="000000"/>
                <w:sz w:val="16"/>
                <w:szCs w:val="16"/>
                <w:lang w:eastAsia="sk-SK"/>
              </w:rPr>
              <w:t>-</w:t>
            </w:r>
          </w:p>
        </w:tc>
        <w:tc>
          <w:tcPr>
            <w:tcW w:w="447" w:type="pct"/>
            <w:shd w:val="clear" w:color="000000" w:fill="FFFFFF"/>
            <w:vAlign w:val="center"/>
          </w:tcPr>
          <w:p w14:paraId="288B204A" w14:textId="77777777" w:rsidR="00004331" w:rsidRPr="007F428F" w:rsidRDefault="00004331" w:rsidP="00004331">
            <w:pPr>
              <w:spacing w:after="0" w:line="240" w:lineRule="auto"/>
              <w:jc w:val="right"/>
              <w:rPr>
                <w:rFonts w:eastAsia="Times New Roman" w:cs="Segoe UI"/>
                <w:color w:val="000000"/>
                <w:sz w:val="16"/>
                <w:szCs w:val="16"/>
                <w:lang w:eastAsia="sk-SK"/>
              </w:rPr>
            </w:pPr>
            <w:r>
              <w:rPr>
                <w:rFonts w:eastAsia="Times New Roman" w:cs="Segoe UI"/>
                <w:color w:val="000000"/>
                <w:sz w:val="16"/>
                <w:szCs w:val="16"/>
                <w:lang w:eastAsia="sk-SK"/>
              </w:rPr>
              <w:t>-</w:t>
            </w:r>
          </w:p>
        </w:tc>
        <w:tc>
          <w:tcPr>
            <w:tcW w:w="446" w:type="pct"/>
            <w:gridSpan w:val="2"/>
            <w:shd w:val="clear" w:color="000000" w:fill="FFFFFF"/>
            <w:vAlign w:val="center"/>
          </w:tcPr>
          <w:p w14:paraId="7C627046" w14:textId="77777777" w:rsidR="00004331" w:rsidRPr="007F428F" w:rsidRDefault="00004331" w:rsidP="00004331">
            <w:pPr>
              <w:spacing w:after="0" w:line="240" w:lineRule="auto"/>
              <w:jc w:val="right"/>
              <w:rPr>
                <w:rFonts w:eastAsia="Times New Roman" w:cs="Segoe UI"/>
                <w:color w:val="000000"/>
                <w:sz w:val="16"/>
                <w:szCs w:val="16"/>
                <w:lang w:eastAsia="sk-SK"/>
              </w:rPr>
            </w:pPr>
            <w:r>
              <w:rPr>
                <w:rFonts w:eastAsia="Times New Roman" w:cs="Segoe UI"/>
                <w:color w:val="000000"/>
                <w:sz w:val="16"/>
                <w:szCs w:val="16"/>
                <w:lang w:eastAsia="sk-SK"/>
              </w:rPr>
              <w:t>-</w:t>
            </w:r>
          </w:p>
        </w:tc>
        <w:tc>
          <w:tcPr>
            <w:tcW w:w="447" w:type="pct"/>
            <w:gridSpan w:val="2"/>
            <w:shd w:val="clear" w:color="000000" w:fill="FFFFFF"/>
            <w:vAlign w:val="center"/>
          </w:tcPr>
          <w:p w14:paraId="677A32E0" w14:textId="77777777" w:rsidR="00004331" w:rsidRPr="007F428F" w:rsidRDefault="00004331" w:rsidP="00004331">
            <w:pPr>
              <w:spacing w:after="0" w:line="240" w:lineRule="auto"/>
              <w:jc w:val="right"/>
              <w:rPr>
                <w:rFonts w:eastAsia="Times New Roman" w:cs="Segoe UI"/>
                <w:color w:val="000000"/>
                <w:sz w:val="16"/>
                <w:szCs w:val="16"/>
                <w:lang w:eastAsia="sk-SK"/>
              </w:rPr>
            </w:pPr>
            <w:r>
              <w:rPr>
                <w:rFonts w:eastAsia="Times New Roman" w:cs="Segoe UI"/>
                <w:color w:val="000000"/>
                <w:sz w:val="16"/>
                <w:szCs w:val="16"/>
                <w:lang w:eastAsia="sk-SK"/>
              </w:rPr>
              <w:t>-</w:t>
            </w:r>
          </w:p>
        </w:tc>
        <w:tc>
          <w:tcPr>
            <w:tcW w:w="529" w:type="pct"/>
            <w:shd w:val="clear" w:color="000000" w:fill="FFFFFF"/>
            <w:noWrap/>
            <w:vAlign w:val="center"/>
            <w:hideMark/>
          </w:tcPr>
          <w:p w14:paraId="55FEA88B" w14:textId="77777777" w:rsidR="00004331" w:rsidRPr="000C6806" w:rsidRDefault="00004331" w:rsidP="00004331">
            <w:pPr>
              <w:spacing w:after="0" w:line="240" w:lineRule="auto"/>
              <w:jc w:val="right"/>
              <w:rPr>
                <w:rFonts w:eastAsia="Times New Roman" w:cs="Segoe UI"/>
                <w:b/>
                <w:color w:val="002060"/>
                <w:sz w:val="16"/>
                <w:szCs w:val="16"/>
                <w:lang w:eastAsia="sk-SK"/>
              </w:rPr>
            </w:pPr>
            <w:r w:rsidRPr="000C6806">
              <w:rPr>
                <w:rFonts w:eastAsia="Times New Roman" w:cs="Segoe UI"/>
                <w:b/>
                <w:color w:val="002060"/>
                <w:sz w:val="16"/>
                <w:szCs w:val="16"/>
                <w:lang w:eastAsia="sk-SK"/>
              </w:rPr>
              <w:t>38 892,3</w:t>
            </w:r>
          </w:p>
        </w:tc>
        <w:tc>
          <w:tcPr>
            <w:tcW w:w="710" w:type="pct"/>
            <w:shd w:val="clear" w:color="000000" w:fill="FFFFFF"/>
            <w:vAlign w:val="center"/>
            <w:hideMark/>
          </w:tcPr>
          <w:p w14:paraId="2594CF4A" w14:textId="77777777" w:rsidR="00004331" w:rsidRPr="007F428F" w:rsidRDefault="00004331" w:rsidP="00004331">
            <w:pPr>
              <w:spacing w:after="0" w:line="240" w:lineRule="auto"/>
              <w:jc w:val="center"/>
              <w:rPr>
                <w:rFonts w:eastAsia="Times New Roman" w:cs="Segoe UI"/>
                <w:color w:val="000000"/>
                <w:sz w:val="16"/>
                <w:szCs w:val="16"/>
                <w:lang w:eastAsia="sk-SK"/>
              </w:rPr>
            </w:pPr>
            <w:r w:rsidRPr="007F428F">
              <w:rPr>
                <w:rFonts w:eastAsia="Times New Roman" w:cs="Segoe UI"/>
                <w:color w:val="000000"/>
                <w:sz w:val="16"/>
                <w:szCs w:val="16"/>
                <w:lang w:eastAsia="sk-SK"/>
              </w:rPr>
              <w:t>bude predložená v 11/2024</w:t>
            </w:r>
          </w:p>
        </w:tc>
      </w:tr>
      <w:tr w:rsidR="00004331" w:rsidRPr="007F428F" w14:paraId="041E366F" w14:textId="77777777" w:rsidTr="00004331">
        <w:trPr>
          <w:trHeight w:val="283"/>
        </w:trPr>
        <w:tc>
          <w:tcPr>
            <w:tcW w:w="974" w:type="pct"/>
            <w:shd w:val="clear" w:color="000000" w:fill="FFFFFF"/>
            <w:noWrap/>
            <w:vAlign w:val="center"/>
            <w:hideMark/>
          </w:tcPr>
          <w:p w14:paraId="4BF6F1FD" w14:textId="77777777" w:rsidR="00004331" w:rsidRPr="007F428F" w:rsidRDefault="00004331" w:rsidP="00004331">
            <w:pPr>
              <w:spacing w:after="0" w:line="240" w:lineRule="auto"/>
              <w:jc w:val="left"/>
              <w:rPr>
                <w:rFonts w:eastAsia="Times New Roman" w:cs="Segoe UI"/>
                <w:color w:val="000000"/>
                <w:sz w:val="16"/>
                <w:szCs w:val="16"/>
                <w:lang w:eastAsia="sk-SK"/>
              </w:rPr>
            </w:pPr>
            <w:r w:rsidRPr="007F428F">
              <w:rPr>
                <w:rFonts w:eastAsia="Times New Roman" w:cs="Segoe UI"/>
                <w:color w:val="000000"/>
                <w:sz w:val="16"/>
                <w:szCs w:val="16"/>
                <w:lang w:eastAsia="sk-SK"/>
              </w:rPr>
              <w:t>OP RH *</w:t>
            </w:r>
          </w:p>
        </w:tc>
        <w:tc>
          <w:tcPr>
            <w:tcW w:w="518" w:type="pct"/>
            <w:shd w:val="clear" w:color="000000" w:fill="FFFFFF"/>
            <w:noWrap/>
            <w:vAlign w:val="center"/>
            <w:hideMark/>
          </w:tcPr>
          <w:p w14:paraId="5BAE4ECD" w14:textId="77777777" w:rsidR="00004331" w:rsidRPr="007F428F" w:rsidRDefault="00004331" w:rsidP="00004331">
            <w:pPr>
              <w:spacing w:after="0" w:line="240" w:lineRule="auto"/>
              <w:jc w:val="right"/>
              <w:rPr>
                <w:rFonts w:eastAsia="Times New Roman" w:cs="Segoe UI"/>
                <w:color w:val="000000"/>
                <w:sz w:val="16"/>
                <w:szCs w:val="16"/>
                <w:lang w:eastAsia="sk-SK"/>
              </w:rPr>
            </w:pPr>
            <w:r w:rsidRPr="007F428F">
              <w:rPr>
                <w:rFonts w:eastAsia="Times New Roman" w:cs="Segoe UI"/>
                <w:color w:val="000000"/>
                <w:sz w:val="16"/>
                <w:szCs w:val="16"/>
                <w:lang w:eastAsia="sk-SK"/>
              </w:rPr>
              <w:t>-</w:t>
            </w:r>
          </w:p>
        </w:tc>
        <w:tc>
          <w:tcPr>
            <w:tcW w:w="485" w:type="pct"/>
            <w:shd w:val="clear" w:color="000000" w:fill="FFFFFF"/>
            <w:noWrap/>
            <w:vAlign w:val="center"/>
            <w:hideMark/>
          </w:tcPr>
          <w:p w14:paraId="4911EAC9" w14:textId="77777777" w:rsidR="00004331" w:rsidRPr="007F428F" w:rsidRDefault="00004331" w:rsidP="00004331">
            <w:pPr>
              <w:spacing w:after="0" w:line="240" w:lineRule="auto"/>
              <w:jc w:val="right"/>
              <w:rPr>
                <w:rFonts w:eastAsia="Times New Roman" w:cs="Segoe UI"/>
                <w:color w:val="000000"/>
                <w:sz w:val="16"/>
                <w:szCs w:val="16"/>
                <w:lang w:eastAsia="sk-SK"/>
              </w:rPr>
            </w:pPr>
            <w:r w:rsidRPr="007F428F">
              <w:rPr>
                <w:rFonts w:eastAsia="Times New Roman" w:cs="Segoe UI"/>
                <w:color w:val="000000"/>
                <w:sz w:val="16"/>
                <w:szCs w:val="16"/>
                <w:lang w:eastAsia="sk-SK"/>
              </w:rPr>
              <w:t>1 884,9</w:t>
            </w:r>
          </w:p>
        </w:tc>
        <w:tc>
          <w:tcPr>
            <w:tcW w:w="440" w:type="pct"/>
            <w:shd w:val="clear" w:color="000000" w:fill="FFFFFF"/>
            <w:noWrap/>
            <w:vAlign w:val="center"/>
            <w:hideMark/>
          </w:tcPr>
          <w:p w14:paraId="4F68F277" w14:textId="77777777" w:rsidR="00004331" w:rsidRPr="007F428F" w:rsidRDefault="00004331" w:rsidP="00004331">
            <w:pPr>
              <w:spacing w:after="0" w:line="240" w:lineRule="auto"/>
              <w:jc w:val="right"/>
              <w:rPr>
                <w:rFonts w:eastAsia="Times New Roman" w:cs="Segoe UI"/>
                <w:color w:val="000000"/>
                <w:sz w:val="16"/>
                <w:szCs w:val="16"/>
                <w:lang w:eastAsia="sk-SK"/>
              </w:rPr>
            </w:pPr>
            <w:r w:rsidRPr="007F428F">
              <w:rPr>
                <w:rFonts w:eastAsia="Times New Roman" w:cs="Segoe UI"/>
                <w:color w:val="000000"/>
                <w:sz w:val="16"/>
                <w:szCs w:val="16"/>
                <w:lang w:eastAsia="sk-SK"/>
              </w:rPr>
              <w:t>1 140,2</w:t>
            </w:r>
          </w:p>
        </w:tc>
        <w:tc>
          <w:tcPr>
            <w:tcW w:w="464" w:type="pct"/>
            <w:gridSpan w:val="3"/>
            <w:shd w:val="clear" w:color="000000" w:fill="FFFFFF"/>
            <w:noWrap/>
            <w:vAlign w:val="center"/>
            <w:hideMark/>
          </w:tcPr>
          <w:p w14:paraId="082AAA15" w14:textId="77777777" w:rsidR="00004331" w:rsidRPr="007F428F" w:rsidRDefault="00004331" w:rsidP="00004331">
            <w:pPr>
              <w:spacing w:after="0" w:line="240" w:lineRule="auto"/>
              <w:jc w:val="right"/>
              <w:rPr>
                <w:rFonts w:eastAsia="Times New Roman" w:cs="Segoe UI"/>
                <w:color w:val="000000"/>
                <w:sz w:val="16"/>
                <w:szCs w:val="16"/>
                <w:lang w:eastAsia="sk-SK"/>
              </w:rPr>
            </w:pPr>
            <w:r w:rsidRPr="007F428F">
              <w:rPr>
                <w:rFonts w:eastAsia="Times New Roman" w:cs="Segoe UI"/>
                <w:color w:val="000000"/>
                <w:sz w:val="16"/>
                <w:szCs w:val="16"/>
                <w:lang w:eastAsia="sk-SK"/>
              </w:rPr>
              <w:t>2 136,2</w:t>
            </w:r>
          </w:p>
        </w:tc>
        <w:tc>
          <w:tcPr>
            <w:tcW w:w="440" w:type="pct"/>
            <w:gridSpan w:val="2"/>
            <w:shd w:val="clear" w:color="000000" w:fill="FFFFFF"/>
            <w:noWrap/>
            <w:vAlign w:val="center"/>
            <w:hideMark/>
          </w:tcPr>
          <w:p w14:paraId="67CB9BDA" w14:textId="77777777" w:rsidR="00004331" w:rsidRPr="007F428F" w:rsidRDefault="00004331" w:rsidP="00004331">
            <w:pPr>
              <w:spacing w:after="0" w:line="240" w:lineRule="auto"/>
              <w:jc w:val="right"/>
              <w:rPr>
                <w:rFonts w:eastAsia="Times New Roman" w:cs="Segoe UI"/>
                <w:color w:val="000000"/>
                <w:sz w:val="16"/>
                <w:szCs w:val="16"/>
                <w:lang w:eastAsia="sk-SK"/>
              </w:rPr>
            </w:pPr>
            <w:r w:rsidRPr="007F428F">
              <w:rPr>
                <w:rFonts w:eastAsia="Times New Roman" w:cs="Segoe UI"/>
                <w:color w:val="000000"/>
                <w:sz w:val="16"/>
                <w:szCs w:val="16"/>
                <w:lang w:eastAsia="sk-SK"/>
              </w:rPr>
              <w:t>289,9</w:t>
            </w:r>
          </w:p>
        </w:tc>
        <w:tc>
          <w:tcPr>
            <w:tcW w:w="440" w:type="pct"/>
            <w:shd w:val="clear" w:color="000000" w:fill="FFFFFF"/>
            <w:noWrap/>
            <w:vAlign w:val="center"/>
            <w:hideMark/>
          </w:tcPr>
          <w:p w14:paraId="0926EB31" w14:textId="77777777" w:rsidR="00004331" w:rsidRPr="007F428F" w:rsidRDefault="00004331" w:rsidP="00004331">
            <w:pPr>
              <w:spacing w:after="0" w:line="240" w:lineRule="auto"/>
              <w:jc w:val="right"/>
              <w:rPr>
                <w:rFonts w:eastAsia="Times New Roman" w:cs="Segoe UI"/>
                <w:color w:val="000000"/>
                <w:sz w:val="16"/>
                <w:szCs w:val="16"/>
                <w:lang w:eastAsia="sk-SK"/>
              </w:rPr>
            </w:pPr>
            <w:r w:rsidRPr="007F428F">
              <w:rPr>
                <w:rFonts w:eastAsia="Times New Roman" w:cs="Segoe UI"/>
                <w:color w:val="000000"/>
                <w:sz w:val="16"/>
                <w:szCs w:val="16"/>
                <w:lang w:eastAsia="sk-SK"/>
              </w:rPr>
              <w:t>1 650,1</w:t>
            </w:r>
          </w:p>
        </w:tc>
        <w:tc>
          <w:tcPr>
            <w:tcW w:w="529" w:type="pct"/>
            <w:shd w:val="clear" w:color="000000" w:fill="FFFFFF"/>
            <w:noWrap/>
            <w:vAlign w:val="center"/>
            <w:hideMark/>
          </w:tcPr>
          <w:p w14:paraId="351966FB" w14:textId="77777777" w:rsidR="00004331" w:rsidRPr="000C6806" w:rsidRDefault="00004331" w:rsidP="00004331">
            <w:pPr>
              <w:spacing w:after="0" w:line="240" w:lineRule="auto"/>
              <w:jc w:val="right"/>
              <w:rPr>
                <w:rFonts w:eastAsia="Times New Roman" w:cs="Segoe UI"/>
                <w:b/>
                <w:color w:val="002060"/>
                <w:sz w:val="16"/>
                <w:szCs w:val="16"/>
                <w:lang w:eastAsia="sk-SK"/>
              </w:rPr>
            </w:pPr>
            <w:r w:rsidRPr="000C6806">
              <w:rPr>
                <w:rFonts w:eastAsia="Times New Roman" w:cs="Segoe UI"/>
                <w:b/>
                <w:color w:val="002060"/>
                <w:sz w:val="16"/>
                <w:szCs w:val="16"/>
                <w:lang w:eastAsia="sk-SK"/>
              </w:rPr>
              <w:t>7 101,3</w:t>
            </w:r>
          </w:p>
        </w:tc>
        <w:tc>
          <w:tcPr>
            <w:tcW w:w="710" w:type="pct"/>
            <w:shd w:val="clear" w:color="000000" w:fill="FFFFFF"/>
            <w:noWrap/>
            <w:vAlign w:val="center"/>
            <w:hideMark/>
          </w:tcPr>
          <w:p w14:paraId="2A907D28" w14:textId="77777777" w:rsidR="00004331" w:rsidRPr="007F428F" w:rsidRDefault="00004331" w:rsidP="00004331">
            <w:pPr>
              <w:spacing w:after="0" w:line="240" w:lineRule="auto"/>
              <w:jc w:val="right"/>
              <w:rPr>
                <w:rFonts w:eastAsia="Times New Roman" w:cs="Segoe UI"/>
                <w:color w:val="000000"/>
                <w:sz w:val="16"/>
                <w:szCs w:val="16"/>
                <w:lang w:eastAsia="sk-SK"/>
              </w:rPr>
            </w:pPr>
            <w:r w:rsidRPr="007F428F">
              <w:rPr>
                <w:rFonts w:eastAsia="Times New Roman" w:cs="Segoe UI"/>
                <w:color w:val="000000"/>
                <w:sz w:val="16"/>
                <w:szCs w:val="16"/>
                <w:lang w:eastAsia="sk-SK"/>
              </w:rPr>
              <w:t>3 571,9</w:t>
            </w:r>
          </w:p>
        </w:tc>
      </w:tr>
      <w:tr w:rsidR="00004331" w:rsidRPr="007F428F" w14:paraId="1CA9A80D" w14:textId="77777777" w:rsidTr="00004331">
        <w:trPr>
          <w:trHeight w:val="283"/>
        </w:trPr>
        <w:tc>
          <w:tcPr>
            <w:tcW w:w="974" w:type="pct"/>
            <w:shd w:val="clear" w:color="000000" w:fill="FFFFFF"/>
            <w:noWrap/>
            <w:vAlign w:val="center"/>
            <w:hideMark/>
          </w:tcPr>
          <w:p w14:paraId="161AFE11" w14:textId="77777777" w:rsidR="00004331" w:rsidRPr="007F428F" w:rsidRDefault="00004331" w:rsidP="00004331">
            <w:pPr>
              <w:spacing w:after="0" w:line="240" w:lineRule="auto"/>
              <w:jc w:val="left"/>
              <w:rPr>
                <w:rFonts w:eastAsia="Times New Roman" w:cs="Segoe UI"/>
                <w:color w:val="000000"/>
                <w:sz w:val="16"/>
                <w:szCs w:val="16"/>
                <w:lang w:eastAsia="sk-SK"/>
              </w:rPr>
            </w:pPr>
            <w:r w:rsidRPr="007F428F">
              <w:rPr>
                <w:rFonts w:eastAsia="Times New Roman" w:cs="Segoe UI"/>
                <w:color w:val="000000"/>
                <w:sz w:val="16"/>
                <w:szCs w:val="16"/>
                <w:lang w:eastAsia="sk-SK"/>
              </w:rPr>
              <w:t xml:space="preserve">PS INTERACT III </w:t>
            </w:r>
          </w:p>
        </w:tc>
        <w:tc>
          <w:tcPr>
            <w:tcW w:w="518" w:type="pct"/>
            <w:shd w:val="clear" w:color="000000" w:fill="FFFFFF"/>
            <w:noWrap/>
            <w:vAlign w:val="center"/>
            <w:hideMark/>
          </w:tcPr>
          <w:p w14:paraId="24919F6E" w14:textId="77777777" w:rsidR="00004331" w:rsidRPr="007F428F" w:rsidRDefault="00004331" w:rsidP="00004331">
            <w:pPr>
              <w:spacing w:after="0" w:line="240" w:lineRule="auto"/>
              <w:jc w:val="right"/>
              <w:rPr>
                <w:rFonts w:eastAsia="Times New Roman" w:cs="Segoe UI"/>
                <w:color w:val="000000"/>
                <w:sz w:val="16"/>
                <w:szCs w:val="16"/>
                <w:lang w:eastAsia="sk-SK"/>
              </w:rPr>
            </w:pPr>
            <w:r w:rsidRPr="007F428F">
              <w:rPr>
                <w:rFonts w:eastAsia="Times New Roman" w:cs="Segoe UI"/>
                <w:color w:val="000000"/>
                <w:sz w:val="16"/>
                <w:szCs w:val="16"/>
                <w:lang w:eastAsia="sk-SK"/>
              </w:rPr>
              <w:t>-</w:t>
            </w:r>
          </w:p>
        </w:tc>
        <w:tc>
          <w:tcPr>
            <w:tcW w:w="485" w:type="pct"/>
            <w:shd w:val="clear" w:color="000000" w:fill="FFFFFF"/>
            <w:noWrap/>
            <w:vAlign w:val="center"/>
            <w:hideMark/>
          </w:tcPr>
          <w:p w14:paraId="019DFCDB" w14:textId="77777777" w:rsidR="00004331" w:rsidRPr="007F428F" w:rsidRDefault="00004331" w:rsidP="00004331">
            <w:pPr>
              <w:spacing w:after="0" w:line="240" w:lineRule="auto"/>
              <w:jc w:val="right"/>
              <w:rPr>
                <w:rFonts w:eastAsia="Times New Roman" w:cs="Segoe UI"/>
                <w:color w:val="000000"/>
                <w:sz w:val="16"/>
                <w:szCs w:val="16"/>
                <w:lang w:eastAsia="sk-SK"/>
              </w:rPr>
            </w:pPr>
            <w:r w:rsidRPr="007F428F">
              <w:rPr>
                <w:rFonts w:eastAsia="Times New Roman" w:cs="Segoe UI"/>
                <w:color w:val="000000"/>
                <w:sz w:val="16"/>
                <w:szCs w:val="16"/>
                <w:lang w:eastAsia="sk-SK"/>
              </w:rPr>
              <w:t>-</w:t>
            </w:r>
          </w:p>
        </w:tc>
        <w:tc>
          <w:tcPr>
            <w:tcW w:w="440" w:type="pct"/>
            <w:shd w:val="clear" w:color="000000" w:fill="FFFFFF"/>
            <w:noWrap/>
            <w:vAlign w:val="center"/>
            <w:hideMark/>
          </w:tcPr>
          <w:p w14:paraId="24FA1263" w14:textId="77777777" w:rsidR="00004331" w:rsidRPr="007F428F" w:rsidRDefault="00004331" w:rsidP="00004331">
            <w:pPr>
              <w:spacing w:after="0" w:line="240" w:lineRule="auto"/>
              <w:jc w:val="right"/>
              <w:rPr>
                <w:rFonts w:eastAsia="Times New Roman" w:cs="Segoe UI"/>
                <w:color w:val="000000"/>
                <w:sz w:val="16"/>
                <w:szCs w:val="16"/>
                <w:lang w:eastAsia="sk-SK"/>
              </w:rPr>
            </w:pPr>
            <w:r w:rsidRPr="007F428F">
              <w:rPr>
                <w:rFonts w:eastAsia="Times New Roman" w:cs="Segoe UI"/>
                <w:color w:val="000000"/>
                <w:sz w:val="16"/>
                <w:szCs w:val="16"/>
                <w:lang w:eastAsia="sk-SK"/>
              </w:rPr>
              <w:t>-</w:t>
            </w:r>
          </w:p>
        </w:tc>
        <w:tc>
          <w:tcPr>
            <w:tcW w:w="464" w:type="pct"/>
            <w:gridSpan w:val="3"/>
            <w:shd w:val="clear" w:color="000000" w:fill="FFFFFF"/>
            <w:noWrap/>
            <w:vAlign w:val="center"/>
            <w:hideMark/>
          </w:tcPr>
          <w:p w14:paraId="28A0159E" w14:textId="77777777" w:rsidR="00004331" w:rsidRPr="007F428F" w:rsidRDefault="00004331" w:rsidP="00004331">
            <w:pPr>
              <w:spacing w:after="0" w:line="240" w:lineRule="auto"/>
              <w:jc w:val="right"/>
              <w:rPr>
                <w:rFonts w:eastAsia="Times New Roman" w:cs="Segoe UI"/>
                <w:color w:val="000000"/>
                <w:sz w:val="16"/>
                <w:szCs w:val="16"/>
                <w:lang w:eastAsia="sk-SK"/>
              </w:rPr>
            </w:pPr>
            <w:r w:rsidRPr="007F428F">
              <w:rPr>
                <w:rFonts w:eastAsia="Times New Roman" w:cs="Segoe UI"/>
                <w:color w:val="000000"/>
                <w:sz w:val="16"/>
                <w:szCs w:val="16"/>
                <w:lang w:eastAsia="sk-SK"/>
              </w:rPr>
              <w:t>-</w:t>
            </w:r>
          </w:p>
        </w:tc>
        <w:tc>
          <w:tcPr>
            <w:tcW w:w="440" w:type="pct"/>
            <w:gridSpan w:val="2"/>
            <w:shd w:val="clear" w:color="000000" w:fill="FFFFFF"/>
            <w:noWrap/>
            <w:vAlign w:val="center"/>
            <w:hideMark/>
          </w:tcPr>
          <w:p w14:paraId="206A0F7A" w14:textId="77777777" w:rsidR="00004331" w:rsidRPr="007F428F" w:rsidRDefault="00004331" w:rsidP="00004331">
            <w:pPr>
              <w:spacing w:after="0" w:line="240" w:lineRule="auto"/>
              <w:jc w:val="right"/>
              <w:rPr>
                <w:rFonts w:eastAsia="Times New Roman" w:cs="Segoe UI"/>
                <w:color w:val="000000"/>
                <w:sz w:val="16"/>
                <w:szCs w:val="16"/>
                <w:lang w:eastAsia="sk-SK"/>
              </w:rPr>
            </w:pPr>
            <w:r w:rsidRPr="007F428F">
              <w:rPr>
                <w:rFonts w:eastAsia="Times New Roman" w:cs="Segoe UI"/>
                <w:color w:val="000000"/>
                <w:sz w:val="16"/>
                <w:szCs w:val="16"/>
                <w:lang w:eastAsia="sk-SK"/>
              </w:rPr>
              <w:t>-</w:t>
            </w:r>
          </w:p>
        </w:tc>
        <w:tc>
          <w:tcPr>
            <w:tcW w:w="440" w:type="pct"/>
            <w:shd w:val="clear" w:color="000000" w:fill="FFFFFF"/>
            <w:noWrap/>
            <w:vAlign w:val="center"/>
            <w:hideMark/>
          </w:tcPr>
          <w:p w14:paraId="1FE07894" w14:textId="77777777" w:rsidR="00004331" w:rsidRPr="007F428F" w:rsidRDefault="00004331" w:rsidP="00004331">
            <w:pPr>
              <w:spacing w:after="0" w:line="240" w:lineRule="auto"/>
              <w:jc w:val="right"/>
              <w:rPr>
                <w:rFonts w:eastAsia="Times New Roman" w:cs="Segoe UI"/>
                <w:color w:val="000000"/>
                <w:sz w:val="16"/>
                <w:szCs w:val="16"/>
                <w:lang w:eastAsia="sk-SK"/>
              </w:rPr>
            </w:pPr>
            <w:r w:rsidRPr="007F428F">
              <w:rPr>
                <w:rFonts w:eastAsia="Times New Roman" w:cs="Segoe UI"/>
                <w:color w:val="000000"/>
                <w:sz w:val="16"/>
                <w:szCs w:val="16"/>
                <w:lang w:eastAsia="sk-SK"/>
              </w:rPr>
              <w:t>-</w:t>
            </w:r>
          </w:p>
        </w:tc>
        <w:tc>
          <w:tcPr>
            <w:tcW w:w="529" w:type="pct"/>
            <w:shd w:val="clear" w:color="000000" w:fill="FFFFFF"/>
            <w:noWrap/>
            <w:vAlign w:val="center"/>
            <w:hideMark/>
          </w:tcPr>
          <w:p w14:paraId="017E78E9" w14:textId="77777777" w:rsidR="00004331" w:rsidRPr="007F428F" w:rsidRDefault="00004331" w:rsidP="00004331">
            <w:pPr>
              <w:spacing w:after="0" w:line="240" w:lineRule="auto"/>
              <w:jc w:val="right"/>
              <w:rPr>
                <w:rFonts w:eastAsia="Times New Roman" w:cs="Segoe UI"/>
                <w:color w:val="000000"/>
                <w:sz w:val="16"/>
                <w:szCs w:val="16"/>
                <w:lang w:eastAsia="sk-SK"/>
              </w:rPr>
            </w:pPr>
            <w:r w:rsidRPr="007F428F">
              <w:rPr>
                <w:rFonts w:eastAsia="Times New Roman" w:cs="Segoe UI"/>
                <w:color w:val="000000"/>
                <w:sz w:val="16"/>
                <w:szCs w:val="16"/>
                <w:lang w:eastAsia="sk-SK"/>
              </w:rPr>
              <w:t>-</w:t>
            </w:r>
          </w:p>
        </w:tc>
        <w:tc>
          <w:tcPr>
            <w:tcW w:w="710" w:type="pct"/>
            <w:shd w:val="clear" w:color="000000" w:fill="FFFFFF"/>
            <w:noWrap/>
            <w:vAlign w:val="center"/>
            <w:hideMark/>
          </w:tcPr>
          <w:p w14:paraId="6BF121C6" w14:textId="77777777" w:rsidR="00004331" w:rsidRPr="000C6806" w:rsidRDefault="00004331" w:rsidP="00004331">
            <w:pPr>
              <w:spacing w:after="0" w:line="240" w:lineRule="auto"/>
              <w:jc w:val="right"/>
              <w:rPr>
                <w:rFonts w:eastAsia="Times New Roman" w:cs="Segoe UI"/>
                <w:b/>
                <w:color w:val="000000"/>
                <w:sz w:val="16"/>
                <w:szCs w:val="16"/>
                <w:lang w:eastAsia="sk-SK"/>
              </w:rPr>
            </w:pPr>
            <w:r w:rsidRPr="000C6806">
              <w:rPr>
                <w:rFonts w:eastAsia="Times New Roman" w:cs="Segoe UI"/>
                <w:b/>
                <w:color w:val="002060"/>
                <w:sz w:val="16"/>
                <w:szCs w:val="16"/>
                <w:lang w:eastAsia="sk-SK"/>
              </w:rPr>
              <w:t>277,2</w:t>
            </w:r>
          </w:p>
        </w:tc>
      </w:tr>
      <w:tr w:rsidR="00004331" w:rsidRPr="007F428F" w14:paraId="72702092" w14:textId="77777777" w:rsidTr="00004331">
        <w:trPr>
          <w:trHeight w:val="283"/>
        </w:trPr>
        <w:tc>
          <w:tcPr>
            <w:tcW w:w="974" w:type="pct"/>
            <w:shd w:val="clear" w:color="000000" w:fill="FFFFFF"/>
            <w:noWrap/>
            <w:vAlign w:val="center"/>
            <w:hideMark/>
          </w:tcPr>
          <w:p w14:paraId="33A0AC67" w14:textId="77777777" w:rsidR="00004331" w:rsidRPr="007F428F" w:rsidRDefault="00004331" w:rsidP="00004331">
            <w:pPr>
              <w:spacing w:after="0" w:line="240" w:lineRule="auto"/>
              <w:jc w:val="left"/>
              <w:rPr>
                <w:rFonts w:eastAsia="Times New Roman" w:cs="Segoe UI"/>
                <w:color w:val="000000"/>
                <w:sz w:val="16"/>
                <w:szCs w:val="16"/>
                <w:lang w:eastAsia="sk-SK"/>
              </w:rPr>
            </w:pPr>
            <w:r w:rsidRPr="007F428F">
              <w:rPr>
                <w:rFonts w:eastAsia="Times New Roman" w:cs="Segoe UI"/>
                <w:color w:val="000000"/>
                <w:sz w:val="16"/>
                <w:szCs w:val="16"/>
                <w:lang w:eastAsia="sk-SK"/>
              </w:rPr>
              <w:t>OP EVS za REACT-EÚ</w:t>
            </w:r>
          </w:p>
        </w:tc>
        <w:tc>
          <w:tcPr>
            <w:tcW w:w="518" w:type="pct"/>
            <w:shd w:val="clear" w:color="000000" w:fill="FFFFFF"/>
            <w:noWrap/>
            <w:vAlign w:val="center"/>
            <w:hideMark/>
          </w:tcPr>
          <w:p w14:paraId="3602AF4E" w14:textId="77777777" w:rsidR="00004331" w:rsidRPr="007F428F" w:rsidRDefault="00004331" w:rsidP="00004331">
            <w:pPr>
              <w:spacing w:after="0" w:line="240" w:lineRule="auto"/>
              <w:jc w:val="right"/>
              <w:rPr>
                <w:rFonts w:eastAsia="Times New Roman" w:cs="Segoe UI"/>
                <w:color w:val="000000"/>
                <w:sz w:val="16"/>
                <w:szCs w:val="16"/>
                <w:lang w:eastAsia="sk-SK"/>
              </w:rPr>
            </w:pPr>
            <w:r w:rsidRPr="007F428F">
              <w:rPr>
                <w:rFonts w:eastAsia="Times New Roman" w:cs="Segoe UI"/>
                <w:color w:val="000000"/>
                <w:sz w:val="16"/>
                <w:szCs w:val="16"/>
                <w:lang w:eastAsia="sk-SK"/>
              </w:rPr>
              <w:t>-</w:t>
            </w:r>
          </w:p>
        </w:tc>
        <w:tc>
          <w:tcPr>
            <w:tcW w:w="485" w:type="pct"/>
            <w:shd w:val="clear" w:color="000000" w:fill="FFFFFF"/>
            <w:noWrap/>
            <w:vAlign w:val="center"/>
            <w:hideMark/>
          </w:tcPr>
          <w:p w14:paraId="200C0C8B" w14:textId="77777777" w:rsidR="00004331" w:rsidRPr="007F428F" w:rsidRDefault="00004331" w:rsidP="00004331">
            <w:pPr>
              <w:spacing w:after="0" w:line="240" w:lineRule="auto"/>
              <w:jc w:val="right"/>
              <w:rPr>
                <w:rFonts w:eastAsia="Times New Roman" w:cs="Segoe UI"/>
                <w:color w:val="000000"/>
                <w:sz w:val="16"/>
                <w:szCs w:val="16"/>
                <w:lang w:eastAsia="sk-SK"/>
              </w:rPr>
            </w:pPr>
            <w:r w:rsidRPr="007F428F">
              <w:rPr>
                <w:rFonts w:eastAsia="Times New Roman" w:cs="Segoe UI"/>
                <w:color w:val="000000"/>
                <w:sz w:val="16"/>
                <w:szCs w:val="16"/>
                <w:lang w:eastAsia="sk-SK"/>
              </w:rPr>
              <w:t>-</w:t>
            </w:r>
          </w:p>
        </w:tc>
        <w:tc>
          <w:tcPr>
            <w:tcW w:w="440" w:type="pct"/>
            <w:shd w:val="clear" w:color="000000" w:fill="FFFFFF"/>
            <w:noWrap/>
            <w:vAlign w:val="center"/>
            <w:hideMark/>
          </w:tcPr>
          <w:p w14:paraId="0949F5BC" w14:textId="77777777" w:rsidR="00004331" w:rsidRPr="007F428F" w:rsidRDefault="00004331" w:rsidP="00004331">
            <w:pPr>
              <w:spacing w:after="0" w:line="240" w:lineRule="auto"/>
              <w:jc w:val="right"/>
              <w:rPr>
                <w:rFonts w:eastAsia="Times New Roman" w:cs="Segoe UI"/>
                <w:color w:val="000000"/>
                <w:sz w:val="16"/>
                <w:szCs w:val="16"/>
                <w:lang w:eastAsia="sk-SK"/>
              </w:rPr>
            </w:pPr>
            <w:r w:rsidRPr="007F428F">
              <w:rPr>
                <w:rFonts w:eastAsia="Times New Roman" w:cs="Segoe UI"/>
                <w:color w:val="000000"/>
                <w:sz w:val="16"/>
                <w:szCs w:val="16"/>
                <w:lang w:eastAsia="sk-SK"/>
              </w:rPr>
              <w:t>-</w:t>
            </w:r>
          </w:p>
        </w:tc>
        <w:tc>
          <w:tcPr>
            <w:tcW w:w="464" w:type="pct"/>
            <w:gridSpan w:val="3"/>
            <w:shd w:val="clear" w:color="000000" w:fill="FFFFFF"/>
            <w:noWrap/>
            <w:vAlign w:val="center"/>
            <w:hideMark/>
          </w:tcPr>
          <w:p w14:paraId="7564DA7A" w14:textId="77777777" w:rsidR="00004331" w:rsidRPr="007F428F" w:rsidRDefault="00004331" w:rsidP="00004331">
            <w:pPr>
              <w:spacing w:after="0" w:line="240" w:lineRule="auto"/>
              <w:jc w:val="right"/>
              <w:rPr>
                <w:rFonts w:eastAsia="Times New Roman" w:cs="Segoe UI"/>
                <w:color w:val="000000"/>
                <w:sz w:val="16"/>
                <w:szCs w:val="16"/>
                <w:lang w:eastAsia="sk-SK"/>
              </w:rPr>
            </w:pPr>
            <w:r w:rsidRPr="007F428F">
              <w:rPr>
                <w:rFonts w:eastAsia="Times New Roman" w:cs="Segoe UI"/>
                <w:color w:val="000000"/>
                <w:sz w:val="16"/>
                <w:szCs w:val="16"/>
                <w:lang w:eastAsia="sk-SK"/>
              </w:rPr>
              <w:t>-</w:t>
            </w:r>
          </w:p>
        </w:tc>
        <w:tc>
          <w:tcPr>
            <w:tcW w:w="440" w:type="pct"/>
            <w:gridSpan w:val="2"/>
            <w:shd w:val="clear" w:color="000000" w:fill="FFFFFF"/>
            <w:noWrap/>
            <w:vAlign w:val="center"/>
            <w:hideMark/>
          </w:tcPr>
          <w:p w14:paraId="391E6877" w14:textId="77777777" w:rsidR="00004331" w:rsidRPr="007F428F" w:rsidRDefault="00004331" w:rsidP="00004331">
            <w:pPr>
              <w:spacing w:after="0" w:line="240" w:lineRule="auto"/>
              <w:jc w:val="right"/>
              <w:rPr>
                <w:rFonts w:eastAsia="Times New Roman" w:cs="Segoe UI"/>
                <w:color w:val="000000"/>
                <w:sz w:val="16"/>
                <w:szCs w:val="16"/>
                <w:lang w:eastAsia="sk-SK"/>
              </w:rPr>
            </w:pPr>
            <w:r w:rsidRPr="007F428F">
              <w:rPr>
                <w:rFonts w:eastAsia="Times New Roman" w:cs="Segoe UI"/>
                <w:color w:val="000000"/>
                <w:sz w:val="16"/>
                <w:szCs w:val="16"/>
                <w:lang w:eastAsia="sk-SK"/>
              </w:rPr>
              <w:t>-</w:t>
            </w:r>
          </w:p>
        </w:tc>
        <w:tc>
          <w:tcPr>
            <w:tcW w:w="440" w:type="pct"/>
            <w:shd w:val="clear" w:color="000000" w:fill="FFFFFF"/>
            <w:noWrap/>
            <w:vAlign w:val="center"/>
            <w:hideMark/>
          </w:tcPr>
          <w:p w14:paraId="5E9A77AB" w14:textId="77777777" w:rsidR="00004331" w:rsidRPr="007F428F" w:rsidRDefault="00004331" w:rsidP="00004331">
            <w:pPr>
              <w:spacing w:after="0" w:line="240" w:lineRule="auto"/>
              <w:jc w:val="right"/>
              <w:rPr>
                <w:rFonts w:eastAsia="Times New Roman" w:cs="Segoe UI"/>
                <w:color w:val="000000"/>
                <w:sz w:val="16"/>
                <w:szCs w:val="16"/>
                <w:lang w:eastAsia="sk-SK"/>
              </w:rPr>
            </w:pPr>
            <w:r w:rsidRPr="007F428F">
              <w:rPr>
                <w:rFonts w:eastAsia="Times New Roman" w:cs="Segoe UI"/>
                <w:color w:val="000000"/>
                <w:sz w:val="16"/>
                <w:szCs w:val="16"/>
                <w:lang w:eastAsia="sk-SK"/>
              </w:rPr>
              <w:t>-</w:t>
            </w:r>
          </w:p>
        </w:tc>
        <w:tc>
          <w:tcPr>
            <w:tcW w:w="529" w:type="pct"/>
            <w:shd w:val="clear" w:color="000000" w:fill="FFFFFF"/>
            <w:noWrap/>
            <w:vAlign w:val="center"/>
            <w:hideMark/>
          </w:tcPr>
          <w:p w14:paraId="66EDBE2D" w14:textId="77777777" w:rsidR="00004331" w:rsidRPr="007F428F" w:rsidRDefault="00004331" w:rsidP="00004331">
            <w:pPr>
              <w:spacing w:after="0" w:line="240" w:lineRule="auto"/>
              <w:jc w:val="right"/>
              <w:rPr>
                <w:rFonts w:eastAsia="Times New Roman" w:cs="Segoe UI"/>
                <w:color w:val="000000"/>
                <w:sz w:val="16"/>
                <w:szCs w:val="16"/>
                <w:lang w:eastAsia="sk-SK"/>
              </w:rPr>
            </w:pPr>
            <w:r w:rsidRPr="007F428F">
              <w:rPr>
                <w:rFonts w:eastAsia="Times New Roman" w:cs="Segoe UI"/>
                <w:color w:val="000000"/>
                <w:sz w:val="16"/>
                <w:szCs w:val="16"/>
                <w:lang w:eastAsia="sk-SK"/>
              </w:rPr>
              <w:t>-</w:t>
            </w:r>
          </w:p>
        </w:tc>
        <w:tc>
          <w:tcPr>
            <w:tcW w:w="710" w:type="pct"/>
            <w:shd w:val="clear" w:color="000000" w:fill="FFFFFF"/>
            <w:noWrap/>
            <w:vAlign w:val="center"/>
            <w:hideMark/>
          </w:tcPr>
          <w:p w14:paraId="49A5A322" w14:textId="77777777" w:rsidR="00004331" w:rsidRPr="007F428F" w:rsidRDefault="00004331" w:rsidP="00004331">
            <w:pPr>
              <w:spacing w:after="0" w:line="240" w:lineRule="auto"/>
              <w:jc w:val="right"/>
              <w:rPr>
                <w:rFonts w:eastAsia="Times New Roman" w:cs="Segoe UI"/>
                <w:color w:val="000000"/>
                <w:sz w:val="16"/>
                <w:szCs w:val="16"/>
                <w:lang w:eastAsia="sk-SK"/>
              </w:rPr>
            </w:pPr>
            <w:r w:rsidRPr="007F428F">
              <w:rPr>
                <w:rFonts w:eastAsia="Times New Roman" w:cs="Segoe UI"/>
                <w:color w:val="000000"/>
                <w:sz w:val="16"/>
                <w:szCs w:val="16"/>
                <w:lang w:eastAsia="sk-SK"/>
              </w:rPr>
              <w:t>4,6</w:t>
            </w:r>
          </w:p>
        </w:tc>
      </w:tr>
      <w:tr w:rsidR="00004331" w:rsidRPr="007F428F" w14:paraId="0B28B74E" w14:textId="77777777" w:rsidTr="00004331">
        <w:trPr>
          <w:trHeight w:val="283"/>
        </w:trPr>
        <w:tc>
          <w:tcPr>
            <w:tcW w:w="974" w:type="pct"/>
            <w:shd w:val="clear" w:color="000000" w:fill="FFFFFF"/>
            <w:noWrap/>
            <w:vAlign w:val="center"/>
            <w:hideMark/>
          </w:tcPr>
          <w:p w14:paraId="529E7D58" w14:textId="77777777" w:rsidR="00004331" w:rsidRPr="007F428F" w:rsidRDefault="00004331" w:rsidP="00004331">
            <w:pPr>
              <w:spacing w:after="0" w:line="240" w:lineRule="auto"/>
              <w:jc w:val="left"/>
              <w:rPr>
                <w:rFonts w:eastAsia="Times New Roman" w:cs="Segoe UI"/>
                <w:color w:val="000000"/>
                <w:sz w:val="16"/>
                <w:szCs w:val="16"/>
                <w:lang w:eastAsia="sk-SK"/>
              </w:rPr>
            </w:pPr>
            <w:r w:rsidRPr="007F428F">
              <w:rPr>
                <w:rFonts w:eastAsia="Times New Roman" w:cs="Segoe UI"/>
                <w:color w:val="000000"/>
                <w:sz w:val="16"/>
                <w:szCs w:val="16"/>
                <w:lang w:eastAsia="sk-SK"/>
              </w:rPr>
              <w:t>Interreg V-A SK-CZ</w:t>
            </w:r>
          </w:p>
        </w:tc>
        <w:tc>
          <w:tcPr>
            <w:tcW w:w="518" w:type="pct"/>
            <w:shd w:val="clear" w:color="000000" w:fill="FFFFFF"/>
            <w:noWrap/>
            <w:vAlign w:val="center"/>
            <w:hideMark/>
          </w:tcPr>
          <w:p w14:paraId="253B7FFF" w14:textId="77777777" w:rsidR="00004331" w:rsidRPr="007F428F" w:rsidRDefault="00004331" w:rsidP="00004331">
            <w:pPr>
              <w:spacing w:after="0" w:line="240" w:lineRule="auto"/>
              <w:jc w:val="right"/>
              <w:rPr>
                <w:rFonts w:eastAsia="Times New Roman" w:cs="Segoe UI"/>
                <w:color w:val="000000"/>
                <w:sz w:val="16"/>
                <w:szCs w:val="16"/>
                <w:lang w:eastAsia="sk-SK"/>
              </w:rPr>
            </w:pPr>
            <w:r w:rsidRPr="007F428F">
              <w:rPr>
                <w:rFonts w:eastAsia="Times New Roman" w:cs="Segoe UI"/>
                <w:color w:val="000000"/>
                <w:sz w:val="16"/>
                <w:szCs w:val="16"/>
                <w:lang w:eastAsia="sk-SK"/>
              </w:rPr>
              <w:t>-</w:t>
            </w:r>
          </w:p>
        </w:tc>
        <w:tc>
          <w:tcPr>
            <w:tcW w:w="485" w:type="pct"/>
            <w:shd w:val="clear" w:color="000000" w:fill="FFFFFF"/>
            <w:noWrap/>
            <w:vAlign w:val="center"/>
            <w:hideMark/>
          </w:tcPr>
          <w:p w14:paraId="76AA2A1B" w14:textId="77777777" w:rsidR="00004331" w:rsidRPr="007F428F" w:rsidRDefault="00004331" w:rsidP="00004331">
            <w:pPr>
              <w:spacing w:after="0" w:line="240" w:lineRule="auto"/>
              <w:jc w:val="right"/>
              <w:rPr>
                <w:rFonts w:eastAsia="Times New Roman" w:cs="Segoe UI"/>
                <w:color w:val="000000"/>
                <w:sz w:val="16"/>
                <w:szCs w:val="16"/>
                <w:lang w:eastAsia="sk-SK"/>
              </w:rPr>
            </w:pPr>
            <w:r w:rsidRPr="007F428F">
              <w:rPr>
                <w:rFonts w:eastAsia="Times New Roman" w:cs="Segoe UI"/>
                <w:color w:val="000000"/>
                <w:sz w:val="16"/>
                <w:szCs w:val="16"/>
                <w:lang w:eastAsia="sk-SK"/>
              </w:rPr>
              <w:t>-</w:t>
            </w:r>
          </w:p>
        </w:tc>
        <w:tc>
          <w:tcPr>
            <w:tcW w:w="440" w:type="pct"/>
            <w:shd w:val="clear" w:color="000000" w:fill="FFFFFF"/>
            <w:noWrap/>
            <w:vAlign w:val="center"/>
            <w:hideMark/>
          </w:tcPr>
          <w:p w14:paraId="791E5128" w14:textId="77777777" w:rsidR="00004331" w:rsidRPr="007F428F" w:rsidRDefault="00004331" w:rsidP="00004331">
            <w:pPr>
              <w:spacing w:after="0" w:line="240" w:lineRule="auto"/>
              <w:jc w:val="right"/>
              <w:rPr>
                <w:rFonts w:eastAsia="Times New Roman" w:cs="Segoe UI"/>
                <w:color w:val="000000"/>
                <w:sz w:val="16"/>
                <w:szCs w:val="16"/>
                <w:lang w:eastAsia="sk-SK"/>
              </w:rPr>
            </w:pPr>
            <w:r w:rsidRPr="007F428F">
              <w:rPr>
                <w:rFonts w:eastAsia="Times New Roman" w:cs="Segoe UI"/>
                <w:color w:val="000000"/>
                <w:sz w:val="16"/>
                <w:szCs w:val="16"/>
                <w:lang w:eastAsia="sk-SK"/>
              </w:rPr>
              <w:t>-</w:t>
            </w:r>
          </w:p>
        </w:tc>
        <w:tc>
          <w:tcPr>
            <w:tcW w:w="464" w:type="pct"/>
            <w:gridSpan w:val="3"/>
            <w:shd w:val="clear" w:color="000000" w:fill="FFFFFF"/>
            <w:noWrap/>
            <w:vAlign w:val="center"/>
            <w:hideMark/>
          </w:tcPr>
          <w:p w14:paraId="1B1C5568" w14:textId="77777777" w:rsidR="00004331" w:rsidRPr="007F428F" w:rsidRDefault="00004331" w:rsidP="00004331">
            <w:pPr>
              <w:spacing w:after="0" w:line="240" w:lineRule="auto"/>
              <w:jc w:val="right"/>
              <w:rPr>
                <w:rFonts w:eastAsia="Times New Roman" w:cs="Segoe UI"/>
                <w:color w:val="000000"/>
                <w:sz w:val="16"/>
                <w:szCs w:val="16"/>
                <w:lang w:eastAsia="sk-SK"/>
              </w:rPr>
            </w:pPr>
            <w:r w:rsidRPr="007F428F">
              <w:rPr>
                <w:rFonts w:eastAsia="Times New Roman" w:cs="Segoe UI"/>
                <w:color w:val="000000"/>
                <w:sz w:val="16"/>
                <w:szCs w:val="16"/>
                <w:lang w:eastAsia="sk-SK"/>
              </w:rPr>
              <w:t>-</w:t>
            </w:r>
          </w:p>
        </w:tc>
        <w:tc>
          <w:tcPr>
            <w:tcW w:w="440" w:type="pct"/>
            <w:gridSpan w:val="2"/>
            <w:shd w:val="clear" w:color="000000" w:fill="FFFFFF"/>
            <w:noWrap/>
            <w:vAlign w:val="center"/>
            <w:hideMark/>
          </w:tcPr>
          <w:p w14:paraId="29054396" w14:textId="77777777" w:rsidR="00004331" w:rsidRPr="007F428F" w:rsidRDefault="00004331" w:rsidP="00004331">
            <w:pPr>
              <w:spacing w:after="0" w:line="240" w:lineRule="auto"/>
              <w:jc w:val="right"/>
              <w:rPr>
                <w:rFonts w:eastAsia="Times New Roman" w:cs="Segoe UI"/>
                <w:color w:val="000000"/>
                <w:sz w:val="16"/>
                <w:szCs w:val="16"/>
                <w:lang w:eastAsia="sk-SK"/>
              </w:rPr>
            </w:pPr>
            <w:r w:rsidRPr="007F428F">
              <w:rPr>
                <w:rFonts w:eastAsia="Times New Roman" w:cs="Segoe UI"/>
                <w:color w:val="000000"/>
                <w:sz w:val="16"/>
                <w:szCs w:val="16"/>
                <w:lang w:eastAsia="sk-SK"/>
              </w:rPr>
              <w:t>-</w:t>
            </w:r>
          </w:p>
        </w:tc>
        <w:tc>
          <w:tcPr>
            <w:tcW w:w="440" w:type="pct"/>
            <w:shd w:val="clear" w:color="000000" w:fill="FFFFFF"/>
            <w:noWrap/>
            <w:vAlign w:val="center"/>
            <w:hideMark/>
          </w:tcPr>
          <w:p w14:paraId="49FE8BF0" w14:textId="77777777" w:rsidR="00004331" w:rsidRPr="007F428F" w:rsidRDefault="00004331" w:rsidP="00004331">
            <w:pPr>
              <w:spacing w:after="0" w:line="240" w:lineRule="auto"/>
              <w:jc w:val="right"/>
              <w:rPr>
                <w:rFonts w:eastAsia="Times New Roman" w:cs="Segoe UI"/>
                <w:color w:val="000000"/>
                <w:sz w:val="16"/>
                <w:szCs w:val="16"/>
                <w:lang w:eastAsia="sk-SK"/>
              </w:rPr>
            </w:pPr>
            <w:r w:rsidRPr="007F428F">
              <w:rPr>
                <w:rFonts w:eastAsia="Times New Roman" w:cs="Segoe UI"/>
                <w:color w:val="000000"/>
                <w:sz w:val="16"/>
                <w:szCs w:val="16"/>
                <w:lang w:eastAsia="sk-SK"/>
              </w:rPr>
              <w:t>-</w:t>
            </w:r>
          </w:p>
        </w:tc>
        <w:tc>
          <w:tcPr>
            <w:tcW w:w="529" w:type="pct"/>
            <w:shd w:val="clear" w:color="000000" w:fill="FFFFFF"/>
            <w:noWrap/>
            <w:vAlign w:val="center"/>
            <w:hideMark/>
          </w:tcPr>
          <w:p w14:paraId="454B43BD" w14:textId="77777777" w:rsidR="00004331" w:rsidRPr="007F428F" w:rsidRDefault="00004331" w:rsidP="00004331">
            <w:pPr>
              <w:spacing w:after="0" w:line="240" w:lineRule="auto"/>
              <w:jc w:val="right"/>
              <w:rPr>
                <w:rFonts w:eastAsia="Times New Roman" w:cs="Segoe UI"/>
                <w:color w:val="000000"/>
                <w:sz w:val="16"/>
                <w:szCs w:val="16"/>
                <w:lang w:eastAsia="sk-SK"/>
              </w:rPr>
            </w:pPr>
            <w:r w:rsidRPr="007F428F">
              <w:rPr>
                <w:rFonts w:eastAsia="Times New Roman" w:cs="Segoe UI"/>
                <w:color w:val="000000"/>
                <w:sz w:val="16"/>
                <w:szCs w:val="16"/>
                <w:lang w:eastAsia="sk-SK"/>
              </w:rPr>
              <w:t>-</w:t>
            </w:r>
          </w:p>
        </w:tc>
        <w:tc>
          <w:tcPr>
            <w:tcW w:w="710" w:type="pct"/>
            <w:shd w:val="clear" w:color="000000" w:fill="FFFFFF"/>
            <w:noWrap/>
            <w:vAlign w:val="center"/>
            <w:hideMark/>
          </w:tcPr>
          <w:p w14:paraId="7372836C" w14:textId="77777777" w:rsidR="00004331" w:rsidRPr="007F428F" w:rsidRDefault="00004331" w:rsidP="00004331">
            <w:pPr>
              <w:spacing w:after="0" w:line="240" w:lineRule="auto"/>
              <w:jc w:val="right"/>
              <w:rPr>
                <w:rFonts w:eastAsia="Times New Roman" w:cs="Segoe UI"/>
                <w:color w:val="000000"/>
                <w:sz w:val="16"/>
                <w:szCs w:val="16"/>
                <w:lang w:eastAsia="sk-SK"/>
              </w:rPr>
            </w:pPr>
            <w:r w:rsidRPr="007F428F">
              <w:rPr>
                <w:rFonts w:eastAsia="Times New Roman" w:cs="Segoe UI"/>
                <w:color w:val="000000"/>
                <w:sz w:val="16"/>
                <w:szCs w:val="16"/>
                <w:lang w:eastAsia="sk-SK"/>
              </w:rPr>
              <w:t>0,0</w:t>
            </w:r>
          </w:p>
        </w:tc>
      </w:tr>
      <w:tr w:rsidR="00004331" w:rsidRPr="007F428F" w14:paraId="44E6FEE7" w14:textId="77777777" w:rsidTr="00004331">
        <w:trPr>
          <w:trHeight w:val="283"/>
        </w:trPr>
        <w:tc>
          <w:tcPr>
            <w:tcW w:w="974" w:type="pct"/>
            <w:shd w:val="clear" w:color="000000" w:fill="FFFFFF"/>
            <w:noWrap/>
            <w:vAlign w:val="center"/>
            <w:hideMark/>
          </w:tcPr>
          <w:p w14:paraId="340CE28F" w14:textId="77777777" w:rsidR="00004331" w:rsidRPr="007F428F" w:rsidRDefault="00004331" w:rsidP="00004331">
            <w:pPr>
              <w:spacing w:after="0" w:line="240" w:lineRule="auto"/>
              <w:jc w:val="left"/>
              <w:rPr>
                <w:rFonts w:eastAsia="Times New Roman" w:cs="Segoe UI"/>
                <w:color w:val="000000"/>
                <w:sz w:val="16"/>
                <w:szCs w:val="16"/>
                <w:lang w:eastAsia="sk-SK"/>
              </w:rPr>
            </w:pPr>
            <w:r w:rsidRPr="007F428F">
              <w:rPr>
                <w:rFonts w:eastAsia="Times New Roman" w:cs="Segoe UI"/>
                <w:color w:val="000000"/>
                <w:sz w:val="16"/>
                <w:szCs w:val="16"/>
                <w:lang w:eastAsia="sk-SK"/>
              </w:rPr>
              <w:t>OP TP</w:t>
            </w:r>
          </w:p>
        </w:tc>
        <w:tc>
          <w:tcPr>
            <w:tcW w:w="518" w:type="pct"/>
            <w:shd w:val="clear" w:color="000000" w:fill="FFFFFF"/>
            <w:noWrap/>
            <w:vAlign w:val="center"/>
            <w:hideMark/>
          </w:tcPr>
          <w:p w14:paraId="6D5C5CC4" w14:textId="77777777" w:rsidR="00004331" w:rsidRPr="007F428F" w:rsidRDefault="00004331" w:rsidP="00004331">
            <w:pPr>
              <w:spacing w:after="0" w:line="240" w:lineRule="auto"/>
              <w:jc w:val="right"/>
              <w:rPr>
                <w:rFonts w:eastAsia="Times New Roman" w:cs="Segoe UI"/>
                <w:color w:val="000000"/>
                <w:sz w:val="16"/>
                <w:szCs w:val="16"/>
                <w:lang w:eastAsia="sk-SK"/>
              </w:rPr>
            </w:pPr>
            <w:r w:rsidRPr="007F428F">
              <w:rPr>
                <w:rFonts w:eastAsia="Times New Roman" w:cs="Segoe UI"/>
                <w:color w:val="000000"/>
                <w:sz w:val="16"/>
                <w:szCs w:val="16"/>
                <w:lang w:eastAsia="sk-SK"/>
              </w:rPr>
              <w:t>-</w:t>
            </w:r>
          </w:p>
        </w:tc>
        <w:tc>
          <w:tcPr>
            <w:tcW w:w="485" w:type="pct"/>
            <w:shd w:val="clear" w:color="000000" w:fill="FFFFFF"/>
            <w:noWrap/>
            <w:vAlign w:val="center"/>
            <w:hideMark/>
          </w:tcPr>
          <w:p w14:paraId="0B5FBCB9" w14:textId="77777777" w:rsidR="00004331" w:rsidRPr="007F428F" w:rsidRDefault="00004331" w:rsidP="00004331">
            <w:pPr>
              <w:spacing w:after="0" w:line="240" w:lineRule="auto"/>
              <w:jc w:val="right"/>
              <w:rPr>
                <w:rFonts w:eastAsia="Times New Roman" w:cs="Segoe UI"/>
                <w:color w:val="000000"/>
                <w:sz w:val="16"/>
                <w:szCs w:val="16"/>
                <w:lang w:eastAsia="sk-SK"/>
              </w:rPr>
            </w:pPr>
            <w:r w:rsidRPr="007F428F">
              <w:rPr>
                <w:rFonts w:eastAsia="Times New Roman" w:cs="Segoe UI"/>
                <w:color w:val="000000"/>
                <w:sz w:val="16"/>
                <w:szCs w:val="16"/>
                <w:lang w:eastAsia="sk-SK"/>
              </w:rPr>
              <w:t>-</w:t>
            </w:r>
          </w:p>
        </w:tc>
        <w:tc>
          <w:tcPr>
            <w:tcW w:w="440" w:type="pct"/>
            <w:shd w:val="clear" w:color="000000" w:fill="FFFFFF"/>
            <w:noWrap/>
            <w:vAlign w:val="center"/>
            <w:hideMark/>
          </w:tcPr>
          <w:p w14:paraId="72D7BFE0" w14:textId="77777777" w:rsidR="00004331" w:rsidRPr="007F428F" w:rsidRDefault="00004331" w:rsidP="00004331">
            <w:pPr>
              <w:spacing w:after="0" w:line="240" w:lineRule="auto"/>
              <w:jc w:val="right"/>
              <w:rPr>
                <w:rFonts w:eastAsia="Times New Roman" w:cs="Segoe UI"/>
                <w:color w:val="000000"/>
                <w:sz w:val="16"/>
                <w:szCs w:val="16"/>
                <w:lang w:eastAsia="sk-SK"/>
              </w:rPr>
            </w:pPr>
            <w:r w:rsidRPr="007F428F">
              <w:rPr>
                <w:rFonts w:eastAsia="Times New Roman" w:cs="Segoe UI"/>
                <w:color w:val="000000"/>
                <w:sz w:val="16"/>
                <w:szCs w:val="16"/>
                <w:lang w:eastAsia="sk-SK"/>
              </w:rPr>
              <w:t>-</w:t>
            </w:r>
          </w:p>
        </w:tc>
        <w:tc>
          <w:tcPr>
            <w:tcW w:w="464" w:type="pct"/>
            <w:gridSpan w:val="3"/>
            <w:shd w:val="clear" w:color="000000" w:fill="FFFFFF"/>
            <w:noWrap/>
            <w:vAlign w:val="center"/>
            <w:hideMark/>
          </w:tcPr>
          <w:p w14:paraId="59E8D6D4" w14:textId="77777777" w:rsidR="00004331" w:rsidRPr="007F428F" w:rsidRDefault="00004331" w:rsidP="00004331">
            <w:pPr>
              <w:spacing w:after="0" w:line="240" w:lineRule="auto"/>
              <w:jc w:val="right"/>
              <w:rPr>
                <w:rFonts w:eastAsia="Times New Roman" w:cs="Segoe UI"/>
                <w:color w:val="000000"/>
                <w:sz w:val="16"/>
                <w:szCs w:val="16"/>
                <w:lang w:eastAsia="sk-SK"/>
              </w:rPr>
            </w:pPr>
            <w:r w:rsidRPr="007F428F">
              <w:rPr>
                <w:rFonts w:eastAsia="Times New Roman" w:cs="Segoe UI"/>
                <w:color w:val="000000"/>
                <w:sz w:val="16"/>
                <w:szCs w:val="16"/>
                <w:lang w:eastAsia="sk-SK"/>
              </w:rPr>
              <w:t>-</w:t>
            </w:r>
          </w:p>
        </w:tc>
        <w:tc>
          <w:tcPr>
            <w:tcW w:w="440" w:type="pct"/>
            <w:gridSpan w:val="2"/>
            <w:shd w:val="clear" w:color="000000" w:fill="FFFFFF"/>
            <w:noWrap/>
            <w:vAlign w:val="center"/>
            <w:hideMark/>
          </w:tcPr>
          <w:p w14:paraId="548676EE" w14:textId="77777777" w:rsidR="00004331" w:rsidRPr="007F428F" w:rsidRDefault="00004331" w:rsidP="00004331">
            <w:pPr>
              <w:spacing w:after="0" w:line="240" w:lineRule="auto"/>
              <w:jc w:val="right"/>
              <w:rPr>
                <w:rFonts w:eastAsia="Times New Roman" w:cs="Segoe UI"/>
                <w:color w:val="000000"/>
                <w:sz w:val="16"/>
                <w:szCs w:val="16"/>
                <w:lang w:eastAsia="sk-SK"/>
              </w:rPr>
            </w:pPr>
            <w:r w:rsidRPr="007F428F">
              <w:rPr>
                <w:rFonts w:eastAsia="Times New Roman" w:cs="Segoe UI"/>
                <w:color w:val="000000"/>
                <w:sz w:val="16"/>
                <w:szCs w:val="16"/>
                <w:lang w:eastAsia="sk-SK"/>
              </w:rPr>
              <w:t>-</w:t>
            </w:r>
          </w:p>
        </w:tc>
        <w:tc>
          <w:tcPr>
            <w:tcW w:w="440" w:type="pct"/>
            <w:shd w:val="clear" w:color="000000" w:fill="FFFFFF"/>
            <w:noWrap/>
            <w:vAlign w:val="center"/>
            <w:hideMark/>
          </w:tcPr>
          <w:p w14:paraId="458D623A" w14:textId="77777777" w:rsidR="00004331" w:rsidRPr="007F428F" w:rsidRDefault="00004331" w:rsidP="00004331">
            <w:pPr>
              <w:spacing w:after="0" w:line="240" w:lineRule="auto"/>
              <w:jc w:val="right"/>
              <w:rPr>
                <w:rFonts w:eastAsia="Times New Roman" w:cs="Segoe UI"/>
                <w:color w:val="000000"/>
                <w:sz w:val="16"/>
                <w:szCs w:val="16"/>
                <w:lang w:eastAsia="sk-SK"/>
              </w:rPr>
            </w:pPr>
            <w:r w:rsidRPr="007F428F">
              <w:rPr>
                <w:rFonts w:eastAsia="Times New Roman" w:cs="Segoe UI"/>
                <w:color w:val="000000"/>
                <w:sz w:val="16"/>
                <w:szCs w:val="16"/>
                <w:lang w:eastAsia="sk-SK"/>
              </w:rPr>
              <w:t>-</w:t>
            </w:r>
          </w:p>
        </w:tc>
        <w:tc>
          <w:tcPr>
            <w:tcW w:w="529" w:type="pct"/>
            <w:shd w:val="clear" w:color="000000" w:fill="FFFFFF"/>
            <w:noWrap/>
            <w:vAlign w:val="center"/>
            <w:hideMark/>
          </w:tcPr>
          <w:p w14:paraId="5BFE15C6" w14:textId="77777777" w:rsidR="00004331" w:rsidRPr="007F428F" w:rsidRDefault="00004331" w:rsidP="00004331">
            <w:pPr>
              <w:spacing w:after="0" w:line="240" w:lineRule="auto"/>
              <w:jc w:val="right"/>
              <w:rPr>
                <w:rFonts w:eastAsia="Times New Roman" w:cs="Segoe UI"/>
                <w:color w:val="000000"/>
                <w:sz w:val="16"/>
                <w:szCs w:val="16"/>
                <w:lang w:eastAsia="sk-SK"/>
              </w:rPr>
            </w:pPr>
            <w:r w:rsidRPr="007F428F">
              <w:rPr>
                <w:rFonts w:eastAsia="Times New Roman" w:cs="Segoe UI"/>
                <w:color w:val="000000"/>
                <w:sz w:val="16"/>
                <w:szCs w:val="16"/>
                <w:lang w:eastAsia="sk-SK"/>
              </w:rPr>
              <w:t>-</w:t>
            </w:r>
          </w:p>
        </w:tc>
        <w:tc>
          <w:tcPr>
            <w:tcW w:w="710" w:type="pct"/>
            <w:shd w:val="clear" w:color="000000" w:fill="FFFFFF"/>
            <w:noWrap/>
            <w:vAlign w:val="center"/>
            <w:hideMark/>
          </w:tcPr>
          <w:p w14:paraId="3D962A71" w14:textId="77777777" w:rsidR="00004331" w:rsidRPr="007F428F" w:rsidRDefault="00004331" w:rsidP="00004331">
            <w:pPr>
              <w:spacing w:after="0" w:line="240" w:lineRule="auto"/>
              <w:jc w:val="right"/>
              <w:rPr>
                <w:rFonts w:eastAsia="Times New Roman" w:cs="Segoe UI"/>
                <w:color w:val="000000"/>
                <w:sz w:val="16"/>
                <w:szCs w:val="16"/>
                <w:lang w:eastAsia="sk-SK"/>
              </w:rPr>
            </w:pPr>
            <w:r w:rsidRPr="007F428F">
              <w:rPr>
                <w:rFonts w:eastAsia="Times New Roman" w:cs="Segoe UI"/>
                <w:color w:val="000000"/>
                <w:sz w:val="16"/>
                <w:szCs w:val="16"/>
                <w:lang w:eastAsia="sk-SK"/>
              </w:rPr>
              <w:t>0,0</w:t>
            </w:r>
          </w:p>
        </w:tc>
      </w:tr>
      <w:tr w:rsidR="00004331" w:rsidRPr="007F428F" w14:paraId="2D153A4B" w14:textId="77777777" w:rsidTr="00004331">
        <w:trPr>
          <w:trHeight w:val="283"/>
        </w:trPr>
        <w:tc>
          <w:tcPr>
            <w:tcW w:w="974" w:type="pct"/>
            <w:shd w:val="clear" w:color="000000" w:fill="FFFFFF"/>
            <w:noWrap/>
            <w:vAlign w:val="center"/>
            <w:hideMark/>
          </w:tcPr>
          <w:p w14:paraId="6CCDB331" w14:textId="77777777" w:rsidR="00004331" w:rsidRPr="007F428F" w:rsidRDefault="00004331" w:rsidP="00004331">
            <w:pPr>
              <w:spacing w:after="0" w:line="240" w:lineRule="auto"/>
              <w:jc w:val="left"/>
              <w:rPr>
                <w:rFonts w:eastAsia="Times New Roman" w:cs="Segoe UI"/>
                <w:b/>
                <w:bCs/>
                <w:color w:val="000000"/>
                <w:sz w:val="16"/>
                <w:szCs w:val="16"/>
                <w:lang w:eastAsia="sk-SK"/>
              </w:rPr>
            </w:pPr>
            <w:r w:rsidRPr="007F428F">
              <w:rPr>
                <w:rFonts w:eastAsia="Times New Roman" w:cs="Segoe UI"/>
                <w:b/>
                <w:bCs/>
                <w:color w:val="000000"/>
                <w:sz w:val="16"/>
                <w:szCs w:val="16"/>
                <w:lang w:eastAsia="sk-SK"/>
              </w:rPr>
              <w:t>SPOLU</w:t>
            </w:r>
          </w:p>
        </w:tc>
        <w:tc>
          <w:tcPr>
            <w:tcW w:w="518" w:type="pct"/>
            <w:shd w:val="clear" w:color="000000" w:fill="FFFFFF"/>
            <w:noWrap/>
            <w:vAlign w:val="center"/>
            <w:hideMark/>
          </w:tcPr>
          <w:p w14:paraId="2A603F63" w14:textId="77777777" w:rsidR="00004331" w:rsidRPr="007F428F" w:rsidRDefault="00004331" w:rsidP="00004331">
            <w:pPr>
              <w:spacing w:after="0" w:line="240" w:lineRule="auto"/>
              <w:jc w:val="right"/>
              <w:rPr>
                <w:rFonts w:eastAsia="Times New Roman" w:cs="Segoe UI"/>
                <w:b/>
                <w:bCs/>
                <w:color w:val="000000"/>
                <w:sz w:val="16"/>
                <w:szCs w:val="16"/>
                <w:lang w:eastAsia="sk-SK"/>
              </w:rPr>
            </w:pPr>
            <w:r w:rsidRPr="007F428F">
              <w:rPr>
                <w:rFonts w:eastAsia="Times New Roman" w:cs="Segoe UI"/>
                <w:b/>
                <w:bCs/>
                <w:color w:val="000000"/>
                <w:sz w:val="16"/>
                <w:szCs w:val="16"/>
                <w:lang w:eastAsia="sk-SK"/>
              </w:rPr>
              <w:t>26 973,1</w:t>
            </w:r>
          </w:p>
        </w:tc>
        <w:tc>
          <w:tcPr>
            <w:tcW w:w="485" w:type="pct"/>
            <w:shd w:val="clear" w:color="000000" w:fill="FFFFFF"/>
            <w:noWrap/>
            <w:vAlign w:val="center"/>
            <w:hideMark/>
          </w:tcPr>
          <w:p w14:paraId="496C71AF" w14:textId="77777777" w:rsidR="00004331" w:rsidRPr="007F428F" w:rsidRDefault="00004331" w:rsidP="00004331">
            <w:pPr>
              <w:spacing w:after="0" w:line="240" w:lineRule="auto"/>
              <w:jc w:val="right"/>
              <w:rPr>
                <w:rFonts w:eastAsia="Times New Roman" w:cs="Segoe UI"/>
                <w:b/>
                <w:bCs/>
                <w:color w:val="000000"/>
                <w:sz w:val="16"/>
                <w:szCs w:val="16"/>
                <w:lang w:eastAsia="sk-SK"/>
              </w:rPr>
            </w:pPr>
            <w:r w:rsidRPr="007F428F">
              <w:rPr>
                <w:rFonts w:eastAsia="Times New Roman" w:cs="Segoe UI"/>
                <w:b/>
                <w:bCs/>
                <w:color w:val="000000"/>
                <w:sz w:val="16"/>
                <w:szCs w:val="16"/>
                <w:lang w:eastAsia="sk-SK"/>
              </w:rPr>
              <w:t>122 228,4</w:t>
            </w:r>
          </w:p>
        </w:tc>
        <w:tc>
          <w:tcPr>
            <w:tcW w:w="440" w:type="pct"/>
            <w:shd w:val="clear" w:color="000000" w:fill="FFFFFF"/>
            <w:noWrap/>
            <w:vAlign w:val="center"/>
            <w:hideMark/>
          </w:tcPr>
          <w:p w14:paraId="605233AB" w14:textId="77777777" w:rsidR="00004331" w:rsidRPr="007F428F" w:rsidRDefault="00004331" w:rsidP="00004331">
            <w:pPr>
              <w:spacing w:after="0" w:line="240" w:lineRule="auto"/>
              <w:jc w:val="right"/>
              <w:rPr>
                <w:rFonts w:eastAsia="Times New Roman" w:cs="Segoe UI"/>
                <w:b/>
                <w:bCs/>
                <w:color w:val="000000"/>
                <w:sz w:val="16"/>
                <w:szCs w:val="16"/>
                <w:lang w:eastAsia="sk-SK"/>
              </w:rPr>
            </w:pPr>
            <w:r w:rsidRPr="007F428F">
              <w:rPr>
                <w:rFonts w:eastAsia="Times New Roman" w:cs="Segoe UI"/>
                <w:b/>
                <w:bCs/>
                <w:color w:val="000000"/>
                <w:sz w:val="16"/>
                <w:szCs w:val="16"/>
                <w:lang w:eastAsia="sk-SK"/>
              </w:rPr>
              <w:t>1 140,2</w:t>
            </w:r>
          </w:p>
        </w:tc>
        <w:tc>
          <w:tcPr>
            <w:tcW w:w="464" w:type="pct"/>
            <w:gridSpan w:val="3"/>
            <w:shd w:val="clear" w:color="000000" w:fill="FFFFFF"/>
            <w:noWrap/>
            <w:vAlign w:val="center"/>
            <w:hideMark/>
          </w:tcPr>
          <w:p w14:paraId="4C9512F1" w14:textId="77777777" w:rsidR="00004331" w:rsidRPr="007F428F" w:rsidRDefault="00004331" w:rsidP="00004331">
            <w:pPr>
              <w:spacing w:after="0" w:line="240" w:lineRule="auto"/>
              <w:jc w:val="right"/>
              <w:rPr>
                <w:rFonts w:eastAsia="Times New Roman" w:cs="Segoe UI"/>
                <w:b/>
                <w:bCs/>
                <w:color w:val="000000"/>
                <w:sz w:val="16"/>
                <w:szCs w:val="16"/>
                <w:lang w:eastAsia="sk-SK"/>
              </w:rPr>
            </w:pPr>
            <w:r w:rsidRPr="007F428F">
              <w:rPr>
                <w:rFonts w:eastAsia="Times New Roman" w:cs="Segoe UI"/>
                <w:b/>
                <w:bCs/>
                <w:color w:val="000000"/>
                <w:sz w:val="16"/>
                <w:szCs w:val="16"/>
                <w:lang w:eastAsia="sk-SK"/>
              </w:rPr>
              <w:t>2 136,2</w:t>
            </w:r>
          </w:p>
        </w:tc>
        <w:tc>
          <w:tcPr>
            <w:tcW w:w="440" w:type="pct"/>
            <w:gridSpan w:val="2"/>
            <w:shd w:val="clear" w:color="000000" w:fill="FFFFFF"/>
            <w:noWrap/>
            <w:vAlign w:val="center"/>
            <w:hideMark/>
          </w:tcPr>
          <w:p w14:paraId="0E049001" w14:textId="77777777" w:rsidR="00004331" w:rsidRPr="007F428F" w:rsidRDefault="00004331" w:rsidP="00004331">
            <w:pPr>
              <w:spacing w:after="0" w:line="240" w:lineRule="auto"/>
              <w:jc w:val="right"/>
              <w:rPr>
                <w:rFonts w:eastAsia="Times New Roman" w:cs="Segoe UI"/>
                <w:b/>
                <w:bCs/>
                <w:color w:val="000000"/>
                <w:sz w:val="16"/>
                <w:szCs w:val="16"/>
                <w:lang w:eastAsia="sk-SK"/>
              </w:rPr>
            </w:pPr>
            <w:r w:rsidRPr="007F428F">
              <w:rPr>
                <w:rFonts w:eastAsia="Times New Roman" w:cs="Segoe UI"/>
                <w:b/>
                <w:bCs/>
                <w:color w:val="000000"/>
                <w:sz w:val="16"/>
                <w:szCs w:val="16"/>
                <w:lang w:eastAsia="sk-SK"/>
              </w:rPr>
              <w:t>289,9</w:t>
            </w:r>
          </w:p>
        </w:tc>
        <w:tc>
          <w:tcPr>
            <w:tcW w:w="440" w:type="pct"/>
            <w:shd w:val="clear" w:color="000000" w:fill="FFFFFF"/>
            <w:noWrap/>
            <w:vAlign w:val="center"/>
            <w:hideMark/>
          </w:tcPr>
          <w:p w14:paraId="601531C8" w14:textId="77777777" w:rsidR="00004331" w:rsidRPr="007F428F" w:rsidRDefault="00004331" w:rsidP="00004331">
            <w:pPr>
              <w:spacing w:after="0" w:line="240" w:lineRule="auto"/>
              <w:jc w:val="right"/>
              <w:rPr>
                <w:rFonts w:eastAsia="Times New Roman" w:cs="Segoe UI"/>
                <w:b/>
                <w:bCs/>
                <w:color w:val="000000"/>
                <w:sz w:val="16"/>
                <w:szCs w:val="16"/>
                <w:lang w:eastAsia="sk-SK"/>
              </w:rPr>
            </w:pPr>
            <w:r w:rsidRPr="007F428F">
              <w:rPr>
                <w:rFonts w:eastAsia="Times New Roman" w:cs="Segoe UI"/>
                <w:b/>
                <w:bCs/>
                <w:color w:val="000000"/>
                <w:sz w:val="16"/>
                <w:szCs w:val="16"/>
                <w:lang w:eastAsia="sk-SK"/>
              </w:rPr>
              <w:t>1 650,1</w:t>
            </w:r>
          </w:p>
        </w:tc>
        <w:tc>
          <w:tcPr>
            <w:tcW w:w="529" w:type="pct"/>
            <w:shd w:val="clear" w:color="000000" w:fill="FFFFFF"/>
            <w:noWrap/>
            <w:vAlign w:val="center"/>
            <w:hideMark/>
          </w:tcPr>
          <w:p w14:paraId="2823A112" w14:textId="77777777" w:rsidR="00004331" w:rsidRPr="007F428F" w:rsidRDefault="00004331" w:rsidP="00004331">
            <w:pPr>
              <w:spacing w:after="0" w:line="240" w:lineRule="auto"/>
              <w:jc w:val="right"/>
              <w:rPr>
                <w:rFonts w:eastAsia="Times New Roman" w:cs="Segoe UI"/>
                <w:b/>
                <w:bCs/>
                <w:color w:val="000000"/>
                <w:sz w:val="16"/>
                <w:szCs w:val="16"/>
                <w:lang w:eastAsia="sk-SK"/>
              </w:rPr>
            </w:pPr>
            <w:r w:rsidRPr="007F428F">
              <w:rPr>
                <w:rFonts w:eastAsia="Times New Roman" w:cs="Segoe UI"/>
                <w:b/>
                <w:bCs/>
                <w:color w:val="000000"/>
                <w:sz w:val="16"/>
                <w:szCs w:val="16"/>
                <w:lang w:eastAsia="sk-SK"/>
              </w:rPr>
              <w:t>154 417,9</w:t>
            </w:r>
          </w:p>
        </w:tc>
        <w:tc>
          <w:tcPr>
            <w:tcW w:w="710" w:type="pct"/>
            <w:shd w:val="clear" w:color="000000" w:fill="FFFFFF"/>
            <w:noWrap/>
            <w:vAlign w:val="center"/>
            <w:hideMark/>
          </w:tcPr>
          <w:p w14:paraId="79E6FA17" w14:textId="77777777" w:rsidR="00004331" w:rsidRPr="007F428F" w:rsidRDefault="00004331" w:rsidP="00004331">
            <w:pPr>
              <w:spacing w:after="0" w:line="240" w:lineRule="auto"/>
              <w:jc w:val="right"/>
              <w:rPr>
                <w:rFonts w:eastAsia="Times New Roman" w:cs="Segoe UI"/>
                <w:b/>
                <w:bCs/>
                <w:color w:val="000000"/>
                <w:sz w:val="16"/>
                <w:szCs w:val="16"/>
                <w:lang w:eastAsia="sk-SK"/>
              </w:rPr>
            </w:pPr>
            <w:r w:rsidRPr="007F428F">
              <w:rPr>
                <w:rFonts w:eastAsia="Times New Roman" w:cs="Segoe UI"/>
                <w:b/>
                <w:bCs/>
                <w:color w:val="000000"/>
                <w:sz w:val="16"/>
                <w:szCs w:val="16"/>
                <w:lang w:eastAsia="sk-SK"/>
              </w:rPr>
              <w:t>3 853,7</w:t>
            </w:r>
          </w:p>
        </w:tc>
      </w:tr>
    </w:tbl>
    <w:p w14:paraId="226A257E" w14:textId="77777777" w:rsidR="00004331" w:rsidRDefault="00004331" w:rsidP="00004331">
      <w:pPr>
        <w:pStyle w:val="Zdroj"/>
        <w:spacing w:after="0"/>
      </w:pPr>
      <w:r w:rsidRPr="00966EF9">
        <w:t xml:space="preserve">Zdroj: </w:t>
      </w:r>
      <w:r>
        <w:t>MF SR.</w:t>
      </w:r>
      <w:r w:rsidRPr="00966EF9">
        <w:br/>
        <w:t>*</w:t>
      </w:r>
      <w:r>
        <w:t xml:space="preserve"> </w:t>
      </w:r>
      <w:r w:rsidRPr="00966EF9">
        <w:t>Pri OP Rybné hospodárstvo bola znížená alokácia aj o výkonnostnú rezervu v sume 947,1 tis. eur z dôvodu nesplnenia finančných ukazovateľov výkonnostného rámca.</w:t>
      </w:r>
    </w:p>
    <w:p w14:paraId="5D2D08DF" w14:textId="77777777" w:rsidR="00004331" w:rsidRPr="00966EF9" w:rsidRDefault="00004331" w:rsidP="00004331">
      <w:pPr>
        <w:pStyle w:val="Zdroj"/>
        <w:jc w:val="both"/>
      </w:pPr>
      <w:r w:rsidRPr="00966EF9">
        <w:t xml:space="preserve">** </w:t>
      </w:r>
      <w:r w:rsidRPr="00770178">
        <w:t>Údaje na základe záverečnej ŽoP predloženej EK za posledný Účtovný rok. V prípade PS INTERACT III je suma dekomitmentu za rok 2023 už potvrdená zo strany EK. Odhad dekomitmentu abstrahuje od zvyšných piatich OP: Kvalita životného prostredia, Ľudské zdroje, Interreg V-A SK-AT, Integrovaný regionálny a Integrovaná infraštruktúra, za ktoré zatiaľ neboli na EK predložené záverečné žiadosti o platbu za 10.  účtovný rok. Definitívna výška nedočerpaného ročného záväzku 2020, ako aj finálne čerpanie desiatich OP EŠIF, bude známe až po schválení účtov za 10. účtovný rok zo strany EK</w:t>
      </w:r>
      <w:r>
        <w:t>.</w:t>
      </w:r>
      <w:r w:rsidRPr="007E234C">
        <w:rPr>
          <w:vertAlign w:val="superscript"/>
        </w:rPr>
        <w:footnoteReference w:id="46"/>
      </w:r>
      <w:r>
        <w:t xml:space="preserve"> </w:t>
      </w:r>
    </w:p>
    <w:p w14:paraId="251CAFCA" w14:textId="648F338A" w:rsidR="00BE3D51" w:rsidRPr="00172A71" w:rsidRDefault="00BE3D51" w:rsidP="00BE3D51">
      <w:pPr>
        <w:rPr>
          <w:rFonts w:eastAsiaTheme="majorEastAsia" w:cs="Segoe UI"/>
          <w:szCs w:val="20"/>
        </w:rPr>
      </w:pPr>
      <w:r w:rsidRPr="00BE3D51">
        <w:rPr>
          <w:rFonts w:eastAsiaTheme="majorEastAsia" w:cs="Segoe UI"/>
          <w:b/>
          <w:szCs w:val="20"/>
        </w:rPr>
        <w:t>V súvislosti s pokračujúcim nízkym čerpaním</w:t>
      </w:r>
      <w:r w:rsidRPr="00BE3D51">
        <w:rPr>
          <w:rStyle w:val="Odkaznapoznmkupodiarou"/>
          <w:rFonts w:eastAsiaTheme="majorEastAsia" w:cs="Segoe UI"/>
          <w:szCs w:val="20"/>
        </w:rPr>
        <w:footnoteReference w:id="47"/>
      </w:r>
      <w:r w:rsidRPr="00BE3D51">
        <w:rPr>
          <w:rFonts w:eastAsiaTheme="majorEastAsia" w:cs="Segoe UI"/>
          <w:b/>
          <w:szCs w:val="20"/>
        </w:rPr>
        <w:t xml:space="preserve"> tak existuje riziko ďalšieho prepadu prostriedkov </w:t>
      </w:r>
      <w:r w:rsidR="008A27DD">
        <w:rPr>
          <w:rFonts w:eastAsiaTheme="majorEastAsia" w:cs="Segoe UI"/>
          <w:b/>
          <w:szCs w:val="20"/>
        </w:rPr>
        <w:t>ku koncu rokov 2024 a 2025 z dôvodu nenaplnenia</w:t>
      </w:r>
      <w:r w:rsidRPr="00BE3D51">
        <w:rPr>
          <w:rFonts w:eastAsiaTheme="majorEastAsia" w:cs="Segoe UI"/>
          <w:b/>
          <w:szCs w:val="20"/>
        </w:rPr>
        <w:t xml:space="preserve"> posledných dvoch záväzkov</w:t>
      </w:r>
      <w:r w:rsidR="008A27DD">
        <w:rPr>
          <w:rFonts w:eastAsiaTheme="majorEastAsia" w:cs="Segoe UI"/>
          <w:b/>
          <w:szCs w:val="20"/>
        </w:rPr>
        <w:t xml:space="preserve"> čerpania</w:t>
      </w:r>
      <w:r w:rsidRPr="00BE3D51">
        <w:rPr>
          <w:rFonts w:eastAsiaTheme="majorEastAsia" w:cs="Segoe UI"/>
          <w:b/>
          <w:szCs w:val="20"/>
        </w:rPr>
        <w:t xml:space="preserve">, rozpísaných na roky 2021 </w:t>
      </w:r>
      <w:r w:rsidRPr="009F393A">
        <w:rPr>
          <w:rFonts w:eastAsiaTheme="majorEastAsia" w:cs="Segoe UI"/>
          <w:szCs w:val="20"/>
        </w:rPr>
        <w:t>(366,5 mil. eur)</w:t>
      </w:r>
      <w:r w:rsidRPr="00BE3D51">
        <w:rPr>
          <w:rFonts w:eastAsiaTheme="majorEastAsia" w:cs="Segoe UI"/>
          <w:b/>
          <w:szCs w:val="20"/>
        </w:rPr>
        <w:t xml:space="preserve"> a 2022 </w:t>
      </w:r>
      <w:r w:rsidRPr="009F393A">
        <w:rPr>
          <w:rFonts w:eastAsiaTheme="majorEastAsia" w:cs="Segoe UI"/>
          <w:szCs w:val="20"/>
        </w:rPr>
        <w:t>(349,9 mil. eur)</w:t>
      </w:r>
      <w:r w:rsidRPr="00BE3D51">
        <w:rPr>
          <w:rFonts w:eastAsiaTheme="majorEastAsia" w:cs="Segoe UI"/>
          <w:b/>
          <w:szCs w:val="20"/>
        </w:rPr>
        <w:t>.</w:t>
      </w:r>
      <w:r w:rsidRPr="00BE3D51">
        <w:rPr>
          <w:rStyle w:val="Odkaznapoznmkupodiarou"/>
          <w:rFonts w:eastAsiaTheme="majorEastAsia" w:cs="Segoe UI"/>
          <w:szCs w:val="20"/>
        </w:rPr>
        <w:footnoteReference w:id="48"/>
      </w:r>
      <w:r w:rsidRPr="00172A71">
        <w:rPr>
          <w:rFonts w:eastAsiaTheme="majorEastAsia" w:cs="Segoe UI"/>
          <w:szCs w:val="20"/>
        </w:rPr>
        <w:t xml:space="preserve"> Podľa údajov čerpania k 23. 6. 2024, za účelom absorpcie ročného záväzku 2021 je potrebné do konca roka 2024 ešte vyčerpať prostriedky EPFRV v minimálnej sume 294,4 mil. eur</w:t>
      </w:r>
      <w:r w:rsidRPr="00172A71">
        <w:rPr>
          <w:rStyle w:val="Odkaznapoznmkupodiarou"/>
          <w:rFonts w:eastAsiaTheme="majorEastAsia" w:cs="Segoe UI"/>
          <w:szCs w:val="20"/>
        </w:rPr>
        <w:footnoteReference w:id="49"/>
      </w:r>
      <w:r w:rsidRPr="00172A71">
        <w:rPr>
          <w:rFonts w:eastAsiaTheme="majorEastAsia" w:cs="Segoe UI"/>
          <w:szCs w:val="20"/>
        </w:rPr>
        <w:t>.</w:t>
      </w:r>
    </w:p>
    <w:p w14:paraId="58909EAA" w14:textId="77777777" w:rsidR="00BE3D51" w:rsidRPr="006C6934" w:rsidRDefault="00BE3D51" w:rsidP="00BE3D51">
      <w:pPr>
        <w:pStyle w:val="Nadpis2"/>
        <w:rPr>
          <w:rFonts w:cs="Segoe UI"/>
          <w:color w:val="002060"/>
        </w:rPr>
      </w:pPr>
      <w:bookmarkStart w:id="30" w:name="_Toc181017726"/>
      <w:bookmarkStart w:id="31" w:name="_Toc182559186"/>
      <w:r w:rsidRPr="006C6934">
        <w:rPr>
          <w:rFonts w:cs="Segoe UI"/>
          <w:color w:val="002060"/>
        </w:rPr>
        <w:t>Fondy EÚ programového obdobia 2021 – 2027</w:t>
      </w:r>
      <w:bookmarkEnd w:id="30"/>
      <w:bookmarkEnd w:id="31"/>
    </w:p>
    <w:p w14:paraId="3F23C822" w14:textId="5178C05B" w:rsidR="00BE3D51" w:rsidRPr="00BE3D51" w:rsidRDefault="00BE3D51" w:rsidP="00BE3D51">
      <w:pPr>
        <w:rPr>
          <w:rFonts w:cs="Segoe UI"/>
          <w:b/>
          <w:szCs w:val="20"/>
        </w:rPr>
      </w:pPr>
      <w:r w:rsidRPr="00BE3D51">
        <w:rPr>
          <w:rFonts w:cs="Segoe UI"/>
          <w:b/>
          <w:szCs w:val="20"/>
        </w:rPr>
        <w:t xml:space="preserve">Ku koncu septembra 2024 bol stav čerpania piatich programov </w:t>
      </w:r>
      <w:r w:rsidRPr="00BE3D51">
        <w:rPr>
          <w:rFonts w:cs="Segoe UI"/>
          <w:szCs w:val="20"/>
        </w:rPr>
        <w:t>(</w:t>
      </w:r>
      <w:r w:rsidR="007E52BF">
        <w:rPr>
          <w:rFonts w:cs="Segoe UI"/>
          <w:szCs w:val="20"/>
        </w:rPr>
        <w:t xml:space="preserve">Program Slovensko, </w:t>
      </w:r>
      <w:r w:rsidRPr="00BE3D51">
        <w:rPr>
          <w:rFonts w:cs="Segoe UI"/>
          <w:szCs w:val="20"/>
        </w:rPr>
        <w:t xml:space="preserve">Interreg SK-CZ, Interreg SK-AT, </w:t>
      </w:r>
      <w:r w:rsidR="007E52BF" w:rsidRPr="00BE3D51">
        <w:rPr>
          <w:rFonts w:cs="Segoe UI"/>
          <w:szCs w:val="20"/>
        </w:rPr>
        <w:t>Program Rybné hospodárstvo</w:t>
      </w:r>
      <w:r w:rsidR="00980D71">
        <w:rPr>
          <w:rFonts w:cs="Segoe UI"/>
          <w:szCs w:val="20"/>
        </w:rPr>
        <w:t xml:space="preserve"> a </w:t>
      </w:r>
      <w:r w:rsidRPr="00BE3D51">
        <w:rPr>
          <w:rFonts w:cs="Segoe UI"/>
          <w:szCs w:val="20"/>
        </w:rPr>
        <w:t>Interact IV)</w:t>
      </w:r>
      <w:r w:rsidRPr="00BE3D51">
        <w:rPr>
          <w:rFonts w:cs="Segoe UI"/>
          <w:b/>
          <w:szCs w:val="20"/>
        </w:rPr>
        <w:t xml:space="preserve"> na úrovni 149,6 mil. eur, čo predstavuje 1,2 % z alokácie. </w:t>
      </w:r>
    </w:p>
    <w:p w14:paraId="5AC19B2A" w14:textId="2C0B487D" w:rsidR="00BE3D51" w:rsidRPr="00172A71" w:rsidRDefault="00BE3D51" w:rsidP="00BE3D51">
      <w:pPr>
        <w:rPr>
          <w:rFonts w:cs="Segoe UI"/>
          <w:szCs w:val="20"/>
        </w:rPr>
      </w:pPr>
      <w:r w:rsidRPr="00BE3D51">
        <w:rPr>
          <w:rFonts w:cs="Segoe UI"/>
          <w:b/>
          <w:szCs w:val="20"/>
        </w:rPr>
        <w:t>V roku 2025 bude potrebné voči EK odpočtovať plnenie prvého finančného míľnika</w:t>
      </w:r>
      <w:r w:rsidRPr="00172A71">
        <w:rPr>
          <w:rFonts w:cs="Segoe UI"/>
          <w:szCs w:val="20"/>
        </w:rPr>
        <w:t xml:space="preserve">, rozpísaného v ročnom záväzku </w:t>
      </w:r>
      <w:r w:rsidR="00D81742">
        <w:rPr>
          <w:rFonts w:cs="Segoe UI"/>
          <w:szCs w:val="20"/>
        </w:rPr>
        <w:t>2022. V súvislosti</w:t>
      </w:r>
      <w:r w:rsidRPr="00172A71">
        <w:rPr>
          <w:rFonts w:cs="Segoe UI"/>
          <w:szCs w:val="20"/>
        </w:rPr>
        <w:t xml:space="preserve"> s tým je potrebné na úrovni </w:t>
      </w:r>
      <w:r>
        <w:rPr>
          <w:rFonts w:cs="Segoe UI"/>
          <w:szCs w:val="20"/>
        </w:rPr>
        <w:t>platobného orgánu</w:t>
      </w:r>
      <w:r w:rsidRPr="00172A71">
        <w:rPr>
          <w:rFonts w:cs="Segoe UI"/>
          <w:szCs w:val="20"/>
        </w:rPr>
        <w:t xml:space="preserve"> (MF SR) schváliť a na EK deklarovať do konca roka 2025 oprávnené výdavky minimálne vo výške 1,4 mld. eur</w:t>
      </w:r>
      <w:r w:rsidRPr="00172A71">
        <w:rPr>
          <w:rStyle w:val="Odkaznapoznmkupodiarou"/>
          <w:rFonts w:cs="Segoe UI"/>
          <w:szCs w:val="20"/>
        </w:rPr>
        <w:footnoteReference w:id="50"/>
      </w:r>
      <w:r>
        <w:rPr>
          <w:rFonts w:cs="Segoe UI"/>
          <w:szCs w:val="20"/>
        </w:rPr>
        <w:t xml:space="preserve"> (g</w:t>
      </w:r>
      <w:r w:rsidRPr="00172A71">
        <w:rPr>
          <w:rFonts w:cs="Segoe UI"/>
          <w:szCs w:val="20"/>
        </w:rPr>
        <w:t xml:space="preserve">raf </w:t>
      </w:r>
      <w:r>
        <w:rPr>
          <w:rFonts w:cs="Segoe UI"/>
          <w:szCs w:val="20"/>
        </w:rPr>
        <w:t>1</w:t>
      </w:r>
      <w:r w:rsidR="008E65AC">
        <w:rPr>
          <w:rFonts w:cs="Segoe UI"/>
          <w:szCs w:val="20"/>
        </w:rPr>
        <w:t>7</w:t>
      </w:r>
      <w:r w:rsidRPr="00172A71">
        <w:rPr>
          <w:rFonts w:cs="Segoe UI"/>
          <w:szCs w:val="20"/>
        </w:rPr>
        <w:t>).</w:t>
      </w:r>
    </w:p>
    <w:p w14:paraId="00831E4C" w14:textId="4AFBE3C7" w:rsidR="00966EF9" w:rsidRDefault="00966EF9" w:rsidP="00966EF9">
      <w:pPr>
        <w:pStyle w:val="Popis"/>
        <w:keepNext/>
        <w:rPr>
          <w:color w:val="314364"/>
        </w:rPr>
      </w:pPr>
      <w:r w:rsidRPr="0087188A">
        <w:rPr>
          <w:color w:val="314364"/>
        </w:rPr>
        <w:lastRenderedPageBreak/>
        <w:t xml:space="preserve">Graf </w:t>
      </w:r>
      <w:r>
        <w:rPr>
          <w:color w:val="314364"/>
        </w:rPr>
        <w:t>1</w:t>
      </w:r>
      <w:r w:rsidR="008E65AC">
        <w:rPr>
          <w:color w:val="314364"/>
        </w:rPr>
        <w:t>7</w:t>
      </w:r>
      <w:r w:rsidRPr="0087188A">
        <w:rPr>
          <w:color w:val="314364"/>
        </w:rPr>
        <w:t>: Stav čerpania fondov EÚ programového obdobia 2021 – 2027 k 30. 9. 2024</w:t>
      </w:r>
      <w:r>
        <w:rPr>
          <w:color w:val="314364"/>
        </w:rPr>
        <w:t xml:space="preserve"> (v mil. eur)</w:t>
      </w:r>
    </w:p>
    <w:tbl>
      <w:tblPr>
        <w:tblStyle w:val="Mriekatabuky"/>
        <w:tblW w:w="9166" w:type="dxa"/>
        <w:tblBorders>
          <w:top w:val="single" w:sz="4" w:space="0" w:color="314364" w:themeColor="text2"/>
          <w:left w:val="none" w:sz="0" w:space="0" w:color="auto"/>
          <w:bottom w:val="single" w:sz="4" w:space="0" w:color="314364" w:themeColor="text2"/>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166"/>
      </w:tblGrid>
      <w:tr w:rsidR="00966EF9" w14:paraId="19D20382" w14:textId="77777777" w:rsidTr="00B571E8">
        <w:trPr>
          <w:trHeight w:val="2835"/>
        </w:trPr>
        <w:tc>
          <w:tcPr>
            <w:tcW w:w="9166" w:type="dxa"/>
          </w:tcPr>
          <w:p w14:paraId="412DEC60" w14:textId="77777777" w:rsidR="00966EF9" w:rsidRPr="005375FA" w:rsidRDefault="00966EF9" w:rsidP="00B571E8">
            <w:pPr>
              <w:spacing w:after="0"/>
              <w:rPr>
                <w:b/>
              </w:rPr>
            </w:pPr>
            <w:r>
              <w:rPr>
                <w:noProof/>
                <w:lang w:eastAsia="sk-SK"/>
              </w:rPr>
              <w:drawing>
                <wp:inline distT="0" distB="0" distL="0" distR="0" wp14:anchorId="4D2C4C07" wp14:editId="376D75A5">
                  <wp:extent cx="5657850" cy="1762125"/>
                  <wp:effectExtent l="0" t="0" r="0" b="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14:paraId="28DD4EFF" w14:textId="77777777" w:rsidR="00966EF9" w:rsidRDefault="00966EF9" w:rsidP="00966EF9">
      <w:pPr>
        <w:pStyle w:val="Zdroj"/>
      </w:pPr>
      <w:r w:rsidRPr="00F27168">
        <w:t xml:space="preserve">Zdroj: </w:t>
      </w:r>
      <w:r>
        <w:t>MF SR.</w:t>
      </w:r>
    </w:p>
    <w:p w14:paraId="22AC805B" w14:textId="4818008E" w:rsidR="00BE3D51" w:rsidRPr="00D133BC" w:rsidRDefault="00BE3D51" w:rsidP="00BE3D51">
      <w:pPr>
        <w:rPr>
          <w:rFonts w:cs="Segoe UI"/>
          <w:szCs w:val="20"/>
        </w:rPr>
      </w:pPr>
      <w:r w:rsidRPr="00D277E1">
        <w:rPr>
          <w:rFonts w:cs="Segoe UI"/>
          <w:b/>
          <w:szCs w:val="20"/>
        </w:rPr>
        <w:t xml:space="preserve">V rámci nosného </w:t>
      </w:r>
      <w:r w:rsidR="00966EF9">
        <w:rPr>
          <w:rFonts w:cs="Segoe UI"/>
          <w:b/>
          <w:szCs w:val="20"/>
        </w:rPr>
        <w:t>P</w:t>
      </w:r>
      <w:r w:rsidRPr="00D277E1">
        <w:rPr>
          <w:rFonts w:cs="Segoe UI"/>
          <w:b/>
          <w:szCs w:val="20"/>
        </w:rPr>
        <w:t xml:space="preserve">rogramu </w:t>
      </w:r>
      <w:r w:rsidR="00966EF9">
        <w:rPr>
          <w:rFonts w:cs="Segoe UI"/>
          <w:b/>
          <w:szCs w:val="20"/>
        </w:rPr>
        <w:t>Slovensko</w:t>
      </w:r>
      <w:r w:rsidRPr="00D277E1">
        <w:rPr>
          <w:rFonts w:cs="Segoe UI"/>
          <w:b/>
          <w:szCs w:val="20"/>
        </w:rPr>
        <w:t xml:space="preserve"> </w:t>
      </w:r>
      <w:r w:rsidR="00FB742A" w:rsidRPr="00D277E1">
        <w:rPr>
          <w:rFonts w:cs="Segoe UI"/>
          <w:szCs w:val="20"/>
        </w:rPr>
        <w:t>(</w:t>
      </w:r>
      <w:r w:rsidRPr="00D277E1">
        <w:rPr>
          <w:rFonts w:cs="Segoe UI"/>
          <w:szCs w:val="20"/>
        </w:rPr>
        <w:t>PSK</w:t>
      </w:r>
      <w:r w:rsidR="00FB742A" w:rsidRPr="00D277E1">
        <w:rPr>
          <w:rFonts w:cs="Segoe UI"/>
          <w:szCs w:val="20"/>
        </w:rPr>
        <w:t>)</w:t>
      </w:r>
      <w:r w:rsidRPr="00D277E1">
        <w:rPr>
          <w:rFonts w:cs="Segoe UI"/>
          <w:b/>
          <w:szCs w:val="20"/>
        </w:rPr>
        <w:t xml:space="preserve"> bolo k 30. </w:t>
      </w:r>
      <w:r w:rsidR="00966EF9">
        <w:rPr>
          <w:rFonts w:cs="Segoe UI"/>
          <w:b/>
          <w:szCs w:val="20"/>
        </w:rPr>
        <w:t>septembru</w:t>
      </w:r>
      <w:r w:rsidR="00D81742" w:rsidRPr="00D277E1">
        <w:rPr>
          <w:rFonts w:cs="Segoe UI"/>
          <w:b/>
          <w:szCs w:val="20"/>
        </w:rPr>
        <w:t xml:space="preserve"> </w:t>
      </w:r>
      <w:r w:rsidRPr="00D277E1">
        <w:rPr>
          <w:rFonts w:cs="Segoe UI"/>
          <w:b/>
          <w:szCs w:val="20"/>
        </w:rPr>
        <w:t>2024 vyhlásených 190 výziev v sume takmer 7,1 mld. eur, čo predstavuje 56 % z celkovej alokácie.</w:t>
      </w:r>
      <w:r w:rsidRPr="00D22C02">
        <w:rPr>
          <w:rFonts w:cs="Segoe UI"/>
          <w:szCs w:val="20"/>
        </w:rPr>
        <w:t xml:space="preserve"> </w:t>
      </w:r>
      <w:r w:rsidRPr="00D133BC">
        <w:rPr>
          <w:rFonts w:cs="Segoe UI"/>
          <w:szCs w:val="20"/>
        </w:rPr>
        <w:t>Zazmluvnených bolo 754 projektov v hodnote 3,1 mld. eur (24,2 % z alokácie), pričom čerpanie schválené na národnej úrovni predstavovalo 144,7 mil. eur (1,15 % z alokácie)</w:t>
      </w:r>
      <w:r w:rsidRPr="00D133BC">
        <w:rPr>
          <w:rStyle w:val="Odkaznapoznmkupodiarou"/>
          <w:rFonts w:cs="Segoe UI"/>
          <w:szCs w:val="20"/>
        </w:rPr>
        <w:footnoteReference w:id="51"/>
      </w:r>
      <w:r>
        <w:rPr>
          <w:rFonts w:cs="Segoe UI"/>
          <w:szCs w:val="20"/>
        </w:rPr>
        <w:t xml:space="preserve"> (graf 1</w:t>
      </w:r>
      <w:r w:rsidR="008E65AC">
        <w:rPr>
          <w:rFonts w:cs="Segoe UI"/>
          <w:szCs w:val="20"/>
        </w:rPr>
        <w:t>8</w:t>
      </w:r>
      <w:r>
        <w:rPr>
          <w:rFonts w:cs="Segoe UI"/>
          <w:szCs w:val="20"/>
        </w:rPr>
        <w:t>)</w:t>
      </w:r>
      <w:r w:rsidRPr="00D133BC">
        <w:rPr>
          <w:rFonts w:cs="Segoe UI"/>
          <w:szCs w:val="20"/>
        </w:rPr>
        <w:t>.</w:t>
      </w:r>
    </w:p>
    <w:p w14:paraId="4A20C974" w14:textId="559B78E3" w:rsidR="00966EF9" w:rsidRDefault="00966EF9" w:rsidP="00966EF9">
      <w:pPr>
        <w:pStyle w:val="Popis"/>
        <w:keepNext/>
        <w:rPr>
          <w:color w:val="314364"/>
        </w:rPr>
      </w:pPr>
      <w:r w:rsidRPr="0087188A">
        <w:rPr>
          <w:color w:val="314364"/>
        </w:rPr>
        <w:t>Graf</w:t>
      </w:r>
      <w:r>
        <w:rPr>
          <w:color w:val="314364"/>
        </w:rPr>
        <w:t xml:space="preserve"> 1</w:t>
      </w:r>
      <w:r w:rsidR="008E65AC">
        <w:rPr>
          <w:color w:val="314364"/>
        </w:rPr>
        <w:t>8</w:t>
      </w:r>
      <w:r w:rsidRPr="0087188A">
        <w:rPr>
          <w:color w:val="314364"/>
        </w:rPr>
        <w:t xml:space="preserve">: </w:t>
      </w:r>
      <w:r w:rsidR="00C5012A">
        <w:rPr>
          <w:color w:val="314364"/>
        </w:rPr>
        <w:t>Stav implementácie</w:t>
      </w:r>
      <w:r w:rsidRPr="0087188A">
        <w:rPr>
          <w:color w:val="314364"/>
        </w:rPr>
        <w:t xml:space="preserve"> PSK k 30. 9. 2024 za zdroj EÚ v rámci piatich Cieľov politiky súdržnosti EÚ vrátane F</w:t>
      </w:r>
      <w:r>
        <w:rPr>
          <w:color w:val="314364"/>
        </w:rPr>
        <w:t>ondu pre spravodlivú transformáciu</w:t>
      </w:r>
      <w:r w:rsidRPr="0087188A">
        <w:rPr>
          <w:color w:val="314364"/>
        </w:rPr>
        <w:t xml:space="preserve"> a</w:t>
      </w:r>
      <w:r>
        <w:rPr>
          <w:color w:val="314364"/>
        </w:rPr>
        <w:t> </w:t>
      </w:r>
      <w:r w:rsidRPr="0087188A">
        <w:rPr>
          <w:color w:val="314364"/>
        </w:rPr>
        <w:t>T</w:t>
      </w:r>
      <w:r>
        <w:rPr>
          <w:color w:val="314364"/>
        </w:rPr>
        <w:t>echnickej pomoci</w:t>
      </w:r>
      <w:r w:rsidRPr="0087188A">
        <w:rPr>
          <w:color w:val="314364"/>
        </w:rPr>
        <w:t xml:space="preserve"> </w:t>
      </w:r>
      <w:r>
        <w:rPr>
          <w:color w:val="314364"/>
        </w:rPr>
        <w:t>(v mil. eur)</w:t>
      </w:r>
    </w:p>
    <w:tbl>
      <w:tblPr>
        <w:tblStyle w:val="Mriekatabuky"/>
        <w:tblW w:w="5000" w:type="pct"/>
        <w:tblCellMar>
          <w:left w:w="70" w:type="dxa"/>
          <w:right w:w="70" w:type="dxa"/>
        </w:tblCellMar>
        <w:tblLook w:val="04A0" w:firstRow="1" w:lastRow="0" w:firstColumn="1" w:lastColumn="0" w:noHBand="0" w:noVBand="1"/>
      </w:tblPr>
      <w:tblGrid>
        <w:gridCol w:w="9070"/>
      </w:tblGrid>
      <w:tr w:rsidR="00966EF9" w14:paraId="50E1D10E" w14:textId="77777777" w:rsidTr="00B571E8">
        <w:trPr>
          <w:trHeight w:val="2835"/>
        </w:trPr>
        <w:tc>
          <w:tcPr>
            <w:tcW w:w="5000" w:type="pct"/>
            <w:tcBorders>
              <w:top w:val="single" w:sz="4" w:space="0" w:color="314364" w:themeColor="text2"/>
              <w:left w:val="nil"/>
              <w:bottom w:val="single" w:sz="4" w:space="0" w:color="314364" w:themeColor="text2"/>
              <w:right w:val="nil"/>
            </w:tcBorders>
          </w:tcPr>
          <w:p w14:paraId="66DD3FB4" w14:textId="77777777" w:rsidR="00966EF9" w:rsidRDefault="00966EF9" w:rsidP="00B571E8">
            <w:pPr>
              <w:spacing w:after="0"/>
            </w:pPr>
            <w:r>
              <w:rPr>
                <w:noProof/>
                <w:lang w:eastAsia="sk-SK"/>
              </w:rPr>
              <w:drawing>
                <wp:inline distT="0" distB="0" distL="0" distR="0" wp14:anchorId="4E13450E" wp14:editId="544D0B58">
                  <wp:extent cx="5667375" cy="1790700"/>
                  <wp:effectExtent l="0" t="0" r="0" b="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14:paraId="021DD8D0" w14:textId="77777777" w:rsidR="00966EF9" w:rsidRPr="00381573" w:rsidRDefault="00966EF9" w:rsidP="00966EF9">
      <w:pPr>
        <w:pStyle w:val="Zdroj"/>
      </w:pPr>
      <w:r w:rsidRPr="00381573">
        <w:t xml:space="preserve">Zdroj: MIRRI SR. </w:t>
      </w:r>
      <w:r w:rsidRPr="00381573">
        <w:rPr>
          <w:lang w:val="en-US"/>
        </w:rPr>
        <w:t>[</w:t>
      </w:r>
      <w:hyperlink r:id="rId29" w:history="1">
        <w:r w:rsidRPr="00381573">
          <w:rPr>
            <w:rStyle w:val="Hypertextovprepojenie"/>
            <w:rFonts w:cs="Segoe UI"/>
            <w:sz w:val="16"/>
            <w:szCs w:val="16"/>
          </w:rPr>
          <w:t>online</w:t>
        </w:r>
      </w:hyperlink>
      <w:r w:rsidRPr="00381573">
        <w:t>]</w:t>
      </w:r>
      <w:r>
        <w:t>.</w:t>
      </w:r>
    </w:p>
    <w:p w14:paraId="14425FCC" w14:textId="3BE5BAB3" w:rsidR="00E447B7" w:rsidRPr="00D133BC" w:rsidRDefault="00E447B7" w:rsidP="00E447B7">
      <w:pPr>
        <w:rPr>
          <w:rFonts w:cs="Segoe UI"/>
          <w:szCs w:val="20"/>
        </w:rPr>
      </w:pPr>
      <w:r w:rsidRPr="0087188A">
        <w:rPr>
          <w:rFonts w:cs="Segoe UI"/>
          <w:b/>
          <w:szCs w:val="20"/>
        </w:rPr>
        <w:t>Vzhľadom na nízky objem čerpaných prostriedkov existuje významné riziko, že plnenie prvého finančného míľnika ku koncu roka 2025 bude ohrozené</w:t>
      </w:r>
      <w:r>
        <w:rPr>
          <w:rFonts w:cs="Segoe UI"/>
          <w:b/>
          <w:szCs w:val="20"/>
        </w:rPr>
        <w:t>.</w:t>
      </w:r>
      <w:r w:rsidRPr="0087188A">
        <w:rPr>
          <w:rFonts w:cs="Segoe UI"/>
          <w:b/>
          <w:szCs w:val="20"/>
        </w:rPr>
        <w:t xml:space="preserve"> </w:t>
      </w:r>
      <w:r>
        <w:rPr>
          <w:rFonts w:cs="Segoe UI"/>
          <w:b/>
          <w:szCs w:val="20"/>
        </w:rPr>
        <w:t>Ak sa SR chce vyhnúť prepadnutiu časti alokácie,</w:t>
      </w:r>
      <w:r w:rsidRPr="0087188A">
        <w:rPr>
          <w:rFonts w:cs="Segoe UI"/>
          <w:b/>
          <w:szCs w:val="20"/>
        </w:rPr>
        <w:t> je potrebné urýchlene prijať opatrenia, ktoré výrazne zdynamizujú čerpanie.</w:t>
      </w:r>
      <w:r w:rsidRPr="00D133BC">
        <w:rPr>
          <w:rFonts w:cs="Segoe UI"/>
          <w:szCs w:val="20"/>
        </w:rPr>
        <w:t xml:space="preserve"> Aj napriek mnohým zjednodušeniam pre poskytovateľov a prijímateľov </w:t>
      </w:r>
      <w:r>
        <w:rPr>
          <w:rFonts w:cs="Segoe UI"/>
          <w:szCs w:val="20"/>
        </w:rPr>
        <w:t xml:space="preserve">je </w:t>
      </w:r>
      <w:r w:rsidRPr="00D133BC">
        <w:rPr>
          <w:rFonts w:cs="Segoe UI"/>
          <w:szCs w:val="20"/>
        </w:rPr>
        <w:t>nábeh čerpania PSK</w:t>
      </w:r>
      <w:r>
        <w:rPr>
          <w:rFonts w:cs="Segoe UI"/>
          <w:szCs w:val="20"/>
        </w:rPr>
        <w:t>,</w:t>
      </w:r>
      <w:r w:rsidRPr="00D133BC">
        <w:rPr>
          <w:rFonts w:cs="Segoe UI"/>
          <w:szCs w:val="20"/>
        </w:rPr>
        <w:t xml:space="preserve"> vzhľadom na minimálnu výšku </w:t>
      </w:r>
      <w:r>
        <w:rPr>
          <w:rFonts w:cs="Segoe UI"/>
          <w:szCs w:val="20"/>
        </w:rPr>
        <w:t>potrebného čerpania</w:t>
      </w:r>
      <w:r w:rsidRPr="00D133BC">
        <w:rPr>
          <w:rFonts w:cs="Segoe UI"/>
          <w:szCs w:val="20"/>
        </w:rPr>
        <w:t xml:space="preserve"> pre </w:t>
      </w:r>
      <w:r>
        <w:rPr>
          <w:rFonts w:cs="Segoe UI"/>
          <w:szCs w:val="20"/>
        </w:rPr>
        <w:t>s</w:t>
      </w:r>
      <w:r w:rsidRPr="00D133BC">
        <w:rPr>
          <w:rFonts w:cs="Segoe UI"/>
          <w:szCs w:val="20"/>
        </w:rPr>
        <w:t>plnenie prvého ročného záväzku v zmysle legislatívy EK</w:t>
      </w:r>
      <w:r w:rsidRPr="00D133BC">
        <w:rPr>
          <w:rStyle w:val="Odkaznapoznmkupodiarou"/>
          <w:rFonts w:cs="Segoe UI"/>
          <w:szCs w:val="20"/>
        </w:rPr>
        <w:footnoteReference w:id="52"/>
      </w:r>
      <w:r>
        <w:rPr>
          <w:rFonts w:cs="Segoe UI"/>
          <w:szCs w:val="20"/>
        </w:rPr>
        <w:t xml:space="preserve"> v porovnaní s predchádzajúcim PO</w:t>
      </w:r>
      <w:r w:rsidRPr="00D133BC">
        <w:rPr>
          <w:rFonts w:cs="Segoe UI"/>
          <w:szCs w:val="20"/>
        </w:rPr>
        <w:t xml:space="preserve"> výrazne pomalší. Pri porovnaní stavu čerpania PSK 2021</w:t>
      </w:r>
      <w:r>
        <w:rPr>
          <w:rFonts w:cs="Segoe UI"/>
          <w:szCs w:val="20"/>
        </w:rPr>
        <w:t> </w:t>
      </w:r>
      <w:r w:rsidRPr="00D133BC">
        <w:rPr>
          <w:rFonts w:cs="Segoe UI"/>
          <w:szCs w:val="20"/>
        </w:rPr>
        <w:t>–</w:t>
      </w:r>
      <w:r>
        <w:rPr>
          <w:rFonts w:cs="Segoe UI"/>
          <w:szCs w:val="20"/>
        </w:rPr>
        <w:t> </w:t>
      </w:r>
      <w:r w:rsidRPr="00D133BC">
        <w:rPr>
          <w:rFonts w:cs="Segoe UI"/>
          <w:szCs w:val="20"/>
        </w:rPr>
        <w:t>2027 so stavom čerpania šiestich OP EŠIF 2014 – 2020</w:t>
      </w:r>
      <w:r>
        <w:rPr>
          <w:rStyle w:val="Odkaznapoznmkupodiarou"/>
          <w:rFonts w:cs="Segoe UI"/>
          <w:szCs w:val="20"/>
        </w:rPr>
        <w:footnoteReference w:id="53"/>
      </w:r>
      <w:r w:rsidRPr="00D133BC">
        <w:rPr>
          <w:rFonts w:cs="Segoe UI"/>
          <w:szCs w:val="20"/>
        </w:rPr>
        <w:t xml:space="preserve"> </w:t>
      </w:r>
      <w:r>
        <w:rPr>
          <w:rFonts w:cs="Segoe UI"/>
          <w:szCs w:val="20"/>
        </w:rPr>
        <w:t xml:space="preserve">v lehote </w:t>
      </w:r>
      <w:r w:rsidRPr="00D133BC">
        <w:rPr>
          <w:rFonts w:cs="Segoe UI"/>
          <w:szCs w:val="20"/>
        </w:rPr>
        <w:t>15</w:t>
      </w:r>
      <w:r>
        <w:rPr>
          <w:rFonts w:cs="Segoe UI"/>
          <w:szCs w:val="20"/>
        </w:rPr>
        <w:t> </w:t>
      </w:r>
      <w:r w:rsidRPr="00D133BC">
        <w:rPr>
          <w:rFonts w:cs="Segoe UI"/>
          <w:szCs w:val="20"/>
        </w:rPr>
        <w:t>mesiacov pred</w:t>
      </w:r>
      <w:r>
        <w:rPr>
          <w:rFonts w:cs="Segoe UI"/>
          <w:szCs w:val="20"/>
        </w:rPr>
        <w:t xml:space="preserve"> hraničným</w:t>
      </w:r>
      <w:r w:rsidRPr="00D133BC">
        <w:rPr>
          <w:rFonts w:cs="Segoe UI"/>
          <w:szCs w:val="20"/>
        </w:rPr>
        <w:t xml:space="preserve"> termínom plnenia prvého finančného míľnika v zmysle pravidla n+3</w:t>
      </w:r>
      <w:r>
        <w:rPr>
          <w:rStyle w:val="Odkaznapoznmkupodiarou"/>
          <w:rFonts w:cs="Segoe UI"/>
          <w:szCs w:val="20"/>
        </w:rPr>
        <w:footnoteReference w:id="54"/>
      </w:r>
      <w:r w:rsidRPr="00D133BC">
        <w:rPr>
          <w:rFonts w:cs="Segoe UI"/>
          <w:szCs w:val="20"/>
        </w:rPr>
        <w:t>, v prípade EŠIF 2014 - 2020 bolo na základe stavu čerpania k </w:t>
      </w:r>
      <w:r>
        <w:rPr>
          <w:rFonts w:cs="Segoe UI"/>
          <w:szCs w:val="20"/>
        </w:rPr>
        <w:t>septembru</w:t>
      </w:r>
      <w:r w:rsidRPr="00D133BC">
        <w:rPr>
          <w:rFonts w:cs="Segoe UI"/>
          <w:szCs w:val="20"/>
        </w:rPr>
        <w:t xml:space="preserve"> 2016</w:t>
      </w:r>
      <w:r w:rsidRPr="00D133BC">
        <w:rPr>
          <w:rStyle w:val="Odkaznapoznmkupodiarou"/>
          <w:rFonts w:cs="Segoe UI"/>
          <w:szCs w:val="20"/>
        </w:rPr>
        <w:footnoteReference w:id="55"/>
      </w:r>
      <w:r w:rsidRPr="00D133BC">
        <w:rPr>
          <w:rFonts w:cs="Segoe UI"/>
          <w:szCs w:val="20"/>
        </w:rPr>
        <w:t xml:space="preserve"> potrebné</w:t>
      </w:r>
      <w:r>
        <w:rPr>
          <w:rFonts w:cs="Segoe UI"/>
          <w:szCs w:val="20"/>
        </w:rPr>
        <w:t xml:space="preserve"> do konca roku 2017 ešte</w:t>
      </w:r>
      <w:r w:rsidRPr="00D133BC">
        <w:rPr>
          <w:rFonts w:cs="Segoe UI"/>
          <w:szCs w:val="20"/>
        </w:rPr>
        <w:t xml:space="preserve"> čerpať viac ako 2,5 násobok </w:t>
      </w:r>
      <w:r>
        <w:rPr>
          <w:rFonts w:cs="Segoe UI"/>
          <w:szCs w:val="20"/>
        </w:rPr>
        <w:t xml:space="preserve">dovtedy </w:t>
      </w:r>
      <w:r w:rsidRPr="00D133BC">
        <w:rPr>
          <w:rFonts w:cs="Segoe UI"/>
          <w:szCs w:val="20"/>
        </w:rPr>
        <w:t>vyčerpaných prostriedkov</w:t>
      </w:r>
      <w:r>
        <w:rPr>
          <w:rFonts w:cs="Segoe UI"/>
          <w:szCs w:val="20"/>
        </w:rPr>
        <w:t>, a</w:t>
      </w:r>
      <w:r w:rsidRPr="00D133BC">
        <w:rPr>
          <w:rFonts w:cs="Segoe UI"/>
          <w:szCs w:val="20"/>
        </w:rPr>
        <w:t>však v prípade PSK 2021 – 2027 na základe</w:t>
      </w:r>
      <w:r>
        <w:rPr>
          <w:rFonts w:cs="Segoe UI"/>
          <w:szCs w:val="20"/>
        </w:rPr>
        <w:t xml:space="preserve"> stavu čerpania k septembru 2024</w:t>
      </w:r>
      <w:r w:rsidRPr="00D133BC">
        <w:rPr>
          <w:rFonts w:cs="Segoe UI"/>
          <w:szCs w:val="20"/>
        </w:rPr>
        <w:t xml:space="preserve"> </w:t>
      </w:r>
      <w:r>
        <w:rPr>
          <w:rFonts w:cs="Segoe UI"/>
          <w:szCs w:val="20"/>
        </w:rPr>
        <w:lastRenderedPageBreak/>
        <w:t>je potrebné do konca roku 2025 ešte vyčerpať</w:t>
      </w:r>
      <w:r w:rsidRPr="00D133BC">
        <w:rPr>
          <w:rFonts w:cs="Segoe UI"/>
          <w:szCs w:val="20"/>
        </w:rPr>
        <w:t xml:space="preserve"> sumu rovnajúcu sa takmer 10 násobku </w:t>
      </w:r>
      <w:r>
        <w:rPr>
          <w:rFonts w:cs="Segoe UI"/>
          <w:szCs w:val="20"/>
        </w:rPr>
        <w:t>doteraz</w:t>
      </w:r>
      <w:r w:rsidRPr="00D133BC">
        <w:rPr>
          <w:rFonts w:cs="Segoe UI"/>
          <w:szCs w:val="20"/>
        </w:rPr>
        <w:t xml:space="preserve"> vyčerpaných prostriedkov (</w:t>
      </w:r>
      <w:r>
        <w:rPr>
          <w:rFonts w:cs="Segoe UI"/>
          <w:szCs w:val="20"/>
        </w:rPr>
        <w:t>g</w:t>
      </w:r>
      <w:r w:rsidRPr="00D133BC">
        <w:rPr>
          <w:rFonts w:cs="Segoe UI"/>
          <w:szCs w:val="20"/>
        </w:rPr>
        <w:t xml:space="preserve">raf </w:t>
      </w:r>
      <w:r w:rsidR="008E65AC">
        <w:rPr>
          <w:rFonts w:cs="Segoe UI"/>
          <w:szCs w:val="20"/>
        </w:rPr>
        <w:t>19</w:t>
      </w:r>
      <w:r w:rsidRPr="00D133BC">
        <w:rPr>
          <w:rFonts w:cs="Segoe UI"/>
          <w:szCs w:val="20"/>
        </w:rPr>
        <w:t>)</w:t>
      </w:r>
      <w:r>
        <w:rPr>
          <w:rFonts w:cs="Segoe UI"/>
          <w:szCs w:val="20"/>
        </w:rPr>
        <w:t>.</w:t>
      </w:r>
    </w:p>
    <w:p w14:paraId="1916A301" w14:textId="69BFA47D" w:rsidR="0022613F" w:rsidRDefault="0022613F" w:rsidP="0022613F">
      <w:pPr>
        <w:pStyle w:val="Popis"/>
        <w:keepNext/>
        <w:rPr>
          <w:color w:val="314364"/>
        </w:rPr>
      </w:pPr>
      <w:r w:rsidRPr="0087188A">
        <w:rPr>
          <w:color w:val="314364"/>
        </w:rPr>
        <w:t xml:space="preserve">Graf </w:t>
      </w:r>
      <w:r w:rsidR="008E65AC">
        <w:rPr>
          <w:color w:val="314364"/>
        </w:rPr>
        <w:t>19</w:t>
      </w:r>
      <w:r w:rsidRPr="0087188A">
        <w:rPr>
          <w:color w:val="314364"/>
        </w:rPr>
        <w:t xml:space="preserve">: Porovnanie čerpania PO 2014 – 2020 </w:t>
      </w:r>
      <w:r>
        <w:rPr>
          <w:color w:val="314364"/>
        </w:rPr>
        <w:t>a</w:t>
      </w:r>
      <w:r w:rsidRPr="0087188A">
        <w:rPr>
          <w:color w:val="314364"/>
        </w:rPr>
        <w:t xml:space="preserve"> PO 2021 – 2027 </w:t>
      </w:r>
      <w:r w:rsidR="00E447B7">
        <w:rPr>
          <w:color w:val="314364"/>
        </w:rPr>
        <w:t xml:space="preserve">15 mesiacov pred termínom plnenia prvého finančného míľnika </w:t>
      </w:r>
      <w:r>
        <w:rPr>
          <w:color w:val="314364"/>
        </w:rPr>
        <w:t>(v mil. eur)</w:t>
      </w:r>
    </w:p>
    <w:tbl>
      <w:tblPr>
        <w:tblStyle w:val="Mriekatabuky"/>
        <w:tblW w:w="5000" w:type="pct"/>
        <w:tblCellMar>
          <w:left w:w="70" w:type="dxa"/>
          <w:right w:w="70" w:type="dxa"/>
        </w:tblCellMar>
        <w:tblLook w:val="04A0" w:firstRow="1" w:lastRow="0" w:firstColumn="1" w:lastColumn="0" w:noHBand="0" w:noVBand="1"/>
      </w:tblPr>
      <w:tblGrid>
        <w:gridCol w:w="9070"/>
      </w:tblGrid>
      <w:tr w:rsidR="0022613F" w14:paraId="6149CA50" w14:textId="77777777" w:rsidTr="00B571E8">
        <w:trPr>
          <w:trHeight w:val="2835"/>
        </w:trPr>
        <w:tc>
          <w:tcPr>
            <w:tcW w:w="5000" w:type="pct"/>
            <w:tcBorders>
              <w:top w:val="single" w:sz="4" w:space="0" w:color="314364" w:themeColor="text2"/>
              <w:left w:val="nil"/>
              <w:bottom w:val="single" w:sz="4" w:space="0" w:color="314364" w:themeColor="text2"/>
              <w:right w:val="nil"/>
            </w:tcBorders>
            <w:shd w:val="clear" w:color="auto" w:fill="auto"/>
          </w:tcPr>
          <w:p w14:paraId="14782C57" w14:textId="77777777" w:rsidR="0022613F" w:rsidRDefault="0022613F" w:rsidP="00B571E8">
            <w:pPr>
              <w:pStyle w:val="Popis"/>
              <w:keepNext/>
              <w:rPr>
                <w:color w:val="314364"/>
              </w:rPr>
            </w:pPr>
            <w:r>
              <w:rPr>
                <w:noProof/>
                <w:lang w:eastAsia="sk-SK"/>
              </w:rPr>
              <w:drawing>
                <wp:inline distT="0" distB="0" distL="0" distR="0" wp14:anchorId="39498237" wp14:editId="54154FA5">
                  <wp:extent cx="5759450" cy="1781175"/>
                  <wp:effectExtent l="0" t="0" r="0" b="0"/>
                  <wp:docPr id="49" name="Graf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bl>
    <w:p w14:paraId="66E34E8E" w14:textId="7129A424" w:rsidR="0022613F" w:rsidRPr="0087100E" w:rsidRDefault="00E447B7" w:rsidP="0022613F">
      <w:pPr>
        <w:pStyle w:val="Zdroj"/>
      </w:pPr>
      <w:r>
        <w:t xml:space="preserve"> </w:t>
      </w:r>
      <w:r w:rsidR="0022613F" w:rsidRPr="0087100E">
        <w:t xml:space="preserve">Zdroj: </w:t>
      </w:r>
      <w:r w:rsidR="0022613F">
        <w:t>MF SR.</w:t>
      </w:r>
      <w:r w:rsidR="0022613F">
        <w:br/>
        <w:t xml:space="preserve">Poznámka: </w:t>
      </w:r>
      <w:r w:rsidR="0022613F" w:rsidRPr="002B7507">
        <w:t>V prípade EŠIF 2014 - 2020 ide o údaje za šesť OP: OP II (OP II +</w:t>
      </w:r>
      <w:r w:rsidR="0022613F">
        <w:t xml:space="preserve"> </w:t>
      </w:r>
      <w:r w:rsidR="0022613F" w:rsidRPr="002B7507">
        <w:t>OP VaI), OP  ĽZ, OP KŽP, IROP, OP EVS a OP TP</w:t>
      </w:r>
      <w:r w:rsidR="0022613F">
        <w:t xml:space="preserve">. </w:t>
      </w:r>
    </w:p>
    <w:p w14:paraId="4CC101A5" w14:textId="115CA7D0" w:rsidR="00BE3D51" w:rsidRDefault="006C54B2" w:rsidP="00BE3D51">
      <w:pPr>
        <w:rPr>
          <w:rFonts w:cs="Segoe UI"/>
          <w:szCs w:val="20"/>
        </w:rPr>
      </w:pPr>
      <w:r w:rsidRPr="006C54B2">
        <w:rPr>
          <w:rFonts w:cs="Segoe UI"/>
          <w:b/>
          <w:szCs w:val="20"/>
        </w:rPr>
        <w:t>NKÚ SR upozorňuje, že v rámci aktuálne prebiehajúceho strednodobého preskúmania</w:t>
      </w:r>
      <w:r w:rsidRPr="006C54B2">
        <w:rPr>
          <w:rStyle w:val="Odkaznapoznmkupodiarou"/>
          <w:rFonts w:cs="Segoe UI"/>
          <w:szCs w:val="20"/>
        </w:rPr>
        <w:footnoteReference w:id="56"/>
      </w:r>
      <w:r w:rsidRPr="006C54B2">
        <w:rPr>
          <w:rFonts w:cs="Segoe UI"/>
          <w:b/>
          <w:szCs w:val="20"/>
        </w:rPr>
        <w:t xml:space="preserve"> môžu niektoré rezorty prísť o časť alokácie na úkor výkonnejších rezortov.</w:t>
      </w:r>
      <w:r>
        <w:rPr>
          <w:rFonts w:cs="Segoe UI"/>
          <w:b/>
          <w:szCs w:val="20"/>
        </w:rPr>
        <w:t xml:space="preserve"> </w:t>
      </w:r>
      <w:r w:rsidR="00BE3D51" w:rsidRPr="00D133BC">
        <w:rPr>
          <w:rFonts w:cs="Segoe UI"/>
          <w:szCs w:val="20"/>
        </w:rPr>
        <w:t xml:space="preserve">K 30. </w:t>
      </w:r>
      <w:r w:rsidR="00BE3D51">
        <w:rPr>
          <w:rFonts w:cs="Segoe UI"/>
          <w:szCs w:val="20"/>
        </w:rPr>
        <w:t xml:space="preserve">9. </w:t>
      </w:r>
      <w:r w:rsidR="00BE3D51" w:rsidRPr="00D133BC">
        <w:rPr>
          <w:rFonts w:cs="Segoe UI"/>
          <w:szCs w:val="20"/>
        </w:rPr>
        <w:t>2024 v rámci P</w:t>
      </w:r>
      <w:r w:rsidR="00362D45">
        <w:rPr>
          <w:rFonts w:cs="Segoe UI"/>
          <w:szCs w:val="20"/>
        </w:rPr>
        <w:t>SK</w:t>
      </w:r>
      <w:r w:rsidR="00BE3D51" w:rsidRPr="00D133BC">
        <w:rPr>
          <w:rFonts w:cs="Segoe UI"/>
          <w:szCs w:val="20"/>
        </w:rPr>
        <w:t xml:space="preserve"> čerpalo finančné prostriedky len šesť rezortov</w:t>
      </w:r>
      <w:r w:rsidR="00BE3D51">
        <w:rPr>
          <w:rFonts w:cs="Segoe UI"/>
          <w:szCs w:val="20"/>
        </w:rPr>
        <w:t xml:space="preserve"> (t</w:t>
      </w:r>
      <w:r w:rsidR="00BE3D51" w:rsidRPr="00D133BC">
        <w:rPr>
          <w:rFonts w:cs="Segoe UI"/>
          <w:szCs w:val="20"/>
        </w:rPr>
        <w:t xml:space="preserve">abuľka </w:t>
      </w:r>
      <w:r w:rsidR="00FB742A">
        <w:rPr>
          <w:rFonts w:cs="Segoe UI"/>
          <w:szCs w:val="20"/>
        </w:rPr>
        <w:t>6</w:t>
      </w:r>
      <w:r w:rsidR="00BE3D51" w:rsidRPr="00D133BC">
        <w:rPr>
          <w:rFonts w:cs="Segoe UI"/>
          <w:szCs w:val="20"/>
        </w:rPr>
        <w:t>)</w:t>
      </w:r>
      <w:r w:rsidR="00BE3D51">
        <w:rPr>
          <w:rFonts w:cs="Segoe UI"/>
          <w:szCs w:val="20"/>
        </w:rPr>
        <w:t xml:space="preserve">, pričom </w:t>
      </w:r>
      <w:r w:rsidR="004B6804" w:rsidRPr="00155E50">
        <w:rPr>
          <w:rFonts w:cs="Segoe UI"/>
          <w:szCs w:val="20"/>
        </w:rPr>
        <w:t xml:space="preserve">všetky rezorty výrazne zaostávajú pri plnení plánu čerpania ku koncu roka 2025, ku ktorému sa zaviazali. </w:t>
      </w:r>
    </w:p>
    <w:p w14:paraId="2368F893" w14:textId="7D7D4114" w:rsidR="00BE3D51" w:rsidRPr="00D133BC" w:rsidRDefault="00BE3D51" w:rsidP="00BE3D51">
      <w:pPr>
        <w:pStyle w:val="Popis"/>
        <w:keepNext/>
        <w:rPr>
          <w:rFonts w:cs="Segoe UI"/>
          <w:szCs w:val="20"/>
        </w:rPr>
      </w:pPr>
      <w:r w:rsidRPr="0087188A">
        <w:rPr>
          <w:color w:val="314364"/>
        </w:rPr>
        <w:t xml:space="preserve">Tabuľka </w:t>
      </w:r>
      <w:r w:rsidR="00B46458">
        <w:rPr>
          <w:color w:val="314364"/>
        </w:rPr>
        <w:t>6</w:t>
      </w:r>
      <w:r w:rsidRPr="0087188A">
        <w:rPr>
          <w:color w:val="314364"/>
        </w:rPr>
        <w:t xml:space="preserve">: Čerpanie prostriedkov v rámci PSK k 30. 9. 2024, v členení podľa rezortov </w:t>
      </w:r>
      <w:r>
        <w:rPr>
          <w:color w:val="314364"/>
        </w:rPr>
        <w:t>(v mil. eur)</w:t>
      </w:r>
    </w:p>
    <w:tbl>
      <w:tblPr>
        <w:tblW w:w="5000" w:type="pct"/>
        <w:tblBorders>
          <w:bottom w:val="single" w:sz="4" w:space="0" w:color="314364" w:themeColor="text2"/>
        </w:tblBorders>
        <w:tblCellMar>
          <w:left w:w="70" w:type="dxa"/>
          <w:right w:w="70" w:type="dxa"/>
        </w:tblCellMar>
        <w:tblLook w:val="04A0" w:firstRow="1" w:lastRow="0" w:firstColumn="1" w:lastColumn="0" w:noHBand="0" w:noVBand="1"/>
      </w:tblPr>
      <w:tblGrid>
        <w:gridCol w:w="1976"/>
        <w:gridCol w:w="1206"/>
        <w:gridCol w:w="1591"/>
        <w:gridCol w:w="1433"/>
        <w:gridCol w:w="1591"/>
        <w:gridCol w:w="1273"/>
      </w:tblGrid>
      <w:tr w:rsidR="00BE3D51" w:rsidRPr="00F61ED5" w14:paraId="0E37E5D1" w14:textId="77777777" w:rsidTr="003E4F88">
        <w:trPr>
          <w:trHeight w:val="283"/>
        </w:trPr>
        <w:tc>
          <w:tcPr>
            <w:tcW w:w="1089" w:type="pct"/>
            <w:shd w:val="clear" w:color="000000" w:fill="314364"/>
            <w:vAlign w:val="center"/>
            <w:hideMark/>
          </w:tcPr>
          <w:p w14:paraId="0D14ECE2" w14:textId="77777777" w:rsidR="00BE3D51" w:rsidRPr="0087188A" w:rsidRDefault="00BE3D51" w:rsidP="003E4F88">
            <w:pPr>
              <w:spacing w:after="0"/>
              <w:jc w:val="left"/>
              <w:rPr>
                <w:rFonts w:cs="Segoe UI"/>
                <w:b/>
                <w:bCs/>
                <w:color w:val="FFFFFF"/>
                <w:sz w:val="18"/>
                <w:szCs w:val="18"/>
              </w:rPr>
            </w:pPr>
            <w:r w:rsidRPr="0087188A">
              <w:rPr>
                <w:rFonts w:cs="Segoe UI"/>
                <w:b/>
                <w:bCs/>
                <w:color w:val="FFFFFF"/>
                <w:sz w:val="18"/>
                <w:szCs w:val="18"/>
              </w:rPr>
              <w:t>Rezort</w:t>
            </w:r>
          </w:p>
        </w:tc>
        <w:tc>
          <w:tcPr>
            <w:tcW w:w="665" w:type="pct"/>
            <w:shd w:val="clear" w:color="000000" w:fill="314364"/>
            <w:vAlign w:val="center"/>
            <w:hideMark/>
          </w:tcPr>
          <w:p w14:paraId="76D04688" w14:textId="77777777" w:rsidR="00BE3D51" w:rsidRPr="0087188A" w:rsidRDefault="00BE3D51" w:rsidP="003E4F88">
            <w:pPr>
              <w:spacing w:after="0"/>
              <w:jc w:val="center"/>
              <w:rPr>
                <w:rFonts w:cs="Segoe UI"/>
                <w:b/>
                <w:bCs/>
                <w:color w:val="FFFFFF"/>
                <w:sz w:val="18"/>
                <w:szCs w:val="18"/>
              </w:rPr>
            </w:pPr>
            <w:r w:rsidRPr="0087188A">
              <w:rPr>
                <w:rFonts w:cs="Segoe UI"/>
                <w:b/>
                <w:bCs/>
                <w:color w:val="FFFFFF"/>
                <w:sz w:val="18"/>
                <w:szCs w:val="18"/>
              </w:rPr>
              <w:t>Alokácia</w:t>
            </w:r>
          </w:p>
        </w:tc>
        <w:tc>
          <w:tcPr>
            <w:tcW w:w="877" w:type="pct"/>
            <w:shd w:val="clear" w:color="000000" w:fill="314364"/>
            <w:vAlign w:val="center"/>
            <w:hideMark/>
          </w:tcPr>
          <w:p w14:paraId="2F2EC498" w14:textId="77777777" w:rsidR="00BE3D51" w:rsidRPr="0087188A" w:rsidRDefault="00BE3D51" w:rsidP="003E4F88">
            <w:pPr>
              <w:spacing w:after="0"/>
              <w:jc w:val="center"/>
              <w:rPr>
                <w:rFonts w:cs="Segoe UI"/>
                <w:b/>
                <w:bCs/>
                <w:color w:val="FFFFFF"/>
                <w:sz w:val="18"/>
                <w:szCs w:val="18"/>
              </w:rPr>
            </w:pPr>
            <w:r w:rsidRPr="0087188A">
              <w:rPr>
                <w:rFonts w:cs="Segoe UI"/>
                <w:b/>
                <w:bCs/>
                <w:color w:val="FFFFFF"/>
                <w:sz w:val="18"/>
                <w:szCs w:val="18"/>
              </w:rPr>
              <w:t xml:space="preserve">Plán čerpania do 31.12.2025**                    </w:t>
            </w:r>
          </w:p>
        </w:tc>
        <w:tc>
          <w:tcPr>
            <w:tcW w:w="790" w:type="pct"/>
            <w:shd w:val="clear" w:color="000000" w:fill="314364"/>
            <w:vAlign w:val="center"/>
            <w:hideMark/>
          </w:tcPr>
          <w:p w14:paraId="3038D85B" w14:textId="77777777" w:rsidR="00BE3D51" w:rsidRPr="0087188A" w:rsidRDefault="00BE3D51" w:rsidP="003E4F88">
            <w:pPr>
              <w:spacing w:after="0"/>
              <w:jc w:val="center"/>
              <w:rPr>
                <w:rFonts w:cs="Segoe UI"/>
                <w:b/>
                <w:bCs/>
                <w:color w:val="FFFFFF"/>
                <w:sz w:val="18"/>
                <w:szCs w:val="18"/>
              </w:rPr>
            </w:pPr>
            <w:r w:rsidRPr="0087188A">
              <w:rPr>
                <w:rFonts w:cs="Segoe UI"/>
                <w:b/>
                <w:bCs/>
                <w:color w:val="FFFFFF"/>
                <w:sz w:val="18"/>
                <w:szCs w:val="18"/>
              </w:rPr>
              <w:t xml:space="preserve">Čerpanie  k 30.9.2024***            </w:t>
            </w:r>
          </w:p>
        </w:tc>
        <w:tc>
          <w:tcPr>
            <w:tcW w:w="877" w:type="pct"/>
            <w:shd w:val="clear" w:color="000000" w:fill="314364"/>
            <w:vAlign w:val="center"/>
            <w:hideMark/>
          </w:tcPr>
          <w:p w14:paraId="0FD0EC6F" w14:textId="77777777" w:rsidR="00BE3D51" w:rsidRPr="0087188A" w:rsidRDefault="00BE3D51" w:rsidP="003E4F88">
            <w:pPr>
              <w:spacing w:after="0"/>
              <w:jc w:val="center"/>
              <w:rPr>
                <w:rFonts w:cs="Segoe UI"/>
                <w:b/>
                <w:bCs/>
                <w:color w:val="FFFFFF"/>
                <w:sz w:val="18"/>
                <w:szCs w:val="18"/>
              </w:rPr>
            </w:pPr>
            <w:r w:rsidRPr="0087188A">
              <w:rPr>
                <w:rFonts w:cs="Segoe UI"/>
                <w:b/>
                <w:bCs/>
                <w:color w:val="FFFFFF"/>
                <w:sz w:val="18"/>
                <w:szCs w:val="18"/>
              </w:rPr>
              <w:t>% plnenia plánu čerpania</w:t>
            </w:r>
          </w:p>
        </w:tc>
        <w:tc>
          <w:tcPr>
            <w:tcW w:w="702" w:type="pct"/>
            <w:shd w:val="clear" w:color="000000" w:fill="314364"/>
            <w:vAlign w:val="center"/>
            <w:hideMark/>
          </w:tcPr>
          <w:p w14:paraId="5D0B1BD7" w14:textId="77777777" w:rsidR="00BE3D51" w:rsidRPr="0087188A" w:rsidRDefault="00BE3D51" w:rsidP="003E4F88">
            <w:pPr>
              <w:spacing w:after="0"/>
              <w:jc w:val="center"/>
              <w:rPr>
                <w:rFonts w:cs="Segoe UI"/>
                <w:b/>
                <w:bCs/>
                <w:color w:val="FFFFFF"/>
                <w:sz w:val="18"/>
                <w:szCs w:val="18"/>
              </w:rPr>
            </w:pPr>
            <w:r w:rsidRPr="0087188A">
              <w:rPr>
                <w:rFonts w:cs="Segoe UI"/>
                <w:b/>
                <w:bCs/>
                <w:color w:val="FFFFFF"/>
                <w:sz w:val="18"/>
                <w:szCs w:val="18"/>
              </w:rPr>
              <w:t>% čerpania z alokácie</w:t>
            </w:r>
          </w:p>
        </w:tc>
      </w:tr>
      <w:tr w:rsidR="00BE3D51" w:rsidRPr="00F61ED5" w14:paraId="0CEB3743" w14:textId="77777777" w:rsidTr="003E4F88">
        <w:trPr>
          <w:trHeight w:val="283"/>
        </w:trPr>
        <w:tc>
          <w:tcPr>
            <w:tcW w:w="1089" w:type="pct"/>
            <w:shd w:val="clear" w:color="000000" w:fill="FFFFFF"/>
            <w:noWrap/>
            <w:vAlign w:val="center"/>
            <w:hideMark/>
          </w:tcPr>
          <w:p w14:paraId="11784D2F" w14:textId="77777777" w:rsidR="00BE3D51" w:rsidRPr="0087188A" w:rsidRDefault="00BE3D51" w:rsidP="003E4F88">
            <w:pPr>
              <w:spacing w:after="0"/>
              <w:jc w:val="left"/>
              <w:rPr>
                <w:rFonts w:cs="Segoe UI"/>
                <w:color w:val="000000"/>
                <w:sz w:val="18"/>
                <w:szCs w:val="18"/>
              </w:rPr>
            </w:pPr>
            <w:r w:rsidRPr="0087188A">
              <w:rPr>
                <w:rFonts w:cs="Segoe UI"/>
                <w:color w:val="000000"/>
                <w:sz w:val="18"/>
                <w:szCs w:val="18"/>
              </w:rPr>
              <w:t>MD SR</w:t>
            </w:r>
          </w:p>
        </w:tc>
        <w:tc>
          <w:tcPr>
            <w:tcW w:w="665" w:type="pct"/>
            <w:shd w:val="clear" w:color="000000" w:fill="FFFFFF"/>
            <w:noWrap/>
            <w:vAlign w:val="center"/>
            <w:hideMark/>
          </w:tcPr>
          <w:p w14:paraId="4F35B7C6" w14:textId="77777777" w:rsidR="00BE3D51" w:rsidRPr="0087188A" w:rsidRDefault="00BE3D51" w:rsidP="003E4F88">
            <w:pPr>
              <w:spacing w:after="0"/>
              <w:ind w:right="245"/>
              <w:jc w:val="right"/>
              <w:rPr>
                <w:rFonts w:cs="Segoe UI"/>
                <w:color w:val="000000"/>
                <w:sz w:val="18"/>
                <w:szCs w:val="18"/>
              </w:rPr>
            </w:pPr>
            <w:r w:rsidRPr="0087188A">
              <w:rPr>
                <w:rFonts w:cs="Segoe UI"/>
                <w:color w:val="000000"/>
                <w:sz w:val="18"/>
                <w:szCs w:val="18"/>
              </w:rPr>
              <w:t>3 000,3</w:t>
            </w:r>
          </w:p>
        </w:tc>
        <w:tc>
          <w:tcPr>
            <w:tcW w:w="877" w:type="pct"/>
            <w:shd w:val="clear" w:color="000000" w:fill="FFFFFF"/>
            <w:noWrap/>
            <w:vAlign w:val="center"/>
            <w:hideMark/>
          </w:tcPr>
          <w:p w14:paraId="5AD80D81" w14:textId="77777777" w:rsidR="00BE3D51" w:rsidRPr="0087188A" w:rsidRDefault="00BE3D51" w:rsidP="003E4F88">
            <w:pPr>
              <w:spacing w:after="0"/>
              <w:ind w:right="457"/>
              <w:jc w:val="right"/>
              <w:rPr>
                <w:rFonts w:cs="Segoe UI"/>
                <w:color w:val="000000"/>
                <w:sz w:val="18"/>
                <w:szCs w:val="18"/>
              </w:rPr>
            </w:pPr>
            <w:r w:rsidRPr="0087188A">
              <w:rPr>
                <w:rFonts w:cs="Segoe UI"/>
                <w:color w:val="000000"/>
                <w:sz w:val="18"/>
                <w:szCs w:val="18"/>
              </w:rPr>
              <w:t>619,1</w:t>
            </w:r>
          </w:p>
        </w:tc>
        <w:tc>
          <w:tcPr>
            <w:tcW w:w="790" w:type="pct"/>
            <w:shd w:val="clear" w:color="000000" w:fill="FFFFFF"/>
            <w:noWrap/>
            <w:vAlign w:val="center"/>
            <w:hideMark/>
          </w:tcPr>
          <w:p w14:paraId="2D8B0141" w14:textId="77777777" w:rsidR="00BE3D51" w:rsidRPr="0087188A" w:rsidRDefault="00BE3D51" w:rsidP="003E4F88">
            <w:pPr>
              <w:spacing w:after="0"/>
              <w:ind w:right="465"/>
              <w:jc w:val="right"/>
              <w:rPr>
                <w:rFonts w:cs="Segoe UI"/>
                <w:color w:val="000000"/>
                <w:sz w:val="18"/>
                <w:szCs w:val="18"/>
              </w:rPr>
            </w:pPr>
            <w:r w:rsidRPr="0087188A">
              <w:rPr>
                <w:rFonts w:cs="Segoe UI"/>
                <w:color w:val="000000"/>
                <w:sz w:val="18"/>
                <w:szCs w:val="18"/>
              </w:rPr>
              <w:t>87,4</w:t>
            </w:r>
          </w:p>
        </w:tc>
        <w:tc>
          <w:tcPr>
            <w:tcW w:w="877" w:type="pct"/>
            <w:shd w:val="clear" w:color="000000" w:fill="FFFFFF"/>
            <w:noWrap/>
            <w:vAlign w:val="center"/>
            <w:hideMark/>
          </w:tcPr>
          <w:p w14:paraId="48BBE9F6" w14:textId="77777777" w:rsidR="00BE3D51" w:rsidRPr="0087188A" w:rsidRDefault="00BE3D51" w:rsidP="003E4F88">
            <w:pPr>
              <w:spacing w:after="0"/>
              <w:jc w:val="center"/>
              <w:rPr>
                <w:rFonts w:cs="Segoe UI"/>
                <w:color w:val="000000"/>
                <w:sz w:val="18"/>
                <w:szCs w:val="18"/>
              </w:rPr>
            </w:pPr>
            <w:r w:rsidRPr="0087188A">
              <w:rPr>
                <w:rFonts w:cs="Segoe UI"/>
                <w:color w:val="000000"/>
                <w:sz w:val="18"/>
                <w:szCs w:val="18"/>
              </w:rPr>
              <w:t>14,12 %</w:t>
            </w:r>
          </w:p>
        </w:tc>
        <w:tc>
          <w:tcPr>
            <w:tcW w:w="702" w:type="pct"/>
            <w:shd w:val="clear" w:color="000000" w:fill="FFFFFF"/>
            <w:noWrap/>
            <w:vAlign w:val="center"/>
            <w:hideMark/>
          </w:tcPr>
          <w:p w14:paraId="6C0B69EA" w14:textId="77777777" w:rsidR="00BE3D51" w:rsidRPr="0087188A" w:rsidRDefault="00BE3D51" w:rsidP="003E4F88">
            <w:pPr>
              <w:spacing w:after="0"/>
              <w:jc w:val="center"/>
              <w:rPr>
                <w:rFonts w:cs="Segoe UI"/>
                <w:color w:val="000000"/>
                <w:sz w:val="18"/>
                <w:szCs w:val="18"/>
              </w:rPr>
            </w:pPr>
            <w:r w:rsidRPr="0087188A">
              <w:rPr>
                <w:rFonts w:cs="Segoe UI"/>
                <w:color w:val="000000"/>
                <w:sz w:val="18"/>
                <w:szCs w:val="18"/>
              </w:rPr>
              <w:t>2,91 %</w:t>
            </w:r>
          </w:p>
        </w:tc>
      </w:tr>
      <w:tr w:rsidR="00BE3D51" w:rsidRPr="00F61ED5" w14:paraId="55E67EEA" w14:textId="77777777" w:rsidTr="003E4F88">
        <w:trPr>
          <w:trHeight w:val="283"/>
        </w:trPr>
        <w:tc>
          <w:tcPr>
            <w:tcW w:w="1089" w:type="pct"/>
            <w:shd w:val="clear" w:color="000000" w:fill="FFFFFF"/>
            <w:noWrap/>
            <w:vAlign w:val="center"/>
            <w:hideMark/>
          </w:tcPr>
          <w:p w14:paraId="36B3C58E" w14:textId="10D25D74" w:rsidR="00BE3D51" w:rsidRPr="0087188A" w:rsidRDefault="00BE3D51" w:rsidP="003E4F88">
            <w:pPr>
              <w:spacing w:after="0"/>
              <w:jc w:val="left"/>
              <w:rPr>
                <w:rFonts w:cs="Segoe UI"/>
                <w:color w:val="000000"/>
                <w:sz w:val="18"/>
                <w:szCs w:val="18"/>
              </w:rPr>
            </w:pPr>
            <w:r w:rsidRPr="0087188A">
              <w:rPr>
                <w:rFonts w:cs="Segoe UI"/>
                <w:color w:val="000000"/>
                <w:sz w:val="18"/>
                <w:szCs w:val="18"/>
              </w:rPr>
              <w:t>MŠVV</w:t>
            </w:r>
            <w:r w:rsidR="0083753F">
              <w:rPr>
                <w:rFonts w:cs="Segoe UI"/>
                <w:color w:val="000000"/>
                <w:sz w:val="18"/>
                <w:szCs w:val="18"/>
              </w:rPr>
              <w:t>a</w:t>
            </w:r>
            <w:r w:rsidRPr="0087188A">
              <w:rPr>
                <w:rFonts w:cs="Segoe UI"/>
                <w:color w:val="000000"/>
                <w:sz w:val="18"/>
                <w:szCs w:val="18"/>
              </w:rPr>
              <w:t xml:space="preserve">M SR </w:t>
            </w:r>
          </w:p>
        </w:tc>
        <w:tc>
          <w:tcPr>
            <w:tcW w:w="665" w:type="pct"/>
            <w:shd w:val="clear" w:color="000000" w:fill="FFFFFF"/>
            <w:noWrap/>
            <w:vAlign w:val="center"/>
            <w:hideMark/>
          </w:tcPr>
          <w:p w14:paraId="29AEA59D" w14:textId="77777777" w:rsidR="00BE3D51" w:rsidRPr="0087188A" w:rsidRDefault="00BE3D51" w:rsidP="003E4F88">
            <w:pPr>
              <w:spacing w:after="0"/>
              <w:ind w:right="245"/>
              <w:jc w:val="right"/>
              <w:rPr>
                <w:rFonts w:cs="Segoe UI"/>
                <w:color w:val="000000"/>
                <w:sz w:val="18"/>
                <w:szCs w:val="18"/>
              </w:rPr>
            </w:pPr>
            <w:r w:rsidRPr="0087188A">
              <w:rPr>
                <w:rFonts w:cs="Segoe UI"/>
                <w:color w:val="000000"/>
                <w:sz w:val="18"/>
                <w:szCs w:val="18"/>
              </w:rPr>
              <w:t>1 054,8</w:t>
            </w:r>
          </w:p>
        </w:tc>
        <w:tc>
          <w:tcPr>
            <w:tcW w:w="877" w:type="pct"/>
            <w:shd w:val="clear" w:color="000000" w:fill="FFFFFF"/>
            <w:noWrap/>
            <w:vAlign w:val="center"/>
            <w:hideMark/>
          </w:tcPr>
          <w:p w14:paraId="2C144763" w14:textId="77777777" w:rsidR="00BE3D51" w:rsidRPr="0087188A" w:rsidRDefault="00BE3D51" w:rsidP="003E4F88">
            <w:pPr>
              <w:spacing w:after="0"/>
              <w:ind w:right="457"/>
              <w:jc w:val="right"/>
              <w:rPr>
                <w:rFonts w:cs="Segoe UI"/>
                <w:color w:val="000000"/>
                <w:sz w:val="18"/>
                <w:szCs w:val="18"/>
              </w:rPr>
            </w:pPr>
            <w:r w:rsidRPr="0087188A">
              <w:rPr>
                <w:rFonts w:cs="Segoe UI"/>
                <w:color w:val="000000"/>
                <w:sz w:val="18"/>
                <w:szCs w:val="18"/>
              </w:rPr>
              <w:t>150,4</w:t>
            </w:r>
          </w:p>
        </w:tc>
        <w:tc>
          <w:tcPr>
            <w:tcW w:w="790" w:type="pct"/>
            <w:shd w:val="clear" w:color="000000" w:fill="FFFFFF"/>
            <w:noWrap/>
            <w:vAlign w:val="center"/>
            <w:hideMark/>
          </w:tcPr>
          <w:p w14:paraId="21036228" w14:textId="77777777" w:rsidR="00BE3D51" w:rsidRPr="0087188A" w:rsidRDefault="00BE3D51" w:rsidP="003E4F88">
            <w:pPr>
              <w:spacing w:after="0"/>
              <w:ind w:right="465"/>
              <w:jc w:val="right"/>
              <w:rPr>
                <w:rFonts w:cs="Segoe UI"/>
                <w:color w:val="000000"/>
                <w:sz w:val="18"/>
                <w:szCs w:val="18"/>
              </w:rPr>
            </w:pPr>
            <w:r w:rsidRPr="0087188A">
              <w:rPr>
                <w:rFonts w:cs="Segoe UI"/>
                <w:color w:val="000000"/>
                <w:sz w:val="18"/>
                <w:szCs w:val="18"/>
              </w:rPr>
              <w:t>29,1</w:t>
            </w:r>
          </w:p>
        </w:tc>
        <w:tc>
          <w:tcPr>
            <w:tcW w:w="877" w:type="pct"/>
            <w:shd w:val="clear" w:color="000000" w:fill="FFFFFF"/>
            <w:noWrap/>
            <w:vAlign w:val="center"/>
            <w:hideMark/>
          </w:tcPr>
          <w:p w14:paraId="19D94D0F" w14:textId="77777777" w:rsidR="00BE3D51" w:rsidRPr="0087188A" w:rsidRDefault="00BE3D51" w:rsidP="003E4F88">
            <w:pPr>
              <w:spacing w:after="0"/>
              <w:jc w:val="center"/>
              <w:rPr>
                <w:rFonts w:cs="Segoe UI"/>
                <w:color w:val="000000"/>
                <w:sz w:val="18"/>
                <w:szCs w:val="18"/>
              </w:rPr>
            </w:pPr>
            <w:r w:rsidRPr="0087188A">
              <w:rPr>
                <w:rFonts w:cs="Segoe UI"/>
                <w:color w:val="000000"/>
                <w:sz w:val="18"/>
                <w:szCs w:val="18"/>
              </w:rPr>
              <w:t>19,33 %</w:t>
            </w:r>
          </w:p>
        </w:tc>
        <w:tc>
          <w:tcPr>
            <w:tcW w:w="702" w:type="pct"/>
            <w:shd w:val="clear" w:color="000000" w:fill="FFFFFF"/>
            <w:noWrap/>
            <w:vAlign w:val="center"/>
            <w:hideMark/>
          </w:tcPr>
          <w:p w14:paraId="406DF897" w14:textId="77777777" w:rsidR="00BE3D51" w:rsidRPr="0087188A" w:rsidRDefault="00BE3D51" w:rsidP="003E4F88">
            <w:pPr>
              <w:spacing w:after="0"/>
              <w:jc w:val="center"/>
              <w:rPr>
                <w:rFonts w:cs="Segoe UI"/>
                <w:color w:val="000000"/>
                <w:sz w:val="18"/>
                <w:szCs w:val="18"/>
              </w:rPr>
            </w:pPr>
            <w:r w:rsidRPr="0087188A">
              <w:rPr>
                <w:rFonts w:cs="Segoe UI"/>
                <w:color w:val="000000"/>
                <w:sz w:val="18"/>
                <w:szCs w:val="18"/>
              </w:rPr>
              <w:t>2,76 %</w:t>
            </w:r>
          </w:p>
        </w:tc>
      </w:tr>
      <w:tr w:rsidR="00BE3D51" w:rsidRPr="00F61ED5" w14:paraId="021BFF88" w14:textId="77777777" w:rsidTr="003E4F88">
        <w:trPr>
          <w:trHeight w:val="283"/>
        </w:trPr>
        <w:tc>
          <w:tcPr>
            <w:tcW w:w="1089" w:type="pct"/>
            <w:shd w:val="clear" w:color="000000" w:fill="FFFFFF"/>
            <w:noWrap/>
            <w:vAlign w:val="center"/>
            <w:hideMark/>
          </w:tcPr>
          <w:p w14:paraId="069FAA7B" w14:textId="3A121A4A" w:rsidR="00BE3D51" w:rsidRPr="0087188A" w:rsidRDefault="00BE3D51" w:rsidP="003E4F88">
            <w:pPr>
              <w:spacing w:after="0"/>
              <w:jc w:val="left"/>
              <w:rPr>
                <w:rFonts w:cs="Segoe UI"/>
                <w:color w:val="000000"/>
                <w:sz w:val="18"/>
                <w:szCs w:val="18"/>
              </w:rPr>
            </w:pPr>
            <w:r w:rsidRPr="0087188A">
              <w:rPr>
                <w:rFonts w:cs="Segoe UI"/>
                <w:color w:val="000000"/>
                <w:sz w:val="18"/>
                <w:szCs w:val="18"/>
              </w:rPr>
              <w:t>ÚV SR (MIRRI</w:t>
            </w:r>
            <w:r w:rsidR="0083753F">
              <w:rPr>
                <w:rFonts w:cs="Segoe UI"/>
                <w:color w:val="000000"/>
                <w:sz w:val="18"/>
                <w:szCs w:val="18"/>
              </w:rPr>
              <w:t xml:space="preserve"> SR</w:t>
            </w:r>
            <w:r w:rsidRPr="0087188A">
              <w:rPr>
                <w:rFonts w:cs="Segoe UI"/>
                <w:color w:val="000000"/>
                <w:sz w:val="18"/>
                <w:szCs w:val="18"/>
              </w:rPr>
              <w:t>)*</w:t>
            </w:r>
          </w:p>
        </w:tc>
        <w:tc>
          <w:tcPr>
            <w:tcW w:w="665" w:type="pct"/>
            <w:shd w:val="clear" w:color="000000" w:fill="FFFFFF"/>
            <w:noWrap/>
            <w:vAlign w:val="center"/>
            <w:hideMark/>
          </w:tcPr>
          <w:p w14:paraId="365BF17F" w14:textId="77777777" w:rsidR="00BE3D51" w:rsidRPr="0087188A" w:rsidRDefault="00BE3D51" w:rsidP="003E4F88">
            <w:pPr>
              <w:spacing w:after="0"/>
              <w:ind w:right="245"/>
              <w:jc w:val="right"/>
              <w:rPr>
                <w:rFonts w:cs="Segoe UI"/>
                <w:color w:val="000000"/>
                <w:sz w:val="18"/>
                <w:szCs w:val="18"/>
              </w:rPr>
            </w:pPr>
            <w:r w:rsidRPr="0087188A">
              <w:rPr>
                <w:rFonts w:cs="Segoe UI"/>
                <w:color w:val="000000"/>
                <w:sz w:val="18"/>
                <w:szCs w:val="18"/>
              </w:rPr>
              <w:t>431,5</w:t>
            </w:r>
          </w:p>
        </w:tc>
        <w:tc>
          <w:tcPr>
            <w:tcW w:w="877" w:type="pct"/>
            <w:shd w:val="clear" w:color="000000" w:fill="FFFFFF"/>
            <w:noWrap/>
            <w:vAlign w:val="center"/>
            <w:hideMark/>
          </w:tcPr>
          <w:p w14:paraId="004C738D" w14:textId="77777777" w:rsidR="00BE3D51" w:rsidRPr="0087188A" w:rsidRDefault="00BE3D51" w:rsidP="003E4F88">
            <w:pPr>
              <w:spacing w:after="0"/>
              <w:ind w:right="457"/>
              <w:jc w:val="right"/>
              <w:rPr>
                <w:rFonts w:cs="Segoe UI"/>
                <w:color w:val="000000"/>
                <w:sz w:val="18"/>
                <w:szCs w:val="18"/>
              </w:rPr>
            </w:pPr>
            <w:r w:rsidRPr="0087188A">
              <w:rPr>
                <w:rFonts w:cs="Segoe UI"/>
                <w:color w:val="000000"/>
                <w:sz w:val="18"/>
                <w:szCs w:val="18"/>
              </w:rPr>
              <w:t>52,7</w:t>
            </w:r>
          </w:p>
        </w:tc>
        <w:tc>
          <w:tcPr>
            <w:tcW w:w="790" w:type="pct"/>
            <w:shd w:val="clear" w:color="000000" w:fill="FFFFFF"/>
            <w:noWrap/>
            <w:vAlign w:val="center"/>
            <w:hideMark/>
          </w:tcPr>
          <w:p w14:paraId="0FF9969B" w14:textId="77777777" w:rsidR="00BE3D51" w:rsidRPr="0087188A" w:rsidRDefault="00BE3D51" w:rsidP="003E4F88">
            <w:pPr>
              <w:spacing w:after="0"/>
              <w:ind w:right="465"/>
              <w:jc w:val="right"/>
              <w:rPr>
                <w:rFonts w:cs="Segoe UI"/>
                <w:color w:val="000000"/>
                <w:sz w:val="18"/>
                <w:szCs w:val="18"/>
              </w:rPr>
            </w:pPr>
            <w:r w:rsidRPr="0087188A">
              <w:rPr>
                <w:rFonts w:cs="Segoe UI"/>
                <w:color w:val="000000"/>
                <w:sz w:val="18"/>
                <w:szCs w:val="18"/>
              </w:rPr>
              <w:t>8,9</w:t>
            </w:r>
          </w:p>
        </w:tc>
        <w:tc>
          <w:tcPr>
            <w:tcW w:w="877" w:type="pct"/>
            <w:shd w:val="clear" w:color="000000" w:fill="FFFFFF"/>
            <w:noWrap/>
            <w:vAlign w:val="center"/>
            <w:hideMark/>
          </w:tcPr>
          <w:p w14:paraId="75137C7E" w14:textId="77777777" w:rsidR="00BE3D51" w:rsidRPr="0087188A" w:rsidRDefault="00BE3D51" w:rsidP="003E4F88">
            <w:pPr>
              <w:spacing w:after="0"/>
              <w:jc w:val="center"/>
              <w:rPr>
                <w:rFonts w:cs="Segoe UI"/>
                <w:color w:val="000000"/>
                <w:sz w:val="18"/>
                <w:szCs w:val="18"/>
              </w:rPr>
            </w:pPr>
            <w:r w:rsidRPr="0087188A">
              <w:rPr>
                <w:rFonts w:cs="Segoe UI"/>
                <w:color w:val="000000"/>
                <w:sz w:val="18"/>
                <w:szCs w:val="18"/>
              </w:rPr>
              <w:t>16,89 %</w:t>
            </w:r>
          </w:p>
        </w:tc>
        <w:tc>
          <w:tcPr>
            <w:tcW w:w="702" w:type="pct"/>
            <w:shd w:val="clear" w:color="000000" w:fill="FFFFFF"/>
            <w:noWrap/>
            <w:vAlign w:val="center"/>
            <w:hideMark/>
          </w:tcPr>
          <w:p w14:paraId="079BE139" w14:textId="77777777" w:rsidR="00BE3D51" w:rsidRPr="0087188A" w:rsidRDefault="00BE3D51" w:rsidP="003E4F88">
            <w:pPr>
              <w:spacing w:after="0"/>
              <w:jc w:val="center"/>
              <w:rPr>
                <w:rFonts w:cs="Segoe UI"/>
                <w:color w:val="000000"/>
                <w:sz w:val="18"/>
                <w:szCs w:val="18"/>
              </w:rPr>
            </w:pPr>
            <w:r w:rsidRPr="0087188A">
              <w:rPr>
                <w:rFonts w:cs="Segoe UI"/>
                <w:color w:val="000000"/>
                <w:sz w:val="18"/>
                <w:szCs w:val="18"/>
              </w:rPr>
              <w:t>2,06 %</w:t>
            </w:r>
          </w:p>
        </w:tc>
      </w:tr>
      <w:tr w:rsidR="00BE3D51" w:rsidRPr="00F61ED5" w14:paraId="6CEA5449" w14:textId="77777777" w:rsidTr="003E4F88">
        <w:trPr>
          <w:trHeight w:val="283"/>
        </w:trPr>
        <w:tc>
          <w:tcPr>
            <w:tcW w:w="1089" w:type="pct"/>
            <w:shd w:val="clear" w:color="000000" w:fill="FFFFFF"/>
            <w:noWrap/>
            <w:vAlign w:val="center"/>
            <w:hideMark/>
          </w:tcPr>
          <w:p w14:paraId="0726C440" w14:textId="77777777" w:rsidR="00BE3D51" w:rsidRPr="0087188A" w:rsidRDefault="00BE3D51" w:rsidP="003E4F88">
            <w:pPr>
              <w:spacing w:after="0"/>
              <w:jc w:val="left"/>
              <w:rPr>
                <w:rFonts w:cs="Segoe UI"/>
                <w:color w:val="000000"/>
                <w:sz w:val="18"/>
                <w:szCs w:val="18"/>
              </w:rPr>
            </w:pPr>
            <w:r w:rsidRPr="0087188A">
              <w:rPr>
                <w:rFonts w:cs="Segoe UI"/>
                <w:color w:val="000000"/>
                <w:sz w:val="18"/>
                <w:szCs w:val="18"/>
              </w:rPr>
              <w:t>MPSVR SR</w:t>
            </w:r>
          </w:p>
        </w:tc>
        <w:tc>
          <w:tcPr>
            <w:tcW w:w="665" w:type="pct"/>
            <w:shd w:val="clear" w:color="000000" w:fill="FFFFFF"/>
            <w:noWrap/>
            <w:vAlign w:val="center"/>
            <w:hideMark/>
          </w:tcPr>
          <w:p w14:paraId="7543756F" w14:textId="77777777" w:rsidR="00BE3D51" w:rsidRPr="0087188A" w:rsidRDefault="00BE3D51" w:rsidP="003E4F88">
            <w:pPr>
              <w:spacing w:after="0"/>
              <w:ind w:right="245"/>
              <w:jc w:val="right"/>
              <w:rPr>
                <w:rFonts w:cs="Segoe UI"/>
                <w:color w:val="000000"/>
                <w:sz w:val="18"/>
                <w:szCs w:val="18"/>
              </w:rPr>
            </w:pPr>
            <w:r w:rsidRPr="0087188A">
              <w:rPr>
                <w:rFonts w:cs="Segoe UI"/>
                <w:color w:val="000000"/>
                <w:sz w:val="18"/>
                <w:szCs w:val="18"/>
              </w:rPr>
              <w:t>1 751,4</w:t>
            </w:r>
          </w:p>
        </w:tc>
        <w:tc>
          <w:tcPr>
            <w:tcW w:w="877" w:type="pct"/>
            <w:shd w:val="clear" w:color="000000" w:fill="FFFFFF"/>
            <w:noWrap/>
            <w:vAlign w:val="center"/>
            <w:hideMark/>
          </w:tcPr>
          <w:p w14:paraId="37FD1E46" w14:textId="77777777" w:rsidR="00BE3D51" w:rsidRPr="0087188A" w:rsidRDefault="00BE3D51" w:rsidP="003E4F88">
            <w:pPr>
              <w:spacing w:after="0"/>
              <w:ind w:right="457"/>
              <w:jc w:val="right"/>
              <w:rPr>
                <w:rFonts w:cs="Segoe UI"/>
                <w:color w:val="000000"/>
                <w:sz w:val="18"/>
                <w:szCs w:val="18"/>
              </w:rPr>
            </w:pPr>
            <w:r w:rsidRPr="0087188A">
              <w:rPr>
                <w:rFonts w:cs="Segoe UI"/>
                <w:color w:val="000000"/>
                <w:sz w:val="18"/>
                <w:szCs w:val="18"/>
              </w:rPr>
              <w:t>275,4</w:t>
            </w:r>
          </w:p>
        </w:tc>
        <w:tc>
          <w:tcPr>
            <w:tcW w:w="790" w:type="pct"/>
            <w:shd w:val="clear" w:color="000000" w:fill="FFFFFF"/>
            <w:noWrap/>
            <w:vAlign w:val="center"/>
            <w:hideMark/>
          </w:tcPr>
          <w:p w14:paraId="047F30D6" w14:textId="77777777" w:rsidR="00BE3D51" w:rsidRPr="0087188A" w:rsidRDefault="00BE3D51" w:rsidP="003E4F88">
            <w:pPr>
              <w:spacing w:after="0"/>
              <w:ind w:right="465"/>
              <w:jc w:val="right"/>
              <w:rPr>
                <w:rFonts w:cs="Segoe UI"/>
                <w:color w:val="000000"/>
                <w:sz w:val="18"/>
                <w:szCs w:val="18"/>
              </w:rPr>
            </w:pPr>
            <w:r w:rsidRPr="0087188A">
              <w:rPr>
                <w:rFonts w:cs="Segoe UI"/>
                <w:color w:val="000000"/>
                <w:sz w:val="18"/>
                <w:szCs w:val="18"/>
              </w:rPr>
              <w:t>14,9</w:t>
            </w:r>
          </w:p>
        </w:tc>
        <w:tc>
          <w:tcPr>
            <w:tcW w:w="877" w:type="pct"/>
            <w:shd w:val="clear" w:color="000000" w:fill="FFFFFF"/>
            <w:noWrap/>
            <w:vAlign w:val="center"/>
            <w:hideMark/>
          </w:tcPr>
          <w:p w14:paraId="1E812735" w14:textId="77777777" w:rsidR="00BE3D51" w:rsidRPr="0087188A" w:rsidRDefault="00BE3D51" w:rsidP="003E4F88">
            <w:pPr>
              <w:spacing w:after="0"/>
              <w:jc w:val="center"/>
              <w:rPr>
                <w:rFonts w:cs="Segoe UI"/>
                <w:color w:val="000000"/>
                <w:sz w:val="18"/>
                <w:szCs w:val="18"/>
              </w:rPr>
            </w:pPr>
            <w:r w:rsidRPr="0087188A">
              <w:rPr>
                <w:rFonts w:cs="Segoe UI"/>
                <w:color w:val="000000"/>
                <w:sz w:val="18"/>
                <w:szCs w:val="18"/>
              </w:rPr>
              <w:t>5,41 %</w:t>
            </w:r>
          </w:p>
        </w:tc>
        <w:tc>
          <w:tcPr>
            <w:tcW w:w="702" w:type="pct"/>
            <w:shd w:val="clear" w:color="000000" w:fill="FFFFFF"/>
            <w:noWrap/>
            <w:vAlign w:val="center"/>
            <w:hideMark/>
          </w:tcPr>
          <w:p w14:paraId="5BC9EF33" w14:textId="77777777" w:rsidR="00BE3D51" w:rsidRPr="0087188A" w:rsidRDefault="00BE3D51" w:rsidP="003E4F88">
            <w:pPr>
              <w:spacing w:after="0"/>
              <w:jc w:val="center"/>
              <w:rPr>
                <w:rFonts w:cs="Segoe UI"/>
                <w:color w:val="000000"/>
                <w:sz w:val="18"/>
                <w:szCs w:val="18"/>
              </w:rPr>
            </w:pPr>
            <w:r w:rsidRPr="0087188A">
              <w:rPr>
                <w:rFonts w:cs="Segoe UI"/>
                <w:color w:val="000000"/>
                <w:sz w:val="18"/>
                <w:szCs w:val="18"/>
              </w:rPr>
              <w:t>0,85 %</w:t>
            </w:r>
          </w:p>
        </w:tc>
      </w:tr>
      <w:tr w:rsidR="00BE3D51" w:rsidRPr="00F61ED5" w14:paraId="13B22E58" w14:textId="77777777" w:rsidTr="003E4F88">
        <w:trPr>
          <w:trHeight w:val="283"/>
        </w:trPr>
        <w:tc>
          <w:tcPr>
            <w:tcW w:w="1089" w:type="pct"/>
            <w:shd w:val="clear" w:color="000000" w:fill="FFFFFF"/>
            <w:noWrap/>
            <w:vAlign w:val="center"/>
            <w:hideMark/>
          </w:tcPr>
          <w:p w14:paraId="74B06FC6" w14:textId="23F15725" w:rsidR="00BE3D51" w:rsidRPr="0087188A" w:rsidRDefault="00BE3D51" w:rsidP="003E4F88">
            <w:pPr>
              <w:spacing w:after="0"/>
              <w:jc w:val="left"/>
              <w:rPr>
                <w:rFonts w:cs="Segoe UI"/>
                <w:color w:val="000000"/>
                <w:sz w:val="18"/>
                <w:szCs w:val="18"/>
              </w:rPr>
            </w:pPr>
            <w:r w:rsidRPr="0087188A">
              <w:rPr>
                <w:rFonts w:cs="Segoe UI"/>
                <w:color w:val="000000"/>
                <w:sz w:val="18"/>
                <w:szCs w:val="18"/>
              </w:rPr>
              <w:t>MZ SR (MIRRI</w:t>
            </w:r>
            <w:r w:rsidR="0083753F">
              <w:rPr>
                <w:rFonts w:cs="Segoe UI"/>
                <w:color w:val="000000"/>
                <w:sz w:val="18"/>
                <w:szCs w:val="18"/>
              </w:rPr>
              <w:t xml:space="preserve"> SR</w:t>
            </w:r>
            <w:r w:rsidRPr="0087188A">
              <w:rPr>
                <w:rFonts w:cs="Segoe UI"/>
                <w:color w:val="000000"/>
                <w:sz w:val="18"/>
                <w:szCs w:val="18"/>
              </w:rPr>
              <w:t>)*</w:t>
            </w:r>
          </w:p>
        </w:tc>
        <w:tc>
          <w:tcPr>
            <w:tcW w:w="665" w:type="pct"/>
            <w:shd w:val="clear" w:color="000000" w:fill="FFFFFF"/>
            <w:noWrap/>
            <w:vAlign w:val="center"/>
            <w:hideMark/>
          </w:tcPr>
          <w:p w14:paraId="2FBCF77E" w14:textId="77777777" w:rsidR="00BE3D51" w:rsidRPr="0087188A" w:rsidRDefault="00BE3D51" w:rsidP="003E4F88">
            <w:pPr>
              <w:spacing w:after="0"/>
              <w:ind w:right="245"/>
              <w:jc w:val="right"/>
              <w:rPr>
                <w:rFonts w:cs="Segoe UI"/>
                <w:color w:val="000000"/>
                <w:sz w:val="18"/>
                <w:szCs w:val="18"/>
              </w:rPr>
            </w:pPr>
            <w:r w:rsidRPr="0087188A">
              <w:rPr>
                <w:rFonts w:cs="Segoe UI"/>
                <w:color w:val="000000"/>
                <w:sz w:val="18"/>
                <w:szCs w:val="18"/>
              </w:rPr>
              <w:t>386,2</w:t>
            </w:r>
          </w:p>
        </w:tc>
        <w:tc>
          <w:tcPr>
            <w:tcW w:w="877" w:type="pct"/>
            <w:shd w:val="clear" w:color="000000" w:fill="FFFFFF"/>
            <w:noWrap/>
            <w:vAlign w:val="center"/>
            <w:hideMark/>
          </w:tcPr>
          <w:p w14:paraId="7F6F5A49" w14:textId="77777777" w:rsidR="00BE3D51" w:rsidRPr="0087188A" w:rsidRDefault="00BE3D51" w:rsidP="003E4F88">
            <w:pPr>
              <w:spacing w:after="0"/>
              <w:ind w:right="457"/>
              <w:jc w:val="right"/>
              <w:rPr>
                <w:rFonts w:cs="Segoe UI"/>
                <w:color w:val="000000"/>
                <w:sz w:val="18"/>
                <w:szCs w:val="18"/>
              </w:rPr>
            </w:pPr>
            <w:r w:rsidRPr="0087188A">
              <w:rPr>
                <w:rFonts w:cs="Segoe UI"/>
                <w:color w:val="000000"/>
                <w:sz w:val="18"/>
                <w:szCs w:val="18"/>
              </w:rPr>
              <w:t>51,1</w:t>
            </w:r>
          </w:p>
        </w:tc>
        <w:tc>
          <w:tcPr>
            <w:tcW w:w="790" w:type="pct"/>
            <w:shd w:val="clear" w:color="000000" w:fill="FFFFFF"/>
            <w:noWrap/>
            <w:vAlign w:val="center"/>
            <w:hideMark/>
          </w:tcPr>
          <w:p w14:paraId="6DE7A797" w14:textId="77777777" w:rsidR="00BE3D51" w:rsidRPr="0087188A" w:rsidRDefault="00BE3D51" w:rsidP="003E4F88">
            <w:pPr>
              <w:spacing w:after="0"/>
              <w:ind w:right="465"/>
              <w:jc w:val="right"/>
              <w:rPr>
                <w:rFonts w:cs="Segoe UI"/>
                <w:color w:val="000000"/>
                <w:sz w:val="18"/>
                <w:szCs w:val="18"/>
              </w:rPr>
            </w:pPr>
            <w:r w:rsidRPr="0087188A">
              <w:rPr>
                <w:rFonts w:cs="Segoe UI"/>
                <w:color w:val="000000"/>
                <w:sz w:val="18"/>
                <w:szCs w:val="18"/>
              </w:rPr>
              <w:t>1,8</w:t>
            </w:r>
          </w:p>
        </w:tc>
        <w:tc>
          <w:tcPr>
            <w:tcW w:w="877" w:type="pct"/>
            <w:shd w:val="clear" w:color="000000" w:fill="FFFFFF"/>
            <w:noWrap/>
            <w:vAlign w:val="center"/>
            <w:hideMark/>
          </w:tcPr>
          <w:p w14:paraId="6B153C78" w14:textId="77777777" w:rsidR="00BE3D51" w:rsidRPr="0087188A" w:rsidRDefault="00BE3D51" w:rsidP="003E4F88">
            <w:pPr>
              <w:spacing w:after="0"/>
              <w:jc w:val="center"/>
              <w:rPr>
                <w:rFonts w:cs="Segoe UI"/>
                <w:color w:val="000000"/>
                <w:sz w:val="18"/>
                <w:szCs w:val="18"/>
              </w:rPr>
            </w:pPr>
            <w:r w:rsidRPr="0087188A">
              <w:rPr>
                <w:rFonts w:cs="Segoe UI"/>
                <w:color w:val="000000"/>
                <w:sz w:val="18"/>
                <w:szCs w:val="18"/>
              </w:rPr>
              <w:t>3,61 %</w:t>
            </w:r>
          </w:p>
        </w:tc>
        <w:tc>
          <w:tcPr>
            <w:tcW w:w="702" w:type="pct"/>
            <w:shd w:val="clear" w:color="000000" w:fill="FFFFFF"/>
            <w:noWrap/>
            <w:vAlign w:val="center"/>
            <w:hideMark/>
          </w:tcPr>
          <w:p w14:paraId="28BDC819" w14:textId="77777777" w:rsidR="00BE3D51" w:rsidRPr="0087188A" w:rsidRDefault="00BE3D51" w:rsidP="003E4F88">
            <w:pPr>
              <w:spacing w:after="0"/>
              <w:jc w:val="center"/>
              <w:rPr>
                <w:rFonts w:cs="Segoe UI"/>
                <w:color w:val="000000"/>
                <w:sz w:val="18"/>
                <w:szCs w:val="18"/>
              </w:rPr>
            </w:pPr>
            <w:r w:rsidRPr="0087188A">
              <w:rPr>
                <w:rFonts w:cs="Segoe UI"/>
                <w:color w:val="000000"/>
                <w:sz w:val="18"/>
                <w:szCs w:val="18"/>
              </w:rPr>
              <w:t>0,48 %</w:t>
            </w:r>
          </w:p>
        </w:tc>
      </w:tr>
      <w:tr w:rsidR="00BE3D51" w:rsidRPr="00F61ED5" w14:paraId="0468CFD7" w14:textId="77777777" w:rsidTr="003E4F88">
        <w:trPr>
          <w:trHeight w:val="283"/>
        </w:trPr>
        <w:tc>
          <w:tcPr>
            <w:tcW w:w="1089" w:type="pct"/>
            <w:shd w:val="clear" w:color="000000" w:fill="FFFFFF"/>
            <w:noWrap/>
            <w:vAlign w:val="center"/>
            <w:hideMark/>
          </w:tcPr>
          <w:p w14:paraId="35A88F7B" w14:textId="77777777" w:rsidR="00BE3D51" w:rsidRPr="0087188A" w:rsidRDefault="00BE3D51" w:rsidP="003E4F88">
            <w:pPr>
              <w:spacing w:after="0"/>
              <w:jc w:val="left"/>
              <w:rPr>
                <w:rFonts w:cs="Segoe UI"/>
                <w:color w:val="000000"/>
                <w:sz w:val="18"/>
                <w:szCs w:val="18"/>
              </w:rPr>
            </w:pPr>
            <w:r w:rsidRPr="0087188A">
              <w:rPr>
                <w:rFonts w:cs="Segoe UI"/>
                <w:color w:val="000000"/>
                <w:sz w:val="18"/>
                <w:szCs w:val="18"/>
              </w:rPr>
              <w:t>MIRRI SR</w:t>
            </w:r>
          </w:p>
        </w:tc>
        <w:tc>
          <w:tcPr>
            <w:tcW w:w="665" w:type="pct"/>
            <w:shd w:val="clear" w:color="000000" w:fill="FFFFFF"/>
            <w:noWrap/>
            <w:vAlign w:val="center"/>
            <w:hideMark/>
          </w:tcPr>
          <w:p w14:paraId="1E952D4A" w14:textId="77777777" w:rsidR="00BE3D51" w:rsidRPr="0087188A" w:rsidRDefault="00BE3D51" w:rsidP="003E4F88">
            <w:pPr>
              <w:spacing w:after="0"/>
              <w:ind w:right="245"/>
              <w:jc w:val="right"/>
              <w:rPr>
                <w:rFonts w:cs="Segoe UI"/>
                <w:color w:val="000000"/>
                <w:sz w:val="18"/>
                <w:szCs w:val="18"/>
              </w:rPr>
            </w:pPr>
            <w:r w:rsidRPr="0087188A">
              <w:rPr>
                <w:rFonts w:cs="Segoe UI"/>
                <w:color w:val="000000"/>
                <w:sz w:val="18"/>
                <w:szCs w:val="18"/>
              </w:rPr>
              <w:t>2 609,0</w:t>
            </w:r>
          </w:p>
        </w:tc>
        <w:tc>
          <w:tcPr>
            <w:tcW w:w="877" w:type="pct"/>
            <w:shd w:val="clear" w:color="000000" w:fill="FFFFFF"/>
            <w:noWrap/>
            <w:vAlign w:val="center"/>
            <w:hideMark/>
          </w:tcPr>
          <w:p w14:paraId="5BF72DEC" w14:textId="77777777" w:rsidR="00BE3D51" w:rsidRPr="0087188A" w:rsidRDefault="00BE3D51" w:rsidP="003E4F88">
            <w:pPr>
              <w:spacing w:after="0"/>
              <w:ind w:right="457"/>
              <w:jc w:val="right"/>
              <w:rPr>
                <w:rFonts w:cs="Segoe UI"/>
                <w:color w:val="000000"/>
                <w:sz w:val="18"/>
                <w:szCs w:val="18"/>
              </w:rPr>
            </w:pPr>
            <w:r w:rsidRPr="0087188A">
              <w:rPr>
                <w:rFonts w:cs="Segoe UI"/>
                <w:color w:val="000000"/>
                <w:sz w:val="18"/>
                <w:szCs w:val="18"/>
              </w:rPr>
              <w:t>396,2</w:t>
            </w:r>
          </w:p>
        </w:tc>
        <w:tc>
          <w:tcPr>
            <w:tcW w:w="790" w:type="pct"/>
            <w:shd w:val="clear" w:color="000000" w:fill="FFFFFF"/>
            <w:noWrap/>
            <w:vAlign w:val="center"/>
            <w:hideMark/>
          </w:tcPr>
          <w:p w14:paraId="34A99FDC" w14:textId="77777777" w:rsidR="00BE3D51" w:rsidRPr="0087188A" w:rsidRDefault="00BE3D51" w:rsidP="003E4F88">
            <w:pPr>
              <w:spacing w:after="0"/>
              <w:ind w:right="465"/>
              <w:jc w:val="right"/>
              <w:rPr>
                <w:rFonts w:cs="Segoe UI"/>
                <w:color w:val="000000"/>
                <w:sz w:val="18"/>
                <w:szCs w:val="18"/>
              </w:rPr>
            </w:pPr>
            <w:r w:rsidRPr="0087188A">
              <w:rPr>
                <w:rFonts w:cs="Segoe UI"/>
                <w:color w:val="000000"/>
                <w:sz w:val="18"/>
                <w:szCs w:val="18"/>
              </w:rPr>
              <w:t>2,5</w:t>
            </w:r>
          </w:p>
        </w:tc>
        <w:tc>
          <w:tcPr>
            <w:tcW w:w="877" w:type="pct"/>
            <w:shd w:val="clear" w:color="000000" w:fill="FFFFFF"/>
            <w:noWrap/>
            <w:vAlign w:val="center"/>
            <w:hideMark/>
          </w:tcPr>
          <w:p w14:paraId="6A668EB0" w14:textId="77777777" w:rsidR="00BE3D51" w:rsidRPr="0087188A" w:rsidRDefault="00BE3D51" w:rsidP="003E4F88">
            <w:pPr>
              <w:spacing w:after="0"/>
              <w:jc w:val="center"/>
              <w:rPr>
                <w:rFonts w:cs="Segoe UI"/>
                <w:color w:val="000000"/>
                <w:sz w:val="18"/>
                <w:szCs w:val="18"/>
              </w:rPr>
            </w:pPr>
            <w:r w:rsidRPr="0087188A">
              <w:rPr>
                <w:rFonts w:cs="Segoe UI"/>
                <w:color w:val="000000"/>
                <w:sz w:val="18"/>
                <w:szCs w:val="18"/>
              </w:rPr>
              <w:t>0,64 %</w:t>
            </w:r>
          </w:p>
        </w:tc>
        <w:tc>
          <w:tcPr>
            <w:tcW w:w="702" w:type="pct"/>
            <w:shd w:val="clear" w:color="000000" w:fill="FFFFFF"/>
            <w:noWrap/>
            <w:vAlign w:val="center"/>
            <w:hideMark/>
          </w:tcPr>
          <w:p w14:paraId="7B7CF8FC" w14:textId="77777777" w:rsidR="00BE3D51" w:rsidRPr="0087188A" w:rsidRDefault="00BE3D51" w:rsidP="003E4F88">
            <w:pPr>
              <w:spacing w:after="0"/>
              <w:jc w:val="center"/>
              <w:rPr>
                <w:rFonts w:cs="Segoe UI"/>
                <w:color w:val="000000"/>
                <w:sz w:val="18"/>
                <w:szCs w:val="18"/>
              </w:rPr>
            </w:pPr>
            <w:r w:rsidRPr="0087188A">
              <w:rPr>
                <w:rFonts w:cs="Segoe UI"/>
                <w:color w:val="000000"/>
                <w:sz w:val="18"/>
                <w:szCs w:val="18"/>
              </w:rPr>
              <w:t>0,10 %</w:t>
            </w:r>
          </w:p>
        </w:tc>
      </w:tr>
      <w:tr w:rsidR="00BE3D51" w:rsidRPr="00F61ED5" w14:paraId="16EA5D97" w14:textId="77777777" w:rsidTr="003E4F88">
        <w:trPr>
          <w:trHeight w:val="283"/>
        </w:trPr>
        <w:tc>
          <w:tcPr>
            <w:tcW w:w="1089" w:type="pct"/>
            <w:shd w:val="clear" w:color="000000" w:fill="FFFFFF"/>
            <w:noWrap/>
            <w:vAlign w:val="center"/>
            <w:hideMark/>
          </w:tcPr>
          <w:p w14:paraId="43FA1AFC" w14:textId="77777777" w:rsidR="00BE3D51" w:rsidRPr="0087188A" w:rsidRDefault="00BE3D51" w:rsidP="003E4F88">
            <w:pPr>
              <w:spacing w:after="0"/>
              <w:jc w:val="left"/>
              <w:rPr>
                <w:rFonts w:cs="Segoe UI"/>
                <w:color w:val="000000"/>
                <w:sz w:val="18"/>
                <w:szCs w:val="18"/>
              </w:rPr>
            </w:pPr>
            <w:r w:rsidRPr="0087188A">
              <w:rPr>
                <w:rFonts w:cs="Segoe UI"/>
                <w:color w:val="000000"/>
                <w:sz w:val="18"/>
                <w:szCs w:val="18"/>
              </w:rPr>
              <w:t>MŽP SR</w:t>
            </w:r>
          </w:p>
        </w:tc>
        <w:tc>
          <w:tcPr>
            <w:tcW w:w="665" w:type="pct"/>
            <w:shd w:val="clear" w:color="000000" w:fill="FFFFFF"/>
            <w:noWrap/>
            <w:vAlign w:val="center"/>
            <w:hideMark/>
          </w:tcPr>
          <w:p w14:paraId="6CEA1202" w14:textId="77777777" w:rsidR="00BE3D51" w:rsidRPr="0087188A" w:rsidRDefault="00BE3D51" w:rsidP="003E4F88">
            <w:pPr>
              <w:spacing w:after="0"/>
              <w:ind w:right="245"/>
              <w:jc w:val="right"/>
              <w:rPr>
                <w:rFonts w:cs="Segoe UI"/>
                <w:color w:val="000000"/>
                <w:sz w:val="18"/>
                <w:szCs w:val="18"/>
              </w:rPr>
            </w:pPr>
            <w:r w:rsidRPr="0087188A">
              <w:rPr>
                <w:rFonts w:cs="Segoe UI"/>
                <w:color w:val="000000"/>
                <w:sz w:val="18"/>
                <w:szCs w:val="18"/>
              </w:rPr>
              <w:t>1 723,9</w:t>
            </w:r>
          </w:p>
        </w:tc>
        <w:tc>
          <w:tcPr>
            <w:tcW w:w="877" w:type="pct"/>
            <w:shd w:val="clear" w:color="000000" w:fill="FFFFFF"/>
            <w:noWrap/>
            <w:vAlign w:val="center"/>
            <w:hideMark/>
          </w:tcPr>
          <w:p w14:paraId="6AC1B61C" w14:textId="77777777" w:rsidR="00BE3D51" w:rsidRPr="0087188A" w:rsidRDefault="00BE3D51" w:rsidP="003E4F88">
            <w:pPr>
              <w:spacing w:after="0"/>
              <w:ind w:right="457"/>
              <w:jc w:val="right"/>
              <w:rPr>
                <w:rFonts w:cs="Segoe UI"/>
                <w:color w:val="000000"/>
                <w:sz w:val="18"/>
                <w:szCs w:val="18"/>
              </w:rPr>
            </w:pPr>
            <w:r w:rsidRPr="0087188A">
              <w:rPr>
                <w:rFonts w:cs="Segoe UI"/>
                <w:color w:val="000000"/>
                <w:sz w:val="18"/>
                <w:szCs w:val="18"/>
              </w:rPr>
              <w:t>226,6</w:t>
            </w:r>
          </w:p>
        </w:tc>
        <w:tc>
          <w:tcPr>
            <w:tcW w:w="790" w:type="pct"/>
            <w:shd w:val="clear" w:color="000000" w:fill="FFFFFF"/>
            <w:noWrap/>
            <w:vAlign w:val="center"/>
            <w:hideMark/>
          </w:tcPr>
          <w:p w14:paraId="247432DB" w14:textId="77777777" w:rsidR="00BE3D51" w:rsidRPr="0087188A" w:rsidRDefault="00BE3D51" w:rsidP="003E4F88">
            <w:pPr>
              <w:spacing w:after="0"/>
              <w:ind w:right="465"/>
              <w:jc w:val="right"/>
              <w:rPr>
                <w:rFonts w:cs="Segoe UI"/>
                <w:color w:val="000000"/>
                <w:sz w:val="18"/>
                <w:szCs w:val="18"/>
              </w:rPr>
            </w:pPr>
            <w:r w:rsidRPr="0087188A">
              <w:rPr>
                <w:rFonts w:cs="Segoe UI"/>
                <w:color w:val="000000"/>
                <w:sz w:val="18"/>
                <w:szCs w:val="18"/>
              </w:rPr>
              <w:t>0,0</w:t>
            </w:r>
          </w:p>
        </w:tc>
        <w:tc>
          <w:tcPr>
            <w:tcW w:w="877" w:type="pct"/>
            <w:shd w:val="clear" w:color="000000" w:fill="FFFFFF"/>
            <w:noWrap/>
            <w:vAlign w:val="center"/>
            <w:hideMark/>
          </w:tcPr>
          <w:p w14:paraId="18CFB781" w14:textId="77777777" w:rsidR="00BE3D51" w:rsidRPr="0087188A" w:rsidRDefault="00BE3D51" w:rsidP="003E4F88">
            <w:pPr>
              <w:spacing w:after="0"/>
              <w:jc w:val="center"/>
              <w:rPr>
                <w:rFonts w:cs="Segoe UI"/>
                <w:color w:val="000000"/>
                <w:sz w:val="18"/>
                <w:szCs w:val="18"/>
              </w:rPr>
            </w:pPr>
            <w:r w:rsidRPr="0087188A">
              <w:rPr>
                <w:rFonts w:cs="Segoe UI"/>
                <w:color w:val="000000"/>
                <w:sz w:val="18"/>
                <w:szCs w:val="18"/>
              </w:rPr>
              <w:t>0,00 %</w:t>
            </w:r>
          </w:p>
        </w:tc>
        <w:tc>
          <w:tcPr>
            <w:tcW w:w="702" w:type="pct"/>
            <w:shd w:val="clear" w:color="000000" w:fill="FFFFFF"/>
            <w:noWrap/>
            <w:vAlign w:val="center"/>
            <w:hideMark/>
          </w:tcPr>
          <w:p w14:paraId="73BF8F53" w14:textId="77777777" w:rsidR="00BE3D51" w:rsidRPr="0087188A" w:rsidRDefault="00BE3D51" w:rsidP="003E4F88">
            <w:pPr>
              <w:spacing w:after="0"/>
              <w:jc w:val="center"/>
              <w:rPr>
                <w:rFonts w:cs="Segoe UI"/>
                <w:color w:val="000000"/>
                <w:sz w:val="18"/>
                <w:szCs w:val="18"/>
              </w:rPr>
            </w:pPr>
            <w:r w:rsidRPr="0087188A">
              <w:rPr>
                <w:rFonts w:cs="Segoe UI"/>
                <w:color w:val="000000"/>
                <w:sz w:val="18"/>
                <w:szCs w:val="18"/>
              </w:rPr>
              <w:t>0,00 %</w:t>
            </w:r>
          </w:p>
        </w:tc>
      </w:tr>
      <w:tr w:rsidR="00BE3D51" w:rsidRPr="00F61ED5" w14:paraId="32C5E61A" w14:textId="77777777" w:rsidTr="003E4F88">
        <w:trPr>
          <w:trHeight w:val="283"/>
        </w:trPr>
        <w:tc>
          <w:tcPr>
            <w:tcW w:w="1089" w:type="pct"/>
            <w:shd w:val="clear" w:color="000000" w:fill="FFFFFF"/>
            <w:noWrap/>
            <w:vAlign w:val="center"/>
            <w:hideMark/>
          </w:tcPr>
          <w:p w14:paraId="381515D7" w14:textId="77777777" w:rsidR="00BE3D51" w:rsidRPr="0087188A" w:rsidRDefault="00BE3D51" w:rsidP="003E4F88">
            <w:pPr>
              <w:spacing w:after="0"/>
              <w:jc w:val="left"/>
              <w:rPr>
                <w:rFonts w:cs="Segoe UI"/>
                <w:color w:val="000000"/>
                <w:sz w:val="18"/>
                <w:szCs w:val="18"/>
              </w:rPr>
            </w:pPr>
            <w:r w:rsidRPr="0087188A">
              <w:rPr>
                <w:rFonts w:cs="Segoe UI"/>
                <w:color w:val="000000"/>
                <w:sz w:val="18"/>
                <w:szCs w:val="18"/>
              </w:rPr>
              <w:t>MH SR</w:t>
            </w:r>
          </w:p>
        </w:tc>
        <w:tc>
          <w:tcPr>
            <w:tcW w:w="665" w:type="pct"/>
            <w:shd w:val="clear" w:color="000000" w:fill="FFFFFF"/>
            <w:noWrap/>
            <w:vAlign w:val="center"/>
            <w:hideMark/>
          </w:tcPr>
          <w:p w14:paraId="1BF3A47C" w14:textId="77777777" w:rsidR="00BE3D51" w:rsidRPr="0087188A" w:rsidRDefault="00BE3D51" w:rsidP="003E4F88">
            <w:pPr>
              <w:spacing w:after="0"/>
              <w:ind w:right="245"/>
              <w:jc w:val="right"/>
              <w:rPr>
                <w:rFonts w:cs="Segoe UI"/>
                <w:color w:val="000000"/>
                <w:sz w:val="18"/>
                <w:szCs w:val="18"/>
              </w:rPr>
            </w:pPr>
            <w:r w:rsidRPr="0087188A">
              <w:rPr>
                <w:rFonts w:cs="Segoe UI"/>
                <w:color w:val="000000"/>
                <w:sz w:val="18"/>
                <w:szCs w:val="18"/>
              </w:rPr>
              <w:t>626,9</w:t>
            </w:r>
          </w:p>
        </w:tc>
        <w:tc>
          <w:tcPr>
            <w:tcW w:w="877" w:type="pct"/>
            <w:shd w:val="clear" w:color="000000" w:fill="FFFFFF"/>
            <w:noWrap/>
            <w:vAlign w:val="center"/>
            <w:hideMark/>
          </w:tcPr>
          <w:p w14:paraId="6CF9F88B" w14:textId="77777777" w:rsidR="00BE3D51" w:rsidRPr="0087188A" w:rsidRDefault="00BE3D51" w:rsidP="003E4F88">
            <w:pPr>
              <w:spacing w:after="0"/>
              <w:ind w:right="457"/>
              <w:jc w:val="right"/>
              <w:rPr>
                <w:rFonts w:cs="Segoe UI"/>
                <w:color w:val="000000"/>
                <w:sz w:val="18"/>
                <w:szCs w:val="18"/>
              </w:rPr>
            </w:pPr>
            <w:r w:rsidRPr="0087188A">
              <w:rPr>
                <w:rFonts w:cs="Segoe UI"/>
                <w:color w:val="000000"/>
                <w:sz w:val="18"/>
                <w:szCs w:val="18"/>
              </w:rPr>
              <w:t>115,1</w:t>
            </w:r>
          </w:p>
        </w:tc>
        <w:tc>
          <w:tcPr>
            <w:tcW w:w="790" w:type="pct"/>
            <w:shd w:val="clear" w:color="000000" w:fill="FFFFFF"/>
            <w:noWrap/>
            <w:vAlign w:val="center"/>
            <w:hideMark/>
          </w:tcPr>
          <w:p w14:paraId="4CC0E1FC" w14:textId="77777777" w:rsidR="00BE3D51" w:rsidRPr="0087188A" w:rsidRDefault="00BE3D51" w:rsidP="003E4F88">
            <w:pPr>
              <w:spacing w:after="0"/>
              <w:ind w:right="465"/>
              <w:jc w:val="right"/>
              <w:rPr>
                <w:rFonts w:cs="Segoe UI"/>
                <w:color w:val="000000"/>
                <w:sz w:val="18"/>
                <w:szCs w:val="18"/>
              </w:rPr>
            </w:pPr>
            <w:r w:rsidRPr="0087188A">
              <w:rPr>
                <w:rFonts w:cs="Segoe UI"/>
                <w:color w:val="000000"/>
                <w:sz w:val="18"/>
                <w:szCs w:val="18"/>
              </w:rPr>
              <w:t>0,0</w:t>
            </w:r>
          </w:p>
        </w:tc>
        <w:tc>
          <w:tcPr>
            <w:tcW w:w="877" w:type="pct"/>
            <w:shd w:val="clear" w:color="000000" w:fill="FFFFFF"/>
            <w:noWrap/>
            <w:vAlign w:val="center"/>
            <w:hideMark/>
          </w:tcPr>
          <w:p w14:paraId="1EAA5332" w14:textId="77777777" w:rsidR="00BE3D51" w:rsidRPr="0087188A" w:rsidRDefault="00BE3D51" w:rsidP="003E4F88">
            <w:pPr>
              <w:spacing w:after="0"/>
              <w:jc w:val="center"/>
              <w:rPr>
                <w:rFonts w:cs="Segoe UI"/>
                <w:color w:val="000000"/>
                <w:sz w:val="18"/>
                <w:szCs w:val="18"/>
              </w:rPr>
            </w:pPr>
            <w:r w:rsidRPr="0087188A">
              <w:rPr>
                <w:rFonts w:cs="Segoe UI"/>
                <w:color w:val="000000"/>
                <w:sz w:val="18"/>
                <w:szCs w:val="18"/>
              </w:rPr>
              <w:t>0,00 %</w:t>
            </w:r>
          </w:p>
        </w:tc>
        <w:tc>
          <w:tcPr>
            <w:tcW w:w="702" w:type="pct"/>
            <w:shd w:val="clear" w:color="000000" w:fill="FFFFFF"/>
            <w:noWrap/>
            <w:vAlign w:val="center"/>
            <w:hideMark/>
          </w:tcPr>
          <w:p w14:paraId="0746660E" w14:textId="77777777" w:rsidR="00BE3D51" w:rsidRPr="0087188A" w:rsidRDefault="00BE3D51" w:rsidP="003E4F88">
            <w:pPr>
              <w:spacing w:after="0"/>
              <w:jc w:val="center"/>
              <w:rPr>
                <w:rFonts w:cs="Segoe UI"/>
                <w:color w:val="000000"/>
                <w:sz w:val="18"/>
                <w:szCs w:val="18"/>
              </w:rPr>
            </w:pPr>
            <w:r w:rsidRPr="0087188A">
              <w:rPr>
                <w:rFonts w:cs="Segoe UI"/>
                <w:color w:val="000000"/>
                <w:sz w:val="18"/>
                <w:szCs w:val="18"/>
              </w:rPr>
              <w:t>0,00 %</w:t>
            </w:r>
          </w:p>
        </w:tc>
      </w:tr>
      <w:tr w:rsidR="00BE3D51" w:rsidRPr="00F61ED5" w14:paraId="1BF8B8F3" w14:textId="77777777" w:rsidTr="003E4F88">
        <w:trPr>
          <w:trHeight w:val="283"/>
        </w:trPr>
        <w:tc>
          <w:tcPr>
            <w:tcW w:w="1089" w:type="pct"/>
            <w:shd w:val="clear" w:color="000000" w:fill="FFFFFF"/>
            <w:noWrap/>
            <w:vAlign w:val="center"/>
            <w:hideMark/>
          </w:tcPr>
          <w:p w14:paraId="6D194411" w14:textId="10A281AB" w:rsidR="00BE3D51" w:rsidRPr="0087188A" w:rsidRDefault="00BE3D51" w:rsidP="003E4F88">
            <w:pPr>
              <w:spacing w:after="0"/>
              <w:jc w:val="left"/>
              <w:rPr>
                <w:rFonts w:cs="Segoe UI"/>
                <w:color w:val="000000"/>
                <w:sz w:val="18"/>
                <w:szCs w:val="18"/>
              </w:rPr>
            </w:pPr>
            <w:r w:rsidRPr="0087188A">
              <w:rPr>
                <w:rFonts w:cs="Segoe UI"/>
                <w:color w:val="000000"/>
                <w:sz w:val="18"/>
                <w:szCs w:val="18"/>
              </w:rPr>
              <w:t>SIEA (MIRRI</w:t>
            </w:r>
            <w:r w:rsidR="0083753F">
              <w:rPr>
                <w:rFonts w:cs="Segoe UI"/>
                <w:color w:val="000000"/>
                <w:sz w:val="18"/>
                <w:szCs w:val="18"/>
              </w:rPr>
              <w:t xml:space="preserve"> SR</w:t>
            </w:r>
            <w:r w:rsidRPr="0087188A">
              <w:rPr>
                <w:rFonts w:cs="Segoe UI"/>
                <w:color w:val="000000"/>
                <w:sz w:val="18"/>
                <w:szCs w:val="18"/>
              </w:rPr>
              <w:t>)*</w:t>
            </w:r>
          </w:p>
        </w:tc>
        <w:tc>
          <w:tcPr>
            <w:tcW w:w="665" w:type="pct"/>
            <w:shd w:val="clear" w:color="000000" w:fill="FFFFFF"/>
            <w:noWrap/>
            <w:vAlign w:val="center"/>
            <w:hideMark/>
          </w:tcPr>
          <w:p w14:paraId="7D552B18" w14:textId="77777777" w:rsidR="00BE3D51" w:rsidRPr="0087188A" w:rsidRDefault="00BE3D51" w:rsidP="003E4F88">
            <w:pPr>
              <w:spacing w:after="0"/>
              <w:ind w:right="245"/>
              <w:jc w:val="right"/>
              <w:rPr>
                <w:rFonts w:cs="Segoe UI"/>
                <w:color w:val="000000"/>
                <w:sz w:val="18"/>
                <w:szCs w:val="18"/>
              </w:rPr>
            </w:pPr>
            <w:r w:rsidRPr="0087188A">
              <w:rPr>
                <w:rFonts w:cs="Segoe UI"/>
                <w:color w:val="000000"/>
                <w:sz w:val="18"/>
                <w:szCs w:val="18"/>
              </w:rPr>
              <w:t>902,2</w:t>
            </w:r>
          </w:p>
        </w:tc>
        <w:tc>
          <w:tcPr>
            <w:tcW w:w="877" w:type="pct"/>
            <w:shd w:val="clear" w:color="000000" w:fill="FFFFFF"/>
            <w:noWrap/>
            <w:vAlign w:val="center"/>
            <w:hideMark/>
          </w:tcPr>
          <w:p w14:paraId="47633FB7" w14:textId="77777777" w:rsidR="00BE3D51" w:rsidRPr="0087188A" w:rsidRDefault="00BE3D51" w:rsidP="003E4F88">
            <w:pPr>
              <w:spacing w:after="0"/>
              <w:ind w:right="457"/>
              <w:jc w:val="right"/>
              <w:rPr>
                <w:rFonts w:cs="Segoe UI"/>
                <w:color w:val="000000"/>
                <w:sz w:val="18"/>
                <w:szCs w:val="18"/>
              </w:rPr>
            </w:pPr>
            <w:r w:rsidRPr="0087188A">
              <w:rPr>
                <w:rFonts w:cs="Segoe UI"/>
                <w:color w:val="000000"/>
                <w:sz w:val="18"/>
                <w:szCs w:val="18"/>
              </w:rPr>
              <w:t>140,4</w:t>
            </w:r>
          </w:p>
        </w:tc>
        <w:tc>
          <w:tcPr>
            <w:tcW w:w="790" w:type="pct"/>
            <w:shd w:val="clear" w:color="000000" w:fill="FFFFFF"/>
            <w:noWrap/>
            <w:vAlign w:val="center"/>
            <w:hideMark/>
          </w:tcPr>
          <w:p w14:paraId="45901D08" w14:textId="77777777" w:rsidR="00BE3D51" w:rsidRPr="0087188A" w:rsidRDefault="00BE3D51" w:rsidP="003E4F88">
            <w:pPr>
              <w:spacing w:after="0"/>
              <w:ind w:right="465"/>
              <w:jc w:val="right"/>
              <w:rPr>
                <w:rFonts w:cs="Segoe UI"/>
                <w:color w:val="000000"/>
                <w:sz w:val="18"/>
                <w:szCs w:val="18"/>
              </w:rPr>
            </w:pPr>
            <w:r w:rsidRPr="0087188A">
              <w:rPr>
                <w:rFonts w:cs="Segoe UI"/>
                <w:color w:val="000000"/>
                <w:sz w:val="18"/>
                <w:szCs w:val="18"/>
              </w:rPr>
              <w:t>0,0</w:t>
            </w:r>
          </w:p>
        </w:tc>
        <w:tc>
          <w:tcPr>
            <w:tcW w:w="877" w:type="pct"/>
            <w:shd w:val="clear" w:color="000000" w:fill="FFFFFF"/>
            <w:noWrap/>
            <w:vAlign w:val="center"/>
            <w:hideMark/>
          </w:tcPr>
          <w:p w14:paraId="44B695AC" w14:textId="77777777" w:rsidR="00BE3D51" w:rsidRPr="0087188A" w:rsidRDefault="00BE3D51" w:rsidP="003E4F88">
            <w:pPr>
              <w:spacing w:after="0"/>
              <w:jc w:val="center"/>
              <w:rPr>
                <w:rFonts w:cs="Segoe UI"/>
                <w:color w:val="000000"/>
                <w:sz w:val="18"/>
                <w:szCs w:val="18"/>
              </w:rPr>
            </w:pPr>
            <w:r w:rsidRPr="0087188A">
              <w:rPr>
                <w:rFonts w:cs="Segoe UI"/>
                <w:color w:val="000000"/>
                <w:sz w:val="18"/>
                <w:szCs w:val="18"/>
              </w:rPr>
              <w:t>0,00 %</w:t>
            </w:r>
          </w:p>
        </w:tc>
        <w:tc>
          <w:tcPr>
            <w:tcW w:w="702" w:type="pct"/>
            <w:shd w:val="clear" w:color="000000" w:fill="FFFFFF"/>
            <w:noWrap/>
            <w:vAlign w:val="center"/>
            <w:hideMark/>
          </w:tcPr>
          <w:p w14:paraId="2B98B231" w14:textId="77777777" w:rsidR="00BE3D51" w:rsidRPr="0087188A" w:rsidRDefault="00BE3D51" w:rsidP="003E4F88">
            <w:pPr>
              <w:spacing w:after="0"/>
              <w:jc w:val="center"/>
              <w:rPr>
                <w:rFonts w:cs="Segoe UI"/>
                <w:color w:val="000000"/>
                <w:sz w:val="18"/>
                <w:szCs w:val="18"/>
              </w:rPr>
            </w:pPr>
            <w:r w:rsidRPr="0087188A">
              <w:rPr>
                <w:rFonts w:cs="Segoe UI"/>
                <w:color w:val="000000"/>
                <w:sz w:val="18"/>
                <w:szCs w:val="18"/>
              </w:rPr>
              <w:t>0,00 %</w:t>
            </w:r>
          </w:p>
        </w:tc>
      </w:tr>
      <w:tr w:rsidR="00BE3D51" w:rsidRPr="00F61ED5" w14:paraId="45C80E77" w14:textId="77777777" w:rsidTr="003E4F88">
        <w:trPr>
          <w:trHeight w:val="283"/>
        </w:trPr>
        <w:tc>
          <w:tcPr>
            <w:tcW w:w="1089" w:type="pct"/>
            <w:shd w:val="clear" w:color="000000" w:fill="FFFFFF"/>
            <w:noWrap/>
            <w:vAlign w:val="center"/>
            <w:hideMark/>
          </w:tcPr>
          <w:p w14:paraId="2FDC1021" w14:textId="77777777" w:rsidR="00BE3D51" w:rsidRPr="0087188A" w:rsidRDefault="00BE3D51" w:rsidP="003E4F88">
            <w:pPr>
              <w:spacing w:after="0"/>
              <w:jc w:val="left"/>
              <w:rPr>
                <w:rFonts w:cs="Segoe UI"/>
                <w:color w:val="000000"/>
                <w:sz w:val="18"/>
                <w:szCs w:val="18"/>
              </w:rPr>
            </w:pPr>
            <w:r w:rsidRPr="0087188A">
              <w:rPr>
                <w:rFonts w:cs="Segoe UI"/>
                <w:color w:val="000000"/>
                <w:sz w:val="18"/>
                <w:szCs w:val="18"/>
              </w:rPr>
              <w:t>MV SR</w:t>
            </w:r>
          </w:p>
        </w:tc>
        <w:tc>
          <w:tcPr>
            <w:tcW w:w="665" w:type="pct"/>
            <w:shd w:val="clear" w:color="000000" w:fill="FFFFFF"/>
            <w:noWrap/>
            <w:vAlign w:val="center"/>
            <w:hideMark/>
          </w:tcPr>
          <w:p w14:paraId="28639144" w14:textId="77777777" w:rsidR="00BE3D51" w:rsidRPr="0087188A" w:rsidRDefault="00BE3D51" w:rsidP="003E4F88">
            <w:pPr>
              <w:spacing w:after="0"/>
              <w:ind w:right="245"/>
              <w:jc w:val="right"/>
              <w:rPr>
                <w:rFonts w:cs="Segoe UI"/>
                <w:color w:val="000000"/>
                <w:sz w:val="18"/>
                <w:szCs w:val="18"/>
              </w:rPr>
            </w:pPr>
            <w:r w:rsidRPr="0087188A">
              <w:rPr>
                <w:rFonts w:cs="Segoe UI"/>
                <w:color w:val="000000"/>
                <w:sz w:val="18"/>
                <w:szCs w:val="18"/>
              </w:rPr>
              <w:t>107,4</w:t>
            </w:r>
          </w:p>
        </w:tc>
        <w:tc>
          <w:tcPr>
            <w:tcW w:w="877" w:type="pct"/>
            <w:shd w:val="clear" w:color="000000" w:fill="FFFFFF"/>
            <w:noWrap/>
            <w:vAlign w:val="center"/>
            <w:hideMark/>
          </w:tcPr>
          <w:p w14:paraId="0EC897ED" w14:textId="77777777" w:rsidR="00BE3D51" w:rsidRPr="0087188A" w:rsidRDefault="00BE3D51" w:rsidP="003E4F88">
            <w:pPr>
              <w:spacing w:after="0"/>
              <w:ind w:right="457"/>
              <w:jc w:val="right"/>
              <w:rPr>
                <w:rFonts w:cs="Segoe UI"/>
                <w:color w:val="000000"/>
                <w:sz w:val="18"/>
                <w:szCs w:val="18"/>
              </w:rPr>
            </w:pPr>
            <w:r w:rsidRPr="0087188A">
              <w:rPr>
                <w:rFonts w:cs="Segoe UI"/>
                <w:color w:val="000000"/>
                <w:sz w:val="18"/>
                <w:szCs w:val="18"/>
              </w:rPr>
              <w:t>14,2</w:t>
            </w:r>
          </w:p>
        </w:tc>
        <w:tc>
          <w:tcPr>
            <w:tcW w:w="790" w:type="pct"/>
            <w:shd w:val="clear" w:color="000000" w:fill="FFFFFF"/>
            <w:noWrap/>
            <w:vAlign w:val="center"/>
            <w:hideMark/>
          </w:tcPr>
          <w:p w14:paraId="407917BE" w14:textId="77777777" w:rsidR="00BE3D51" w:rsidRPr="0087188A" w:rsidRDefault="00BE3D51" w:rsidP="003E4F88">
            <w:pPr>
              <w:spacing w:after="0"/>
              <w:ind w:right="465"/>
              <w:jc w:val="right"/>
              <w:rPr>
                <w:rFonts w:cs="Segoe UI"/>
                <w:color w:val="000000"/>
                <w:sz w:val="18"/>
                <w:szCs w:val="18"/>
              </w:rPr>
            </w:pPr>
            <w:r w:rsidRPr="0087188A">
              <w:rPr>
                <w:rFonts w:cs="Segoe UI"/>
                <w:color w:val="000000"/>
                <w:sz w:val="18"/>
                <w:szCs w:val="18"/>
              </w:rPr>
              <w:t>0,0</w:t>
            </w:r>
          </w:p>
        </w:tc>
        <w:tc>
          <w:tcPr>
            <w:tcW w:w="877" w:type="pct"/>
            <w:shd w:val="clear" w:color="000000" w:fill="FFFFFF"/>
            <w:noWrap/>
            <w:vAlign w:val="center"/>
            <w:hideMark/>
          </w:tcPr>
          <w:p w14:paraId="0090BA28" w14:textId="77777777" w:rsidR="00BE3D51" w:rsidRPr="0087188A" w:rsidRDefault="00BE3D51" w:rsidP="003E4F88">
            <w:pPr>
              <w:spacing w:after="0"/>
              <w:jc w:val="center"/>
              <w:rPr>
                <w:rFonts w:cs="Segoe UI"/>
                <w:color w:val="000000"/>
                <w:sz w:val="18"/>
                <w:szCs w:val="18"/>
              </w:rPr>
            </w:pPr>
            <w:r w:rsidRPr="0087188A">
              <w:rPr>
                <w:rFonts w:cs="Segoe UI"/>
                <w:color w:val="000000"/>
                <w:sz w:val="18"/>
                <w:szCs w:val="18"/>
              </w:rPr>
              <w:t>0,00 %</w:t>
            </w:r>
          </w:p>
        </w:tc>
        <w:tc>
          <w:tcPr>
            <w:tcW w:w="702" w:type="pct"/>
            <w:shd w:val="clear" w:color="000000" w:fill="FFFFFF"/>
            <w:noWrap/>
            <w:vAlign w:val="center"/>
            <w:hideMark/>
          </w:tcPr>
          <w:p w14:paraId="4B4233BF" w14:textId="77777777" w:rsidR="00BE3D51" w:rsidRPr="0087188A" w:rsidRDefault="00BE3D51" w:rsidP="003E4F88">
            <w:pPr>
              <w:spacing w:after="0"/>
              <w:jc w:val="center"/>
              <w:rPr>
                <w:rFonts w:cs="Segoe UI"/>
                <w:color w:val="000000"/>
                <w:sz w:val="18"/>
                <w:szCs w:val="18"/>
              </w:rPr>
            </w:pPr>
            <w:r w:rsidRPr="0087188A">
              <w:rPr>
                <w:rFonts w:cs="Segoe UI"/>
                <w:color w:val="000000"/>
                <w:sz w:val="18"/>
                <w:szCs w:val="18"/>
              </w:rPr>
              <w:t>0,00 %</w:t>
            </w:r>
          </w:p>
        </w:tc>
      </w:tr>
      <w:tr w:rsidR="00BE3D51" w:rsidRPr="00F61ED5" w14:paraId="7ABF9776" w14:textId="77777777" w:rsidTr="003E4F88">
        <w:trPr>
          <w:trHeight w:val="283"/>
        </w:trPr>
        <w:tc>
          <w:tcPr>
            <w:tcW w:w="1089" w:type="pct"/>
            <w:shd w:val="clear" w:color="auto" w:fill="auto"/>
            <w:vAlign w:val="center"/>
            <w:hideMark/>
          </w:tcPr>
          <w:p w14:paraId="26DFB5A3" w14:textId="77777777" w:rsidR="00BE3D51" w:rsidRPr="0087188A" w:rsidRDefault="00BE3D51" w:rsidP="003E4F88">
            <w:pPr>
              <w:spacing w:after="0"/>
              <w:jc w:val="left"/>
              <w:rPr>
                <w:rFonts w:cs="Segoe UI"/>
                <w:b/>
                <w:bCs/>
                <w:sz w:val="18"/>
                <w:szCs w:val="18"/>
              </w:rPr>
            </w:pPr>
            <w:r w:rsidRPr="0087188A">
              <w:rPr>
                <w:rFonts w:cs="Segoe UI"/>
                <w:b/>
                <w:bCs/>
                <w:sz w:val="18"/>
                <w:szCs w:val="18"/>
              </w:rPr>
              <w:t>Celkom PSK</w:t>
            </w:r>
          </w:p>
        </w:tc>
        <w:tc>
          <w:tcPr>
            <w:tcW w:w="665" w:type="pct"/>
            <w:shd w:val="clear" w:color="auto" w:fill="auto"/>
            <w:vAlign w:val="center"/>
            <w:hideMark/>
          </w:tcPr>
          <w:p w14:paraId="6F47EFD9" w14:textId="77777777" w:rsidR="00BE3D51" w:rsidRPr="0087188A" w:rsidRDefault="00BE3D51" w:rsidP="003E4F88">
            <w:pPr>
              <w:spacing w:after="0"/>
              <w:ind w:right="245"/>
              <w:jc w:val="right"/>
              <w:rPr>
                <w:rFonts w:cs="Segoe UI"/>
                <w:b/>
                <w:bCs/>
                <w:sz w:val="18"/>
                <w:szCs w:val="18"/>
              </w:rPr>
            </w:pPr>
            <w:r w:rsidRPr="0087188A">
              <w:rPr>
                <w:rFonts w:cs="Segoe UI"/>
                <w:b/>
                <w:bCs/>
                <w:sz w:val="18"/>
                <w:szCs w:val="18"/>
              </w:rPr>
              <w:t>12 593,7</w:t>
            </w:r>
          </w:p>
        </w:tc>
        <w:tc>
          <w:tcPr>
            <w:tcW w:w="877" w:type="pct"/>
            <w:shd w:val="clear" w:color="auto" w:fill="auto"/>
            <w:vAlign w:val="center"/>
            <w:hideMark/>
          </w:tcPr>
          <w:p w14:paraId="35C95C88" w14:textId="77777777" w:rsidR="00BE3D51" w:rsidRPr="0087188A" w:rsidRDefault="00BE3D51" w:rsidP="003E4F88">
            <w:pPr>
              <w:spacing w:after="0"/>
              <w:ind w:right="457"/>
              <w:jc w:val="right"/>
              <w:rPr>
                <w:rFonts w:cs="Segoe UI"/>
                <w:b/>
                <w:bCs/>
                <w:sz w:val="18"/>
                <w:szCs w:val="18"/>
              </w:rPr>
            </w:pPr>
            <w:r w:rsidRPr="0087188A">
              <w:rPr>
                <w:rFonts w:cs="Segoe UI"/>
                <w:b/>
                <w:bCs/>
                <w:sz w:val="18"/>
                <w:szCs w:val="18"/>
              </w:rPr>
              <w:t>2 041,1</w:t>
            </w:r>
          </w:p>
        </w:tc>
        <w:tc>
          <w:tcPr>
            <w:tcW w:w="790" w:type="pct"/>
            <w:shd w:val="clear" w:color="auto" w:fill="auto"/>
            <w:vAlign w:val="center"/>
            <w:hideMark/>
          </w:tcPr>
          <w:p w14:paraId="08EF9B43" w14:textId="77777777" w:rsidR="00BE3D51" w:rsidRPr="0087188A" w:rsidRDefault="00BE3D51" w:rsidP="003E4F88">
            <w:pPr>
              <w:spacing w:after="0"/>
              <w:ind w:right="465"/>
              <w:jc w:val="right"/>
              <w:rPr>
                <w:rFonts w:cs="Segoe UI"/>
                <w:b/>
                <w:bCs/>
                <w:sz w:val="18"/>
                <w:szCs w:val="18"/>
              </w:rPr>
            </w:pPr>
            <w:r w:rsidRPr="0087188A">
              <w:rPr>
                <w:rFonts w:cs="Segoe UI"/>
                <w:b/>
                <w:bCs/>
                <w:sz w:val="18"/>
                <w:szCs w:val="18"/>
              </w:rPr>
              <w:t>144,7</w:t>
            </w:r>
          </w:p>
        </w:tc>
        <w:tc>
          <w:tcPr>
            <w:tcW w:w="877" w:type="pct"/>
            <w:shd w:val="clear" w:color="auto" w:fill="auto"/>
            <w:vAlign w:val="center"/>
            <w:hideMark/>
          </w:tcPr>
          <w:p w14:paraId="6B240240" w14:textId="77777777" w:rsidR="00BE3D51" w:rsidRPr="0087188A" w:rsidRDefault="00BE3D51" w:rsidP="003E4F88">
            <w:pPr>
              <w:spacing w:after="0"/>
              <w:jc w:val="center"/>
              <w:rPr>
                <w:rFonts w:cs="Segoe UI"/>
                <w:b/>
                <w:bCs/>
                <w:sz w:val="18"/>
                <w:szCs w:val="18"/>
              </w:rPr>
            </w:pPr>
            <w:r w:rsidRPr="0087188A">
              <w:rPr>
                <w:rFonts w:cs="Segoe UI"/>
                <w:b/>
                <w:bCs/>
                <w:sz w:val="18"/>
                <w:szCs w:val="18"/>
              </w:rPr>
              <w:t>7,09%</w:t>
            </w:r>
          </w:p>
        </w:tc>
        <w:tc>
          <w:tcPr>
            <w:tcW w:w="702" w:type="pct"/>
            <w:shd w:val="clear" w:color="auto" w:fill="auto"/>
            <w:vAlign w:val="center"/>
            <w:hideMark/>
          </w:tcPr>
          <w:p w14:paraId="5F7731D5" w14:textId="77777777" w:rsidR="00BE3D51" w:rsidRPr="0087188A" w:rsidRDefault="00BE3D51" w:rsidP="003E4F88">
            <w:pPr>
              <w:spacing w:after="0"/>
              <w:jc w:val="center"/>
              <w:rPr>
                <w:rFonts w:cs="Segoe UI"/>
                <w:b/>
                <w:bCs/>
                <w:sz w:val="18"/>
                <w:szCs w:val="18"/>
              </w:rPr>
            </w:pPr>
            <w:r w:rsidRPr="0087188A">
              <w:rPr>
                <w:rFonts w:cs="Segoe UI"/>
                <w:b/>
                <w:bCs/>
                <w:sz w:val="18"/>
                <w:szCs w:val="18"/>
              </w:rPr>
              <w:t>1,15%</w:t>
            </w:r>
          </w:p>
        </w:tc>
      </w:tr>
    </w:tbl>
    <w:p w14:paraId="232276F7" w14:textId="2E2F2695" w:rsidR="00BE3D51" w:rsidRPr="002E4005" w:rsidRDefault="00BE3D51" w:rsidP="00BE3D51">
      <w:pPr>
        <w:pStyle w:val="Zdroj"/>
        <w:rPr>
          <w:rFonts w:cs="Segoe UI"/>
          <w:szCs w:val="16"/>
        </w:rPr>
      </w:pPr>
      <w:r w:rsidRPr="002E4005">
        <w:rPr>
          <w:rFonts w:cs="Segoe UI"/>
          <w:szCs w:val="16"/>
        </w:rPr>
        <w:t>Zdroj: PO (MF SR)</w:t>
      </w:r>
      <w:r w:rsidR="00775C02">
        <w:rPr>
          <w:rFonts w:cs="Segoe UI"/>
          <w:szCs w:val="16"/>
        </w:rPr>
        <w:t>.</w:t>
      </w:r>
      <w:r w:rsidRPr="002E4005">
        <w:rPr>
          <w:rFonts w:cs="Segoe UI"/>
          <w:szCs w:val="16"/>
        </w:rPr>
        <w:t xml:space="preserve"> Plán čerpania </w:t>
      </w:r>
      <w:r w:rsidR="009B2F5D">
        <w:rPr>
          <w:rFonts w:cs="Segoe UI"/>
          <w:szCs w:val="16"/>
        </w:rPr>
        <w:t>–</w:t>
      </w:r>
      <w:r>
        <w:rPr>
          <w:rFonts w:cs="Segoe UI"/>
          <w:szCs w:val="16"/>
        </w:rPr>
        <w:t xml:space="preserve"> </w:t>
      </w:r>
      <w:r w:rsidRPr="002E4005">
        <w:rPr>
          <w:rFonts w:cs="Segoe UI"/>
          <w:szCs w:val="16"/>
        </w:rPr>
        <w:t>MIRRI</w:t>
      </w:r>
      <w:r w:rsidR="009B2F5D">
        <w:rPr>
          <w:rFonts w:cs="Segoe UI"/>
          <w:szCs w:val="16"/>
        </w:rPr>
        <w:t xml:space="preserve"> SR</w:t>
      </w:r>
      <w:r w:rsidRPr="002E4005">
        <w:rPr>
          <w:rFonts w:cs="Segoe UI"/>
          <w:szCs w:val="16"/>
        </w:rPr>
        <w:t xml:space="preserve"> </w:t>
      </w:r>
      <w:r w:rsidR="00775C02">
        <w:rPr>
          <w:rFonts w:cs="Segoe UI"/>
          <w:szCs w:val="16"/>
        </w:rPr>
        <w:t>[</w:t>
      </w:r>
      <w:hyperlink r:id="rId31" w:history="1">
        <w:r w:rsidRPr="004B4FDE">
          <w:rPr>
            <w:rFonts w:cs="Segoe UI"/>
            <w:color w:val="000000" w:themeColor="text1"/>
            <w:szCs w:val="16"/>
          </w:rPr>
          <w:t>online</w:t>
        </w:r>
      </w:hyperlink>
      <w:r w:rsidR="00775C02">
        <w:rPr>
          <w:rFonts w:cs="Segoe UI"/>
          <w:color w:val="000000" w:themeColor="text1"/>
          <w:szCs w:val="16"/>
        </w:rPr>
        <w:t>].</w:t>
      </w:r>
      <w:r w:rsidRPr="004B4FDE">
        <w:rPr>
          <w:rFonts w:cs="Segoe UI"/>
          <w:color w:val="000000" w:themeColor="text1"/>
          <w:szCs w:val="16"/>
        </w:rPr>
        <w:t xml:space="preserve"> </w:t>
      </w:r>
      <w:r>
        <w:rPr>
          <w:rFonts w:cs="Segoe UI"/>
          <w:szCs w:val="16"/>
        </w:rPr>
        <w:br/>
      </w:r>
      <w:r w:rsidRPr="002E4005">
        <w:rPr>
          <w:rFonts w:cs="Segoe UI"/>
          <w:szCs w:val="16"/>
        </w:rPr>
        <w:t xml:space="preserve">* </w:t>
      </w:r>
      <w:r w:rsidR="00362D45">
        <w:rPr>
          <w:rFonts w:cs="Segoe UI"/>
          <w:szCs w:val="16"/>
        </w:rPr>
        <w:t>V</w:t>
      </w:r>
      <w:r w:rsidRPr="002E4005">
        <w:rPr>
          <w:rFonts w:cs="Segoe UI"/>
          <w:szCs w:val="16"/>
        </w:rPr>
        <w:t xml:space="preserve"> zátvorke je uvedený orgán, z rozpočtu ktorého sú realizované výdavky</w:t>
      </w:r>
      <w:r w:rsidR="00775C02">
        <w:rPr>
          <w:rFonts w:cs="Segoe UI"/>
          <w:szCs w:val="16"/>
        </w:rPr>
        <w:t>.</w:t>
      </w:r>
      <w:r>
        <w:rPr>
          <w:rFonts w:cs="Segoe UI"/>
          <w:szCs w:val="16"/>
        </w:rPr>
        <w:br/>
      </w:r>
      <w:r w:rsidRPr="002E4005">
        <w:rPr>
          <w:rFonts w:cs="Segoe UI"/>
          <w:szCs w:val="16"/>
        </w:rPr>
        <w:t xml:space="preserve">** V zmysle prílohy č. 1 </w:t>
      </w:r>
      <w:r w:rsidR="00775C02">
        <w:rPr>
          <w:rFonts w:cs="Segoe UI"/>
          <w:szCs w:val="16"/>
        </w:rPr>
        <w:t>z</w:t>
      </w:r>
      <w:r w:rsidRPr="002E4005">
        <w:rPr>
          <w:rFonts w:cs="Segoe UI"/>
          <w:szCs w:val="16"/>
        </w:rPr>
        <w:t>mluvy o poverení medzi RO (MIRRI</w:t>
      </w:r>
      <w:r w:rsidR="0083753F">
        <w:rPr>
          <w:rFonts w:cs="Segoe UI"/>
          <w:szCs w:val="16"/>
        </w:rPr>
        <w:t xml:space="preserve"> SR</w:t>
      </w:r>
      <w:r w:rsidRPr="002E4005">
        <w:rPr>
          <w:rFonts w:cs="Segoe UI"/>
          <w:szCs w:val="16"/>
        </w:rPr>
        <w:t xml:space="preserve">) a príslušným </w:t>
      </w:r>
      <w:r w:rsidR="004B6804">
        <w:rPr>
          <w:rFonts w:cs="Segoe UI"/>
          <w:szCs w:val="16"/>
        </w:rPr>
        <w:t>sprostredkovateľským orgánom</w:t>
      </w:r>
      <w:r w:rsidR="00775C02">
        <w:rPr>
          <w:rFonts w:cs="Segoe UI"/>
          <w:szCs w:val="16"/>
        </w:rPr>
        <w:t>.</w:t>
      </w:r>
      <w:r>
        <w:rPr>
          <w:rFonts w:cs="Segoe UI"/>
          <w:szCs w:val="16"/>
        </w:rPr>
        <w:br/>
      </w:r>
      <w:r w:rsidRPr="002E4005">
        <w:rPr>
          <w:rFonts w:cs="Segoe UI"/>
          <w:szCs w:val="16"/>
        </w:rPr>
        <w:t xml:space="preserve">*** Ide o schválené výdavky v rámci SŽP z úrovne </w:t>
      </w:r>
      <w:r>
        <w:rPr>
          <w:rFonts w:cs="Segoe UI"/>
          <w:szCs w:val="16"/>
        </w:rPr>
        <w:t>PO</w:t>
      </w:r>
      <w:r w:rsidRPr="002E4005">
        <w:rPr>
          <w:rFonts w:cs="Segoe UI"/>
          <w:szCs w:val="16"/>
        </w:rPr>
        <w:t xml:space="preserve"> (MF SR)</w:t>
      </w:r>
      <w:r w:rsidR="00775C02">
        <w:rPr>
          <w:rFonts w:cs="Segoe UI"/>
          <w:szCs w:val="16"/>
        </w:rPr>
        <w:t>.</w:t>
      </w:r>
    </w:p>
    <w:p w14:paraId="3078E840" w14:textId="77777777" w:rsidR="00D277E1" w:rsidRPr="006C54B2" w:rsidRDefault="00D277E1" w:rsidP="00D277E1">
      <w:pPr>
        <w:rPr>
          <w:rFonts w:cs="Segoe UI"/>
          <w:szCs w:val="20"/>
        </w:rPr>
      </w:pPr>
      <w:r w:rsidRPr="006C54B2">
        <w:rPr>
          <w:rFonts w:cs="Segoe UI"/>
          <w:b/>
          <w:szCs w:val="20"/>
        </w:rPr>
        <w:t>Dosiahnutie plánu bude ohrozené v prípade MŽP SR</w:t>
      </w:r>
      <w:r w:rsidRPr="00032CD9">
        <w:rPr>
          <w:rStyle w:val="Odkaznapoznmkupodiarou"/>
          <w:rFonts w:cs="Segoe UI"/>
          <w:szCs w:val="20"/>
        </w:rPr>
        <w:footnoteReference w:id="57"/>
      </w:r>
      <w:r w:rsidRPr="00032CD9">
        <w:rPr>
          <w:rFonts w:cs="Segoe UI"/>
          <w:szCs w:val="20"/>
        </w:rPr>
        <w:t xml:space="preserve"> </w:t>
      </w:r>
      <w:r w:rsidRPr="006C54B2">
        <w:rPr>
          <w:rFonts w:cs="Segoe UI"/>
          <w:b/>
          <w:szCs w:val="20"/>
        </w:rPr>
        <w:t>a MH SR</w:t>
      </w:r>
      <w:r w:rsidRPr="00032CD9">
        <w:rPr>
          <w:rStyle w:val="Odkaznapoznmkupodiarou"/>
          <w:rFonts w:cs="Segoe UI"/>
          <w:szCs w:val="20"/>
        </w:rPr>
        <w:footnoteReference w:id="58"/>
      </w:r>
      <w:r w:rsidRPr="006C54B2">
        <w:rPr>
          <w:rFonts w:cs="Segoe UI"/>
          <w:b/>
          <w:szCs w:val="20"/>
        </w:rPr>
        <w:t xml:space="preserve">, ktoré ku koncu 3. kvartálu 2024 ešte nerealizovali žiadne čerpanie prostriedkov v súvislosti s plnením </w:t>
      </w:r>
      <w:r>
        <w:rPr>
          <w:rFonts w:cs="Segoe UI"/>
          <w:b/>
          <w:szCs w:val="20"/>
        </w:rPr>
        <w:t>prvého</w:t>
      </w:r>
      <w:r w:rsidRPr="006C54B2">
        <w:rPr>
          <w:rFonts w:cs="Segoe UI"/>
          <w:b/>
          <w:szCs w:val="20"/>
        </w:rPr>
        <w:t xml:space="preserve"> finančného míľnika </w:t>
      </w:r>
      <w:r w:rsidRPr="006C54B2">
        <w:rPr>
          <w:rFonts w:cs="Segoe UI"/>
          <w:b/>
          <w:szCs w:val="20"/>
        </w:rPr>
        <w:lastRenderedPageBreak/>
        <w:t>za rok 2022.</w:t>
      </w:r>
      <w:r w:rsidRPr="006C54B2">
        <w:rPr>
          <w:rFonts w:cs="Segoe UI"/>
          <w:szCs w:val="20"/>
        </w:rPr>
        <w:t xml:space="preserve"> </w:t>
      </w:r>
      <w:r>
        <w:rPr>
          <w:rFonts w:cs="Segoe UI"/>
          <w:szCs w:val="20"/>
        </w:rPr>
        <w:t>A to aj napriek tomu, že r</w:t>
      </w:r>
      <w:r w:rsidRPr="006C54B2">
        <w:rPr>
          <w:rFonts w:cs="Segoe UI"/>
          <w:szCs w:val="20"/>
        </w:rPr>
        <w:t>ozpísané výdavky rezortov za zdroje EÚ v rozpočte za rok 2025</w:t>
      </w:r>
      <w:r w:rsidRPr="006C54B2">
        <w:rPr>
          <w:rStyle w:val="Odkaznapoznmkupodiarou"/>
          <w:rFonts w:cs="Segoe UI"/>
          <w:szCs w:val="20"/>
        </w:rPr>
        <w:footnoteReference w:id="59"/>
      </w:r>
      <w:r w:rsidRPr="006C54B2">
        <w:rPr>
          <w:rFonts w:cs="Segoe UI"/>
          <w:szCs w:val="20"/>
        </w:rPr>
        <w:t xml:space="preserve"> počítajú s potrebou dynamizácie čerpania v súvislosti s plnením plánov čerpania do roku 2025</w:t>
      </w:r>
      <w:r>
        <w:rPr>
          <w:rFonts w:cs="Segoe UI"/>
          <w:szCs w:val="20"/>
        </w:rPr>
        <w:t>.</w:t>
      </w:r>
    </w:p>
    <w:p w14:paraId="2972AF5A" w14:textId="12D8F503" w:rsidR="00D277E1" w:rsidRPr="00D133BC" w:rsidRDefault="00D277E1" w:rsidP="00D277E1">
      <w:pPr>
        <w:rPr>
          <w:rFonts w:cs="Segoe UI"/>
          <w:szCs w:val="20"/>
        </w:rPr>
      </w:pPr>
      <w:r w:rsidRPr="00B07042">
        <w:rPr>
          <w:rFonts w:cs="Segoe UI"/>
          <w:b/>
          <w:szCs w:val="20"/>
        </w:rPr>
        <w:t xml:space="preserve">NKÚ SR odporúča, aby riadiaci orgán </w:t>
      </w:r>
      <w:r w:rsidRPr="00B07042">
        <w:rPr>
          <w:rFonts w:cs="Segoe UI"/>
          <w:szCs w:val="20"/>
        </w:rPr>
        <w:t>(MIRRI SR)</w:t>
      </w:r>
      <w:r w:rsidRPr="00B07042">
        <w:rPr>
          <w:rFonts w:cs="Segoe UI"/>
          <w:b/>
          <w:szCs w:val="20"/>
        </w:rPr>
        <w:t xml:space="preserve"> vyvinul maximálne úsilie </w:t>
      </w:r>
      <w:r w:rsidR="00897AFC">
        <w:rPr>
          <w:rFonts w:cs="Segoe UI"/>
          <w:b/>
          <w:szCs w:val="20"/>
        </w:rPr>
        <w:t xml:space="preserve">na </w:t>
      </w:r>
      <w:r w:rsidRPr="00B07042">
        <w:rPr>
          <w:rFonts w:cs="Segoe UI"/>
          <w:b/>
          <w:szCs w:val="20"/>
        </w:rPr>
        <w:t>využi</w:t>
      </w:r>
      <w:r w:rsidR="00897AFC">
        <w:rPr>
          <w:rFonts w:cs="Segoe UI"/>
          <w:b/>
          <w:szCs w:val="20"/>
        </w:rPr>
        <w:t>tie</w:t>
      </w:r>
      <w:r w:rsidRPr="00B07042">
        <w:rPr>
          <w:rFonts w:cs="Segoe UI"/>
          <w:b/>
          <w:szCs w:val="20"/>
        </w:rPr>
        <w:t xml:space="preserve"> potenciál</w:t>
      </w:r>
      <w:r w:rsidR="00897AFC">
        <w:rPr>
          <w:rFonts w:cs="Segoe UI"/>
          <w:b/>
          <w:szCs w:val="20"/>
        </w:rPr>
        <w:t>u</w:t>
      </w:r>
      <w:r w:rsidRPr="00B07042">
        <w:rPr>
          <w:rFonts w:cs="Segoe UI"/>
          <w:b/>
          <w:szCs w:val="20"/>
        </w:rPr>
        <w:t xml:space="preserve"> PSK a</w:t>
      </w:r>
      <w:r w:rsidR="00C5012A">
        <w:rPr>
          <w:rFonts w:cs="Segoe UI"/>
          <w:b/>
          <w:szCs w:val="20"/>
        </w:rPr>
        <w:t xml:space="preserve"> zabezpečil </w:t>
      </w:r>
      <w:r w:rsidRPr="00B07042">
        <w:rPr>
          <w:rFonts w:cs="Segoe UI"/>
          <w:b/>
          <w:szCs w:val="20"/>
        </w:rPr>
        <w:t>vyčerpa</w:t>
      </w:r>
      <w:r w:rsidR="00C5012A">
        <w:rPr>
          <w:rFonts w:cs="Segoe UI"/>
          <w:b/>
          <w:szCs w:val="20"/>
        </w:rPr>
        <w:t>nie</w:t>
      </w:r>
      <w:r w:rsidRPr="00B07042">
        <w:rPr>
          <w:rFonts w:cs="Segoe UI"/>
          <w:b/>
          <w:szCs w:val="20"/>
        </w:rPr>
        <w:t xml:space="preserve"> cel</w:t>
      </w:r>
      <w:r w:rsidR="00C5012A">
        <w:rPr>
          <w:rFonts w:cs="Segoe UI"/>
          <w:b/>
          <w:szCs w:val="20"/>
        </w:rPr>
        <w:t>ej</w:t>
      </w:r>
      <w:r w:rsidRPr="00B07042">
        <w:rPr>
          <w:rFonts w:cs="Segoe UI"/>
          <w:b/>
          <w:szCs w:val="20"/>
        </w:rPr>
        <w:t xml:space="preserve"> alokáci</w:t>
      </w:r>
      <w:r w:rsidR="00C5012A">
        <w:rPr>
          <w:rFonts w:cs="Segoe UI"/>
          <w:b/>
          <w:szCs w:val="20"/>
        </w:rPr>
        <w:t>e</w:t>
      </w:r>
      <w:r w:rsidRPr="00B07042">
        <w:rPr>
          <w:rFonts w:cs="Segoe UI"/>
          <w:b/>
          <w:szCs w:val="20"/>
        </w:rPr>
        <w:t xml:space="preserve"> pridelených prostriedkov </w:t>
      </w:r>
      <w:r w:rsidRPr="00B07042">
        <w:rPr>
          <w:rFonts w:cs="Segoe UI"/>
          <w:szCs w:val="20"/>
        </w:rPr>
        <w:t>(12,6 mld. eur)</w:t>
      </w:r>
      <w:r w:rsidRPr="00B07042">
        <w:rPr>
          <w:rFonts w:cs="Segoe UI"/>
          <w:b/>
          <w:szCs w:val="20"/>
        </w:rPr>
        <w:t xml:space="preserve"> na podporu rozvoja Slovenska a vyrovnávanie regionálnych rozdielov.</w:t>
      </w:r>
      <w:r>
        <w:rPr>
          <w:rFonts w:cs="Segoe UI"/>
          <w:szCs w:val="20"/>
        </w:rPr>
        <w:t xml:space="preserve"> Tieto </w:t>
      </w:r>
      <w:r w:rsidRPr="00B07042">
        <w:rPr>
          <w:rFonts w:cs="Segoe UI"/>
          <w:szCs w:val="20"/>
        </w:rPr>
        <w:t>EÚ zdroje nespadajú pod LVV</w:t>
      </w:r>
      <w:r>
        <w:rPr>
          <w:rFonts w:cs="Segoe UI"/>
          <w:szCs w:val="20"/>
        </w:rPr>
        <w:t xml:space="preserve"> a</w:t>
      </w:r>
      <w:r w:rsidRPr="00B07042">
        <w:rPr>
          <w:rFonts w:cs="Segoe UI"/>
          <w:szCs w:val="20"/>
        </w:rPr>
        <w:t xml:space="preserve"> predstavujú ďalšiu významnú príležitosť na podporu rastu bez obmedzenia výdavkov.</w:t>
      </w:r>
      <w:r w:rsidRPr="006C54B2">
        <w:rPr>
          <w:rFonts w:cs="Segoe UI"/>
          <w:szCs w:val="20"/>
        </w:rPr>
        <w:t xml:space="preserve"> </w:t>
      </w:r>
    </w:p>
    <w:p w14:paraId="7C3AA730" w14:textId="3A343270" w:rsidR="00BE3D51" w:rsidRPr="009A6463" w:rsidRDefault="008B0167" w:rsidP="00BE3D51">
      <w:pPr>
        <w:rPr>
          <w:rFonts w:cs="Segoe UI"/>
          <w:szCs w:val="20"/>
        </w:rPr>
      </w:pPr>
      <w:r w:rsidRPr="008B0167">
        <w:rPr>
          <w:rFonts w:cs="Segoe UI"/>
          <w:b/>
          <w:szCs w:val="20"/>
        </w:rPr>
        <w:t xml:space="preserve">Pri pretrvávaní nedostatočnej pripravenosti územia v regiónoch hrozí riziko brzdenia implementácie PSK, čo </w:t>
      </w:r>
      <w:r w:rsidR="004C5C0F">
        <w:rPr>
          <w:rFonts w:cs="Segoe UI"/>
          <w:b/>
          <w:szCs w:val="20"/>
        </w:rPr>
        <w:t>môže viesť k prepadnutiu</w:t>
      </w:r>
      <w:r w:rsidRPr="008B0167">
        <w:rPr>
          <w:rFonts w:cs="Segoe UI"/>
          <w:b/>
          <w:szCs w:val="20"/>
        </w:rPr>
        <w:t xml:space="preserve"> časti alokácie.</w:t>
      </w:r>
      <w:r>
        <w:rPr>
          <w:rFonts w:cs="Segoe UI"/>
          <w:b/>
          <w:szCs w:val="20"/>
        </w:rPr>
        <w:t xml:space="preserve"> </w:t>
      </w:r>
      <w:r w:rsidR="00BE3D51" w:rsidRPr="009A6463">
        <w:rPr>
          <w:rFonts w:cs="Segoe UI"/>
          <w:szCs w:val="20"/>
        </w:rPr>
        <w:t>Na základe poslednej úpravy PSK regióny v</w:t>
      </w:r>
      <w:r w:rsidR="004B6804">
        <w:rPr>
          <w:rFonts w:cs="Segoe UI"/>
          <w:szCs w:val="20"/>
        </w:rPr>
        <w:t> </w:t>
      </w:r>
      <w:r w:rsidR="00BE3D51" w:rsidRPr="009A6463">
        <w:rPr>
          <w:rFonts w:cs="Segoe UI"/>
          <w:szCs w:val="20"/>
        </w:rPr>
        <w:t>rámci</w:t>
      </w:r>
      <w:r w:rsidR="004B6804">
        <w:rPr>
          <w:rFonts w:cs="Segoe UI"/>
          <w:szCs w:val="20"/>
        </w:rPr>
        <w:t xml:space="preserve"> </w:t>
      </w:r>
      <w:r w:rsidR="004B6804" w:rsidRPr="006B5CE2">
        <w:rPr>
          <w:rFonts w:cs="Segoe UI"/>
          <w:szCs w:val="20"/>
        </w:rPr>
        <w:t>In</w:t>
      </w:r>
      <w:r w:rsidR="004B6804">
        <w:rPr>
          <w:rFonts w:cs="Segoe UI"/>
          <w:szCs w:val="20"/>
        </w:rPr>
        <w:t>tegrovaných územných investícií</w:t>
      </w:r>
      <w:r w:rsidR="00BE3D51" w:rsidRPr="009A6463">
        <w:rPr>
          <w:rStyle w:val="Odkaznapoznmkupodiarou"/>
          <w:rFonts w:cs="Segoe UI"/>
          <w:szCs w:val="20"/>
        </w:rPr>
        <w:footnoteReference w:id="60"/>
      </w:r>
      <w:r w:rsidR="00BE3D51" w:rsidRPr="009A6463">
        <w:rPr>
          <w:rFonts w:cs="Segoe UI"/>
          <w:szCs w:val="20"/>
        </w:rPr>
        <w:t xml:space="preserve"> rozhodujú o využití takmer </w:t>
      </w:r>
      <w:r w:rsidR="00BE3D51">
        <w:rPr>
          <w:rFonts w:cs="Segoe UI"/>
          <w:szCs w:val="20"/>
        </w:rPr>
        <w:t>pätiny</w:t>
      </w:r>
      <w:r w:rsidR="00BE3D51" w:rsidRPr="009A6463">
        <w:rPr>
          <w:rFonts w:cs="Segoe UI"/>
          <w:szCs w:val="20"/>
        </w:rPr>
        <w:t xml:space="preserve"> alokácie (2,4 mld. eur). MIRRI </w:t>
      </w:r>
      <w:r w:rsidR="00FB742A">
        <w:rPr>
          <w:rFonts w:cs="Segoe UI"/>
          <w:szCs w:val="20"/>
        </w:rPr>
        <w:t xml:space="preserve">SR </w:t>
      </w:r>
      <w:r w:rsidR="00BE3D51" w:rsidRPr="009A6463">
        <w:rPr>
          <w:rFonts w:cs="Segoe UI"/>
          <w:szCs w:val="20"/>
        </w:rPr>
        <w:t xml:space="preserve">identifikovalo problém s nedostatočnou pripravenosťou územia, súvisiacou najmä s nedostatočným objemom schválených projektových zámerov, ako aj problém s absorpčnou kapacitou v rámci </w:t>
      </w:r>
      <w:r w:rsidR="004B6804" w:rsidRPr="006B5CE2">
        <w:rPr>
          <w:rFonts w:cs="Segoe UI"/>
          <w:szCs w:val="20"/>
        </w:rPr>
        <w:t>In</w:t>
      </w:r>
      <w:r w:rsidR="004B6804">
        <w:rPr>
          <w:rFonts w:cs="Segoe UI"/>
          <w:szCs w:val="20"/>
        </w:rPr>
        <w:t xml:space="preserve">tegrovaných územných </w:t>
      </w:r>
      <w:r w:rsidR="00FB742A">
        <w:rPr>
          <w:rFonts w:cs="Segoe UI"/>
          <w:szCs w:val="20"/>
        </w:rPr>
        <w:t>investícií</w:t>
      </w:r>
      <w:r w:rsidR="004B6804" w:rsidRPr="0087188A">
        <w:rPr>
          <w:rFonts w:cs="Segoe UI"/>
          <w:szCs w:val="20"/>
        </w:rPr>
        <w:t>/</w:t>
      </w:r>
      <w:r w:rsidR="004B6804">
        <w:rPr>
          <w:rFonts w:cs="Segoe UI"/>
          <w:szCs w:val="20"/>
        </w:rPr>
        <w:t>Udržateľného mestského rozvoja</w:t>
      </w:r>
      <w:r w:rsidR="004B6804" w:rsidRPr="009A6463">
        <w:rPr>
          <w:rFonts w:cs="Segoe UI"/>
          <w:szCs w:val="20"/>
        </w:rPr>
        <w:t>.</w:t>
      </w:r>
      <w:r w:rsidR="00BE3D51" w:rsidRPr="009A6463">
        <w:rPr>
          <w:rStyle w:val="Odkaznapoznmkupodiarou"/>
          <w:rFonts w:cs="Segoe UI"/>
          <w:szCs w:val="20"/>
        </w:rPr>
        <w:footnoteReference w:id="61"/>
      </w:r>
    </w:p>
    <w:p w14:paraId="712CC4E3" w14:textId="76082B14" w:rsidR="00BE3D51" w:rsidRPr="00B67349" w:rsidRDefault="00BE3D51" w:rsidP="00BE3D51">
      <w:pPr>
        <w:pStyle w:val="Nadpis2"/>
        <w:rPr>
          <w:rFonts w:cs="Segoe UI"/>
        </w:rPr>
      </w:pPr>
      <w:bookmarkStart w:id="32" w:name="_Toc181017727"/>
      <w:bookmarkStart w:id="33" w:name="_Toc182559187"/>
      <w:r w:rsidRPr="00B67349">
        <w:rPr>
          <w:rFonts w:cs="Segoe UI"/>
        </w:rPr>
        <w:t>Plán obnovy</w:t>
      </w:r>
      <w:bookmarkEnd w:id="32"/>
      <w:r w:rsidR="003C04E6">
        <w:rPr>
          <w:rFonts w:cs="Segoe UI"/>
        </w:rPr>
        <w:t xml:space="preserve"> a odolnosti</w:t>
      </w:r>
      <w:bookmarkEnd w:id="33"/>
    </w:p>
    <w:p w14:paraId="0D810F89" w14:textId="466C4AC3" w:rsidR="00362D45" w:rsidRPr="0063306A" w:rsidRDefault="00362D45" w:rsidP="00362D45">
      <w:r w:rsidRPr="0087188A">
        <w:rPr>
          <w:b/>
        </w:rPr>
        <w:t>V roku 2025</w:t>
      </w:r>
      <w:r w:rsidRPr="0063306A">
        <w:t xml:space="preserve"> </w:t>
      </w:r>
      <w:r w:rsidRPr="0087188A">
        <w:rPr>
          <w:b/>
        </w:rPr>
        <w:t>sú v rámci výdavkov ŠR na realizáciu POO rozpočtované prostriedky</w:t>
      </w:r>
      <w:r>
        <w:rPr>
          <w:b/>
        </w:rPr>
        <w:t xml:space="preserve"> vo</w:t>
      </w:r>
      <w:r w:rsidRPr="0087188A">
        <w:rPr>
          <w:b/>
        </w:rPr>
        <w:t xml:space="preserve"> výške</w:t>
      </w:r>
      <w:r>
        <w:t xml:space="preserve"> </w:t>
      </w:r>
      <w:r w:rsidRPr="0087188A">
        <w:rPr>
          <w:b/>
        </w:rPr>
        <w:t>1 205,5 mil. eur</w:t>
      </w:r>
      <w:r w:rsidRPr="0063306A">
        <w:t>.</w:t>
      </w:r>
      <w:r>
        <w:t xml:space="preserve"> V rovnakej výške sú rozpočtované prostriedky aj v rámci príjmov kapitoly VPS</w:t>
      </w:r>
      <w:r w:rsidRPr="008B0167">
        <w:t>.</w:t>
      </w:r>
      <w:r w:rsidRPr="008B0167">
        <w:rPr>
          <w:rStyle w:val="Odkaznapoznmkupodiarou"/>
          <w:szCs w:val="20"/>
        </w:rPr>
        <w:footnoteReference w:id="62"/>
      </w:r>
      <w:r w:rsidRPr="008B0167">
        <w:t xml:space="preserve">  Prostriedky sa rozpočtujú nezávisle od príjmov z EK a odzrkadľujú odhadované výdavky vykonávateľov</w:t>
      </w:r>
      <w:r w:rsidRPr="008B0167">
        <w:rPr>
          <w:rStyle w:val="Odkaznapoznmkupodiarou"/>
          <w:szCs w:val="20"/>
        </w:rPr>
        <w:footnoteReference w:id="63"/>
      </w:r>
      <w:r w:rsidRPr="0087188A">
        <w:t xml:space="preserve"> </w:t>
      </w:r>
      <w:r>
        <w:t xml:space="preserve"> realizované v súvislosti s napĺňaním príslušných míľnikov a cieľov. Splnenie týchto míľnikov a cieľov sa následne odpočtuje EK v rámci jednotlivých žiadostí o platbu.</w:t>
      </w:r>
    </w:p>
    <w:p w14:paraId="2B3DA69B" w14:textId="3C9F5512" w:rsidR="00362D45" w:rsidRPr="009A6463" w:rsidRDefault="00362D45" w:rsidP="00362D45">
      <w:pPr>
        <w:rPr>
          <w:rFonts w:cs="Segoe UI"/>
          <w:szCs w:val="20"/>
        </w:rPr>
      </w:pPr>
      <w:r w:rsidRPr="0087188A">
        <w:rPr>
          <w:rFonts w:cs="Segoe UI"/>
          <w:b/>
          <w:szCs w:val="20"/>
        </w:rPr>
        <w:t>K</w:t>
      </w:r>
      <w:r>
        <w:rPr>
          <w:rFonts w:cs="Segoe UI"/>
          <w:b/>
          <w:szCs w:val="20"/>
        </w:rPr>
        <w:t> 4. 11.</w:t>
      </w:r>
      <w:r w:rsidRPr="0087188A">
        <w:rPr>
          <w:rFonts w:cs="Segoe UI"/>
          <w:b/>
          <w:szCs w:val="20"/>
        </w:rPr>
        <w:t xml:space="preserve"> 2024 boli </w:t>
      </w:r>
      <w:r>
        <w:rPr>
          <w:rFonts w:cs="Segoe UI"/>
          <w:b/>
          <w:szCs w:val="20"/>
        </w:rPr>
        <w:t xml:space="preserve">na mimorozpočtový účet NIKA </w:t>
      </w:r>
      <w:r w:rsidRPr="0087188A">
        <w:rPr>
          <w:rFonts w:cs="Segoe UI"/>
          <w:b/>
          <w:szCs w:val="20"/>
        </w:rPr>
        <w:t xml:space="preserve">prijaté prostriedky </w:t>
      </w:r>
      <w:r w:rsidR="00613118">
        <w:rPr>
          <w:rFonts w:cs="Segoe UI"/>
          <w:b/>
          <w:szCs w:val="20"/>
        </w:rPr>
        <w:t xml:space="preserve">z EK </w:t>
      </w:r>
      <w:r w:rsidRPr="0087188A">
        <w:rPr>
          <w:rFonts w:cs="Segoe UI"/>
          <w:b/>
          <w:szCs w:val="20"/>
        </w:rPr>
        <w:t>v</w:t>
      </w:r>
      <w:r>
        <w:rPr>
          <w:rFonts w:cs="Segoe UI"/>
          <w:b/>
          <w:szCs w:val="20"/>
        </w:rPr>
        <w:t> </w:t>
      </w:r>
      <w:r w:rsidRPr="0087188A">
        <w:rPr>
          <w:rFonts w:cs="Segoe UI"/>
          <w:b/>
          <w:szCs w:val="20"/>
        </w:rPr>
        <w:t>celkov</w:t>
      </w:r>
      <w:r>
        <w:rPr>
          <w:rFonts w:cs="Segoe UI"/>
          <w:b/>
          <w:szCs w:val="20"/>
        </w:rPr>
        <w:t xml:space="preserve">ej sume </w:t>
      </w:r>
      <w:r w:rsidRPr="0087188A">
        <w:rPr>
          <w:rFonts w:cs="Segoe UI"/>
          <w:b/>
          <w:szCs w:val="20"/>
        </w:rPr>
        <w:t>3,47 mld. eur</w:t>
      </w:r>
      <w:r>
        <w:rPr>
          <w:rFonts w:cs="Segoe UI"/>
          <w:szCs w:val="20"/>
        </w:rPr>
        <w:t>, čo predstavuje</w:t>
      </w:r>
      <w:r w:rsidRPr="009A6463">
        <w:rPr>
          <w:rFonts w:cs="Segoe UI"/>
          <w:szCs w:val="20"/>
        </w:rPr>
        <w:t xml:space="preserve"> 54,2 % z</w:t>
      </w:r>
      <w:r>
        <w:rPr>
          <w:rFonts w:cs="Segoe UI"/>
          <w:szCs w:val="20"/>
        </w:rPr>
        <w:t> celkovej</w:t>
      </w:r>
      <w:r w:rsidRPr="009A6463">
        <w:rPr>
          <w:rFonts w:cs="Segoe UI"/>
          <w:szCs w:val="20"/>
        </w:rPr>
        <w:t> alokácie</w:t>
      </w:r>
      <w:r>
        <w:rPr>
          <w:rFonts w:cs="Segoe UI"/>
          <w:szCs w:val="20"/>
        </w:rPr>
        <w:t xml:space="preserve"> POO </w:t>
      </w:r>
      <w:r w:rsidRPr="009A6463">
        <w:rPr>
          <w:rFonts w:cs="Segoe UI"/>
          <w:szCs w:val="20"/>
        </w:rPr>
        <w:t>(</w:t>
      </w:r>
      <w:r>
        <w:rPr>
          <w:rFonts w:cs="Segoe UI"/>
          <w:szCs w:val="20"/>
        </w:rPr>
        <w:t>t</w:t>
      </w:r>
      <w:r w:rsidRPr="009A6463">
        <w:rPr>
          <w:rFonts w:cs="Segoe UI"/>
          <w:szCs w:val="20"/>
        </w:rPr>
        <w:t xml:space="preserve">abuľka </w:t>
      </w:r>
      <w:r>
        <w:rPr>
          <w:rFonts w:cs="Segoe UI"/>
          <w:szCs w:val="20"/>
        </w:rPr>
        <w:t>7</w:t>
      </w:r>
      <w:r w:rsidRPr="009A6463">
        <w:rPr>
          <w:rFonts w:cs="Segoe UI"/>
          <w:szCs w:val="20"/>
        </w:rPr>
        <w:t>)</w:t>
      </w:r>
      <w:r>
        <w:rPr>
          <w:rFonts w:cs="Segoe UI"/>
          <w:szCs w:val="20"/>
        </w:rPr>
        <w:t>.</w:t>
      </w:r>
    </w:p>
    <w:p w14:paraId="0DA3A42D" w14:textId="77777777" w:rsidR="0022613F" w:rsidRPr="0087188A" w:rsidRDefault="0022613F" w:rsidP="0022613F">
      <w:pPr>
        <w:pStyle w:val="Popis"/>
        <w:keepNext/>
        <w:rPr>
          <w:color w:val="314364"/>
        </w:rPr>
      </w:pPr>
      <w:r w:rsidRPr="0087188A">
        <w:rPr>
          <w:color w:val="314364"/>
        </w:rPr>
        <w:t xml:space="preserve">Tabuľka </w:t>
      </w:r>
      <w:r>
        <w:rPr>
          <w:color w:val="314364"/>
        </w:rPr>
        <w:t>7</w:t>
      </w:r>
      <w:r w:rsidRPr="0087188A">
        <w:rPr>
          <w:color w:val="314364"/>
        </w:rPr>
        <w:t>: Príjem prostriedkov POO z</w:t>
      </w:r>
      <w:r>
        <w:rPr>
          <w:color w:val="314364"/>
        </w:rPr>
        <w:t> </w:t>
      </w:r>
      <w:r w:rsidRPr="0087188A">
        <w:rPr>
          <w:color w:val="314364"/>
        </w:rPr>
        <w:t>EK</w:t>
      </w:r>
      <w:r>
        <w:rPr>
          <w:color w:val="314364"/>
        </w:rPr>
        <w:t xml:space="preserve"> (v mil. eur)</w:t>
      </w:r>
    </w:p>
    <w:tbl>
      <w:tblPr>
        <w:tblW w:w="5000" w:type="pct"/>
        <w:tblCellMar>
          <w:left w:w="70" w:type="dxa"/>
          <w:right w:w="70" w:type="dxa"/>
        </w:tblCellMar>
        <w:tblLook w:val="04A0" w:firstRow="1" w:lastRow="0" w:firstColumn="1" w:lastColumn="0" w:noHBand="0" w:noVBand="1"/>
      </w:tblPr>
      <w:tblGrid>
        <w:gridCol w:w="4396"/>
        <w:gridCol w:w="2913"/>
        <w:gridCol w:w="1761"/>
      </w:tblGrid>
      <w:tr w:rsidR="0022613F" w:rsidRPr="00F13B4D" w14:paraId="7C435C7A" w14:textId="77777777" w:rsidTr="00B571E8">
        <w:trPr>
          <w:trHeight w:val="283"/>
        </w:trPr>
        <w:tc>
          <w:tcPr>
            <w:tcW w:w="2423" w:type="pct"/>
            <w:tcBorders>
              <w:top w:val="nil"/>
              <w:left w:val="nil"/>
              <w:bottom w:val="nil"/>
              <w:right w:val="nil"/>
            </w:tcBorders>
            <w:shd w:val="clear" w:color="000000" w:fill="314364"/>
            <w:vAlign w:val="center"/>
            <w:hideMark/>
          </w:tcPr>
          <w:p w14:paraId="59DE0A2B" w14:textId="77777777" w:rsidR="0022613F" w:rsidRPr="0087188A" w:rsidRDefault="0022613F" w:rsidP="00B571E8">
            <w:pPr>
              <w:spacing w:after="0"/>
              <w:jc w:val="left"/>
              <w:rPr>
                <w:rFonts w:cs="Segoe UI"/>
                <w:b/>
                <w:color w:val="FFFFFF"/>
                <w:sz w:val="18"/>
                <w:szCs w:val="18"/>
              </w:rPr>
            </w:pPr>
            <w:r w:rsidRPr="0087188A">
              <w:rPr>
                <w:rFonts w:cs="Segoe UI"/>
                <w:b/>
                <w:color w:val="FFFFFF"/>
                <w:sz w:val="18"/>
                <w:szCs w:val="18"/>
              </w:rPr>
              <w:t>Identifikácia platby</w:t>
            </w:r>
          </w:p>
        </w:tc>
        <w:tc>
          <w:tcPr>
            <w:tcW w:w="1606" w:type="pct"/>
            <w:tcBorders>
              <w:top w:val="nil"/>
              <w:left w:val="nil"/>
              <w:bottom w:val="nil"/>
              <w:right w:val="nil"/>
            </w:tcBorders>
            <w:shd w:val="clear" w:color="000000" w:fill="314364"/>
            <w:vAlign w:val="center"/>
            <w:hideMark/>
          </w:tcPr>
          <w:p w14:paraId="3638F9D3" w14:textId="77777777" w:rsidR="0022613F" w:rsidRPr="0087188A" w:rsidRDefault="0022613F" w:rsidP="00B571E8">
            <w:pPr>
              <w:spacing w:after="0"/>
              <w:jc w:val="center"/>
              <w:rPr>
                <w:rFonts w:cs="Segoe UI"/>
                <w:b/>
                <w:color w:val="FFFFFF"/>
                <w:sz w:val="18"/>
                <w:szCs w:val="18"/>
              </w:rPr>
            </w:pPr>
            <w:r w:rsidRPr="0087188A">
              <w:rPr>
                <w:rFonts w:cs="Segoe UI"/>
                <w:b/>
                <w:color w:val="FFFFFF"/>
                <w:sz w:val="18"/>
                <w:szCs w:val="18"/>
              </w:rPr>
              <w:t>Dátum vyplatenia prostriedkov</w:t>
            </w:r>
          </w:p>
        </w:tc>
        <w:tc>
          <w:tcPr>
            <w:tcW w:w="971" w:type="pct"/>
            <w:tcBorders>
              <w:top w:val="nil"/>
              <w:left w:val="nil"/>
              <w:bottom w:val="nil"/>
              <w:right w:val="nil"/>
            </w:tcBorders>
            <w:shd w:val="clear" w:color="000000" w:fill="314364"/>
            <w:vAlign w:val="center"/>
            <w:hideMark/>
          </w:tcPr>
          <w:p w14:paraId="42D4E433" w14:textId="77777777" w:rsidR="0022613F" w:rsidRPr="0087188A" w:rsidRDefault="0022613F" w:rsidP="00B571E8">
            <w:pPr>
              <w:spacing w:after="0"/>
              <w:ind w:right="495"/>
              <w:jc w:val="center"/>
              <w:rPr>
                <w:rFonts w:cs="Segoe UI"/>
                <w:b/>
                <w:color w:val="FFFFFF"/>
                <w:sz w:val="18"/>
                <w:szCs w:val="18"/>
              </w:rPr>
            </w:pPr>
            <w:r w:rsidRPr="0087188A">
              <w:rPr>
                <w:rFonts w:cs="Segoe UI"/>
                <w:b/>
                <w:color w:val="FFFFFF"/>
                <w:sz w:val="18"/>
                <w:szCs w:val="18"/>
              </w:rPr>
              <w:t>Suma</w:t>
            </w:r>
          </w:p>
        </w:tc>
      </w:tr>
      <w:tr w:rsidR="0022613F" w:rsidRPr="00F13B4D" w14:paraId="61465C25" w14:textId="77777777" w:rsidTr="00B571E8">
        <w:trPr>
          <w:trHeight w:val="283"/>
        </w:trPr>
        <w:tc>
          <w:tcPr>
            <w:tcW w:w="2423" w:type="pct"/>
            <w:tcBorders>
              <w:top w:val="nil"/>
              <w:left w:val="single" w:sz="8" w:space="0" w:color="FFFFFF"/>
              <w:bottom w:val="nil"/>
              <w:right w:val="nil"/>
            </w:tcBorders>
            <w:shd w:val="clear" w:color="000000" w:fill="FFFFFF"/>
            <w:vAlign w:val="center"/>
            <w:hideMark/>
          </w:tcPr>
          <w:p w14:paraId="3F3FC05D" w14:textId="77777777" w:rsidR="0022613F" w:rsidRPr="00F13B4D" w:rsidRDefault="0022613F" w:rsidP="00B571E8">
            <w:pPr>
              <w:spacing w:after="0"/>
              <w:jc w:val="left"/>
              <w:rPr>
                <w:rFonts w:cs="Segoe UI"/>
                <w:color w:val="000000"/>
                <w:sz w:val="18"/>
                <w:szCs w:val="18"/>
              </w:rPr>
            </w:pPr>
            <w:r w:rsidRPr="00F13B4D">
              <w:rPr>
                <w:rFonts w:cs="Segoe UI"/>
                <w:color w:val="000000"/>
                <w:sz w:val="18"/>
                <w:szCs w:val="18"/>
              </w:rPr>
              <w:t>4. priebežná platba</w:t>
            </w:r>
          </w:p>
        </w:tc>
        <w:tc>
          <w:tcPr>
            <w:tcW w:w="1606" w:type="pct"/>
            <w:tcBorders>
              <w:top w:val="nil"/>
              <w:left w:val="nil"/>
              <w:bottom w:val="nil"/>
              <w:right w:val="nil"/>
            </w:tcBorders>
            <w:shd w:val="clear" w:color="000000" w:fill="FFFFFF"/>
            <w:noWrap/>
            <w:vAlign w:val="center"/>
            <w:hideMark/>
          </w:tcPr>
          <w:p w14:paraId="0BC375FF" w14:textId="77777777" w:rsidR="0022613F" w:rsidRPr="00F13B4D" w:rsidRDefault="0022613F" w:rsidP="00B571E8">
            <w:pPr>
              <w:spacing w:after="0"/>
              <w:jc w:val="center"/>
              <w:rPr>
                <w:rFonts w:cs="Segoe UI"/>
                <w:color w:val="000000"/>
                <w:sz w:val="18"/>
                <w:szCs w:val="18"/>
              </w:rPr>
            </w:pPr>
            <w:r>
              <w:rPr>
                <w:rFonts w:cs="Segoe UI"/>
                <w:color w:val="000000"/>
                <w:sz w:val="18"/>
                <w:szCs w:val="18"/>
              </w:rPr>
              <w:t>31.10.2024</w:t>
            </w:r>
          </w:p>
        </w:tc>
        <w:tc>
          <w:tcPr>
            <w:tcW w:w="971" w:type="pct"/>
            <w:tcBorders>
              <w:top w:val="nil"/>
              <w:left w:val="nil"/>
              <w:bottom w:val="nil"/>
              <w:right w:val="nil"/>
            </w:tcBorders>
            <w:shd w:val="clear" w:color="000000" w:fill="FFFFFF"/>
            <w:noWrap/>
            <w:vAlign w:val="center"/>
            <w:hideMark/>
          </w:tcPr>
          <w:p w14:paraId="649272AE" w14:textId="77777777" w:rsidR="0022613F" w:rsidRPr="00F13B4D" w:rsidRDefault="0022613F" w:rsidP="00B571E8">
            <w:pPr>
              <w:spacing w:after="0"/>
              <w:ind w:right="495"/>
              <w:jc w:val="center"/>
              <w:rPr>
                <w:rFonts w:cs="Segoe UI"/>
                <w:color w:val="000000"/>
                <w:sz w:val="18"/>
                <w:szCs w:val="18"/>
              </w:rPr>
            </w:pPr>
            <w:r w:rsidRPr="00F13B4D">
              <w:rPr>
                <w:rFonts w:cs="Segoe UI"/>
                <w:color w:val="000000"/>
                <w:sz w:val="18"/>
                <w:szCs w:val="18"/>
              </w:rPr>
              <w:t>798,7</w:t>
            </w:r>
          </w:p>
        </w:tc>
      </w:tr>
      <w:tr w:rsidR="0022613F" w:rsidRPr="00F13B4D" w14:paraId="3AA0D067" w14:textId="77777777" w:rsidTr="00B571E8">
        <w:trPr>
          <w:trHeight w:val="283"/>
        </w:trPr>
        <w:tc>
          <w:tcPr>
            <w:tcW w:w="2423" w:type="pct"/>
            <w:tcBorders>
              <w:top w:val="nil"/>
              <w:left w:val="single" w:sz="8" w:space="0" w:color="FFFFFF"/>
              <w:bottom w:val="nil"/>
              <w:right w:val="nil"/>
            </w:tcBorders>
            <w:shd w:val="clear" w:color="000000" w:fill="FFFFFF"/>
            <w:vAlign w:val="center"/>
            <w:hideMark/>
          </w:tcPr>
          <w:p w14:paraId="6349D699" w14:textId="77777777" w:rsidR="0022613F" w:rsidRPr="00F13B4D" w:rsidRDefault="0022613F" w:rsidP="00B571E8">
            <w:pPr>
              <w:spacing w:after="0"/>
              <w:jc w:val="left"/>
              <w:rPr>
                <w:rFonts w:cs="Segoe UI"/>
                <w:color w:val="000000"/>
                <w:sz w:val="18"/>
                <w:szCs w:val="18"/>
              </w:rPr>
            </w:pPr>
            <w:r w:rsidRPr="00F13B4D">
              <w:rPr>
                <w:rFonts w:cs="Segoe UI"/>
                <w:color w:val="000000"/>
                <w:sz w:val="18"/>
                <w:szCs w:val="18"/>
              </w:rPr>
              <w:t>3. priebežná platba</w:t>
            </w:r>
          </w:p>
        </w:tc>
        <w:tc>
          <w:tcPr>
            <w:tcW w:w="1606" w:type="pct"/>
            <w:tcBorders>
              <w:top w:val="nil"/>
              <w:left w:val="nil"/>
              <w:bottom w:val="nil"/>
              <w:right w:val="nil"/>
            </w:tcBorders>
            <w:shd w:val="clear" w:color="000000" w:fill="FFFFFF"/>
            <w:noWrap/>
            <w:vAlign w:val="center"/>
            <w:hideMark/>
          </w:tcPr>
          <w:p w14:paraId="22BA9FA6" w14:textId="77777777" w:rsidR="0022613F" w:rsidRPr="00F13B4D" w:rsidRDefault="0022613F" w:rsidP="00B571E8">
            <w:pPr>
              <w:spacing w:after="0"/>
              <w:jc w:val="center"/>
              <w:rPr>
                <w:rFonts w:cs="Segoe UI"/>
                <w:color w:val="000000"/>
                <w:sz w:val="18"/>
                <w:szCs w:val="18"/>
              </w:rPr>
            </w:pPr>
            <w:r w:rsidRPr="00F13B4D">
              <w:rPr>
                <w:rFonts w:cs="Segoe UI"/>
                <w:color w:val="000000"/>
                <w:sz w:val="18"/>
                <w:szCs w:val="18"/>
              </w:rPr>
              <w:t>28.12.2023</w:t>
            </w:r>
          </w:p>
        </w:tc>
        <w:tc>
          <w:tcPr>
            <w:tcW w:w="971" w:type="pct"/>
            <w:tcBorders>
              <w:top w:val="nil"/>
              <w:left w:val="nil"/>
              <w:bottom w:val="nil"/>
              <w:right w:val="nil"/>
            </w:tcBorders>
            <w:shd w:val="clear" w:color="000000" w:fill="FFFFFF"/>
            <w:noWrap/>
            <w:vAlign w:val="center"/>
            <w:hideMark/>
          </w:tcPr>
          <w:p w14:paraId="6C8B64A4" w14:textId="77777777" w:rsidR="0022613F" w:rsidRPr="00F13B4D" w:rsidRDefault="0022613F" w:rsidP="00B571E8">
            <w:pPr>
              <w:spacing w:after="0"/>
              <w:ind w:right="495"/>
              <w:jc w:val="center"/>
              <w:rPr>
                <w:rFonts w:cs="Segoe UI"/>
                <w:color w:val="000000"/>
                <w:sz w:val="18"/>
                <w:szCs w:val="18"/>
              </w:rPr>
            </w:pPr>
            <w:r w:rsidRPr="00F13B4D">
              <w:rPr>
                <w:rFonts w:cs="Segoe UI"/>
                <w:color w:val="000000"/>
                <w:sz w:val="18"/>
                <w:szCs w:val="18"/>
              </w:rPr>
              <w:t>662,4</w:t>
            </w:r>
          </w:p>
        </w:tc>
      </w:tr>
      <w:tr w:rsidR="0022613F" w:rsidRPr="00F13B4D" w14:paraId="4738D60E" w14:textId="77777777" w:rsidTr="00B571E8">
        <w:trPr>
          <w:trHeight w:val="283"/>
        </w:trPr>
        <w:tc>
          <w:tcPr>
            <w:tcW w:w="2423" w:type="pct"/>
            <w:tcBorders>
              <w:top w:val="nil"/>
              <w:left w:val="single" w:sz="8" w:space="0" w:color="FFFFFF"/>
              <w:bottom w:val="nil"/>
              <w:right w:val="nil"/>
            </w:tcBorders>
            <w:shd w:val="clear" w:color="000000" w:fill="FFFFFF"/>
            <w:vAlign w:val="center"/>
            <w:hideMark/>
          </w:tcPr>
          <w:p w14:paraId="4667DDC1" w14:textId="77777777" w:rsidR="0022613F" w:rsidRPr="00F13B4D" w:rsidRDefault="0022613F" w:rsidP="00B571E8">
            <w:pPr>
              <w:spacing w:after="0"/>
              <w:jc w:val="left"/>
              <w:rPr>
                <w:rFonts w:cs="Segoe UI"/>
                <w:color w:val="000000"/>
                <w:sz w:val="18"/>
                <w:szCs w:val="18"/>
              </w:rPr>
            </w:pPr>
            <w:r w:rsidRPr="00F13B4D">
              <w:rPr>
                <w:rFonts w:cs="Segoe UI"/>
                <w:color w:val="000000"/>
                <w:sz w:val="18"/>
                <w:szCs w:val="18"/>
              </w:rPr>
              <w:t xml:space="preserve">Predfinancovanie k REPower EÚ </w:t>
            </w:r>
          </w:p>
        </w:tc>
        <w:tc>
          <w:tcPr>
            <w:tcW w:w="1606" w:type="pct"/>
            <w:tcBorders>
              <w:top w:val="nil"/>
              <w:left w:val="nil"/>
              <w:bottom w:val="nil"/>
              <w:right w:val="nil"/>
            </w:tcBorders>
            <w:shd w:val="clear" w:color="000000" w:fill="FFFFFF"/>
            <w:noWrap/>
            <w:vAlign w:val="center"/>
            <w:hideMark/>
          </w:tcPr>
          <w:p w14:paraId="19B302E4" w14:textId="77777777" w:rsidR="0022613F" w:rsidRPr="00F13B4D" w:rsidRDefault="0022613F" w:rsidP="00B571E8">
            <w:pPr>
              <w:spacing w:after="0"/>
              <w:jc w:val="center"/>
              <w:rPr>
                <w:rFonts w:cs="Segoe UI"/>
                <w:color w:val="000000"/>
                <w:sz w:val="18"/>
                <w:szCs w:val="18"/>
              </w:rPr>
            </w:pPr>
            <w:r w:rsidRPr="00F13B4D">
              <w:rPr>
                <w:rFonts w:cs="Segoe UI"/>
                <w:color w:val="000000"/>
                <w:sz w:val="18"/>
                <w:szCs w:val="18"/>
              </w:rPr>
              <w:t>12.12.2023</w:t>
            </w:r>
          </w:p>
        </w:tc>
        <w:tc>
          <w:tcPr>
            <w:tcW w:w="971" w:type="pct"/>
            <w:tcBorders>
              <w:top w:val="nil"/>
              <w:left w:val="nil"/>
              <w:bottom w:val="nil"/>
              <w:right w:val="nil"/>
            </w:tcBorders>
            <w:shd w:val="clear" w:color="000000" w:fill="FFFFFF"/>
            <w:noWrap/>
            <w:vAlign w:val="center"/>
            <w:hideMark/>
          </w:tcPr>
          <w:p w14:paraId="0382AD23" w14:textId="77777777" w:rsidR="0022613F" w:rsidRPr="00F13B4D" w:rsidRDefault="0022613F" w:rsidP="00B571E8">
            <w:pPr>
              <w:spacing w:after="0"/>
              <w:ind w:right="495"/>
              <w:jc w:val="center"/>
              <w:rPr>
                <w:rFonts w:cs="Segoe UI"/>
                <w:color w:val="000000"/>
                <w:sz w:val="18"/>
                <w:szCs w:val="18"/>
              </w:rPr>
            </w:pPr>
            <w:r w:rsidRPr="00F13B4D">
              <w:rPr>
                <w:rFonts w:cs="Segoe UI"/>
                <w:color w:val="000000"/>
                <w:sz w:val="18"/>
                <w:szCs w:val="18"/>
              </w:rPr>
              <w:t>80,5</w:t>
            </w:r>
          </w:p>
        </w:tc>
      </w:tr>
      <w:tr w:rsidR="0022613F" w:rsidRPr="00F13B4D" w14:paraId="772CE534" w14:textId="77777777" w:rsidTr="00B571E8">
        <w:trPr>
          <w:trHeight w:val="283"/>
        </w:trPr>
        <w:tc>
          <w:tcPr>
            <w:tcW w:w="2423" w:type="pct"/>
            <w:tcBorders>
              <w:top w:val="nil"/>
              <w:left w:val="single" w:sz="8" w:space="0" w:color="FFFFFF"/>
              <w:bottom w:val="nil"/>
              <w:right w:val="nil"/>
            </w:tcBorders>
            <w:shd w:val="clear" w:color="000000" w:fill="FFFFFF"/>
            <w:vAlign w:val="center"/>
            <w:hideMark/>
          </w:tcPr>
          <w:p w14:paraId="6A78B5B8" w14:textId="77777777" w:rsidR="0022613F" w:rsidRPr="00F13B4D" w:rsidRDefault="0022613F" w:rsidP="00B571E8">
            <w:pPr>
              <w:spacing w:after="0"/>
              <w:jc w:val="left"/>
              <w:rPr>
                <w:rFonts w:cs="Segoe UI"/>
                <w:color w:val="000000"/>
                <w:sz w:val="18"/>
                <w:szCs w:val="18"/>
              </w:rPr>
            </w:pPr>
            <w:r w:rsidRPr="00F13B4D">
              <w:rPr>
                <w:rFonts w:cs="Segoe UI"/>
                <w:color w:val="000000"/>
                <w:sz w:val="18"/>
                <w:szCs w:val="18"/>
              </w:rPr>
              <w:t>2. priebežná platba</w:t>
            </w:r>
          </w:p>
        </w:tc>
        <w:tc>
          <w:tcPr>
            <w:tcW w:w="1606" w:type="pct"/>
            <w:tcBorders>
              <w:top w:val="nil"/>
              <w:left w:val="nil"/>
              <w:bottom w:val="nil"/>
              <w:right w:val="nil"/>
            </w:tcBorders>
            <w:shd w:val="clear" w:color="000000" w:fill="FFFFFF"/>
            <w:noWrap/>
            <w:vAlign w:val="center"/>
            <w:hideMark/>
          </w:tcPr>
          <w:p w14:paraId="33E03D7E" w14:textId="77777777" w:rsidR="0022613F" w:rsidRPr="00F13B4D" w:rsidRDefault="0022613F" w:rsidP="00B571E8">
            <w:pPr>
              <w:spacing w:after="0"/>
              <w:jc w:val="center"/>
              <w:rPr>
                <w:rFonts w:cs="Segoe UI"/>
                <w:color w:val="000000"/>
                <w:sz w:val="18"/>
                <w:szCs w:val="18"/>
              </w:rPr>
            </w:pPr>
            <w:r w:rsidRPr="00F13B4D">
              <w:rPr>
                <w:rFonts w:cs="Segoe UI"/>
                <w:color w:val="000000"/>
                <w:sz w:val="18"/>
                <w:szCs w:val="18"/>
              </w:rPr>
              <w:t>22.3.2023</w:t>
            </w:r>
          </w:p>
        </w:tc>
        <w:tc>
          <w:tcPr>
            <w:tcW w:w="971" w:type="pct"/>
            <w:tcBorders>
              <w:top w:val="nil"/>
              <w:left w:val="nil"/>
              <w:bottom w:val="nil"/>
              <w:right w:val="nil"/>
            </w:tcBorders>
            <w:shd w:val="clear" w:color="000000" w:fill="FFFFFF"/>
            <w:noWrap/>
            <w:vAlign w:val="center"/>
            <w:hideMark/>
          </w:tcPr>
          <w:p w14:paraId="3CA3E8F5" w14:textId="77777777" w:rsidR="0022613F" w:rsidRPr="00F13B4D" w:rsidRDefault="0022613F" w:rsidP="00B571E8">
            <w:pPr>
              <w:spacing w:after="0"/>
              <w:ind w:right="495"/>
              <w:jc w:val="center"/>
              <w:rPr>
                <w:rFonts w:cs="Segoe UI"/>
                <w:color w:val="000000"/>
                <w:sz w:val="18"/>
                <w:szCs w:val="18"/>
              </w:rPr>
            </w:pPr>
            <w:r w:rsidRPr="00F13B4D">
              <w:rPr>
                <w:rFonts w:cs="Segoe UI"/>
                <w:color w:val="000000"/>
                <w:sz w:val="18"/>
                <w:szCs w:val="18"/>
              </w:rPr>
              <w:t>708,8</w:t>
            </w:r>
          </w:p>
        </w:tc>
      </w:tr>
      <w:tr w:rsidR="0022613F" w:rsidRPr="00F13B4D" w14:paraId="722178D0" w14:textId="77777777" w:rsidTr="00B571E8">
        <w:trPr>
          <w:trHeight w:val="283"/>
        </w:trPr>
        <w:tc>
          <w:tcPr>
            <w:tcW w:w="2423" w:type="pct"/>
            <w:tcBorders>
              <w:top w:val="nil"/>
              <w:left w:val="single" w:sz="8" w:space="0" w:color="FFFFFF"/>
              <w:right w:val="nil"/>
            </w:tcBorders>
            <w:shd w:val="clear" w:color="000000" w:fill="FFFFFF"/>
            <w:vAlign w:val="center"/>
            <w:hideMark/>
          </w:tcPr>
          <w:p w14:paraId="1061F2CE" w14:textId="77777777" w:rsidR="0022613F" w:rsidRPr="00F13B4D" w:rsidRDefault="0022613F" w:rsidP="00B571E8">
            <w:pPr>
              <w:spacing w:after="0"/>
              <w:jc w:val="left"/>
              <w:rPr>
                <w:rFonts w:cs="Segoe UI"/>
                <w:color w:val="000000"/>
                <w:sz w:val="18"/>
                <w:szCs w:val="18"/>
              </w:rPr>
            </w:pPr>
            <w:r w:rsidRPr="00F13B4D">
              <w:rPr>
                <w:rFonts w:cs="Segoe UI"/>
                <w:color w:val="000000"/>
                <w:sz w:val="18"/>
                <w:szCs w:val="18"/>
              </w:rPr>
              <w:t>1. priebežná platba</w:t>
            </w:r>
          </w:p>
        </w:tc>
        <w:tc>
          <w:tcPr>
            <w:tcW w:w="1606" w:type="pct"/>
            <w:tcBorders>
              <w:top w:val="nil"/>
              <w:left w:val="nil"/>
              <w:right w:val="nil"/>
            </w:tcBorders>
            <w:shd w:val="clear" w:color="000000" w:fill="FFFFFF"/>
            <w:noWrap/>
            <w:vAlign w:val="center"/>
            <w:hideMark/>
          </w:tcPr>
          <w:p w14:paraId="18AC8681" w14:textId="77777777" w:rsidR="0022613F" w:rsidRPr="00F13B4D" w:rsidRDefault="0022613F" w:rsidP="00B571E8">
            <w:pPr>
              <w:spacing w:after="0"/>
              <w:jc w:val="center"/>
              <w:rPr>
                <w:rFonts w:cs="Segoe UI"/>
                <w:color w:val="000000"/>
                <w:sz w:val="18"/>
                <w:szCs w:val="18"/>
              </w:rPr>
            </w:pPr>
            <w:r w:rsidRPr="00F13B4D">
              <w:rPr>
                <w:rFonts w:cs="Segoe UI"/>
                <w:color w:val="000000"/>
                <w:sz w:val="18"/>
                <w:szCs w:val="18"/>
              </w:rPr>
              <w:t>29.7.2022</w:t>
            </w:r>
          </w:p>
        </w:tc>
        <w:tc>
          <w:tcPr>
            <w:tcW w:w="971" w:type="pct"/>
            <w:tcBorders>
              <w:top w:val="nil"/>
              <w:left w:val="nil"/>
              <w:right w:val="nil"/>
            </w:tcBorders>
            <w:shd w:val="clear" w:color="000000" w:fill="FFFFFF"/>
            <w:noWrap/>
            <w:vAlign w:val="center"/>
            <w:hideMark/>
          </w:tcPr>
          <w:p w14:paraId="2DB0C926" w14:textId="77777777" w:rsidR="0022613F" w:rsidRPr="00F13B4D" w:rsidRDefault="0022613F" w:rsidP="00B571E8">
            <w:pPr>
              <w:spacing w:after="0"/>
              <w:ind w:right="495"/>
              <w:jc w:val="center"/>
              <w:rPr>
                <w:rFonts w:cs="Segoe UI"/>
                <w:color w:val="000000"/>
                <w:sz w:val="18"/>
                <w:szCs w:val="18"/>
              </w:rPr>
            </w:pPr>
            <w:r w:rsidRPr="00F13B4D">
              <w:rPr>
                <w:rFonts w:cs="Segoe UI"/>
                <w:color w:val="000000"/>
                <w:sz w:val="18"/>
                <w:szCs w:val="18"/>
              </w:rPr>
              <w:t>398,7</w:t>
            </w:r>
          </w:p>
        </w:tc>
      </w:tr>
      <w:tr w:rsidR="0022613F" w:rsidRPr="00F13B4D" w14:paraId="72424110" w14:textId="77777777" w:rsidTr="00B571E8">
        <w:trPr>
          <w:trHeight w:val="283"/>
        </w:trPr>
        <w:tc>
          <w:tcPr>
            <w:tcW w:w="2423" w:type="pct"/>
            <w:tcBorders>
              <w:top w:val="nil"/>
              <w:left w:val="single" w:sz="8" w:space="0" w:color="FFFFFF"/>
              <w:bottom w:val="single" w:sz="4" w:space="0" w:color="314364" w:themeColor="text2"/>
              <w:right w:val="nil"/>
            </w:tcBorders>
            <w:shd w:val="clear" w:color="000000" w:fill="FFFFFF"/>
            <w:vAlign w:val="center"/>
            <w:hideMark/>
          </w:tcPr>
          <w:p w14:paraId="0924C4BE" w14:textId="77777777" w:rsidR="0022613F" w:rsidRPr="00F13B4D" w:rsidRDefault="0022613F" w:rsidP="00B571E8">
            <w:pPr>
              <w:spacing w:after="0"/>
              <w:jc w:val="left"/>
              <w:rPr>
                <w:rFonts w:cs="Segoe UI"/>
                <w:color w:val="000000"/>
                <w:sz w:val="18"/>
                <w:szCs w:val="18"/>
              </w:rPr>
            </w:pPr>
            <w:r w:rsidRPr="00F13B4D">
              <w:rPr>
                <w:rFonts w:cs="Segoe UI"/>
                <w:color w:val="000000"/>
                <w:sz w:val="18"/>
                <w:szCs w:val="18"/>
              </w:rPr>
              <w:t>Predfinancovanie</w:t>
            </w:r>
          </w:p>
        </w:tc>
        <w:tc>
          <w:tcPr>
            <w:tcW w:w="1606" w:type="pct"/>
            <w:tcBorders>
              <w:top w:val="nil"/>
              <w:left w:val="nil"/>
              <w:bottom w:val="single" w:sz="4" w:space="0" w:color="314364" w:themeColor="text2"/>
              <w:right w:val="nil"/>
            </w:tcBorders>
            <w:shd w:val="clear" w:color="000000" w:fill="FFFFFF"/>
            <w:noWrap/>
            <w:vAlign w:val="center"/>
            <w:hideMark/>
          </w:tcPr>
          <w:p w14:paraId="629C6631" w14:textId="77777777" w:rsidR="0022613F" w:rsidRPr="00F13B4D" w:rsidRDefault="0022613F" w:rsidP="00B571E8">
            <w:pPr>
              <w:spacing w:after="0"/>
              <w:jc w:val="center"/>
              <w:rPr>
                <w:rFonts w:cs="Segoe UI"/>
                <w:color w:val="000000"/>
                <w:sz w:val="18"/>
                <w:szCs w:val="18"/>
              </w:rPr>
            </w:pPr>
            <w:r w:rsidRPr="00F13B4D">
              <w:rPr>
                <w:rFonts w:cs="Segoe UI"/>
                <w:color w:val="000000"/>
                <w:sz w:val="18"/>
                <w:szCs w:val="18"/>
              </w:rPr>
              <w:t>13.10.2021</w:t>
            </w:r>
          </w:p>
        </w:tc>
        <w:tc>
          <w:tcPr>
            <w:tcW w:w="971" w:type="pct"/>
            <w:tcBorders>
              <w:top w:val="nil"/>
              <w:left w:val="nil"/>
              <w:bottom w:val="single" w:sz="4" w:space="0" w:color="314364" w:themeColor="text2"/>
              <w:right w:val="nil"/>
            </w:tcBorders>
            <w:shd w:val="clear" w:color="000000" w:fill="FFFFFF"/>
            <w:noWrap/>
            <w:vAlign w:val="center"/>
            <w:hideMark/>
          </w:tcPr>
          <w:p w14:paraId="25095658" w14:textId="77777777" w:rsidR="0022613F" w:rsidRPr="00F13B4D" w:rsidRDefault="0022613F" w:rsidP="00B571E8">
            <w:pPr>
              <w:spacing w:after="0"/>
              <w:ind w:right="495"/>
              <w:jc w:val="center"/>
              <w:rPr>
                <w:rFonts w:cs="Segoe UI"/>
                <w:color w:val="000000"/>
                <w:sz w:val="18"/>
                <w:szCs w:val="18"/>
              </w:rPr>
            </w:pPr>
            <w:r w:rsidRPr="00F13B4D">
              <w:rPr>
                <w:rFonts w:cs="Segoe UI"/>
                <w:color w:val="000000"/>
                <w:sz w:val="18"/>
                <w:szCs w:val="18"/>
              </w:rPr>
              <w:t>822,7</w:t>
            </w:r>
          </w:p>
        </w:tc>
      </w:tr>
      <w:tr w:rsidR="0022613F" w:rsidRPr="00F13B4D" w14:paraId="082C605C" w14:textId="77777777" w:rsidTr="00B571E8">
        <w:trPr>
          <w:trHeight w:val="283"/>
        </w:trPr>
        <w:tc>
          <w:tcPr>
            <w:tcW w:w="2423" w:type="pct"/>
            <w:tcBorders>
              <w:top w:val="single" w:sz="4" w:space="0" w:color="314364" w:themeColor="text2"/>
              <w:left w:val="nil"/>
              <w:bottom w:val="single" w:sz="4" w:space="0" w:color="314364" w:themeColor="text2"/>
              <w:right w:val="nil"/>
            </w:tcBorders>
            <w:shd w:val="clear" w:color="auto" w:fill="auto"/>
            <w:vAlign w:val="center"/>
            <w:hideMark/>
          </w:tcPr>
          <w:p w14:paraId="72C6ED82" w14:textId="77777777" w:rsidR="0022613F" w:rsidRPr="0087188A" w:rsidRDefault="0022613F" w:rsidP="00B571E8">
            <w:pPr>
              <w:spacing w:after="0"/>
              <w:jc w:val="left"/>
              <w:rPr>
                <w:rFonts w:cs="Segoe UI"/>
                <w:b/>
                <w:sz w:val="18"/>
                <w:szCs w:val="18"/>
              </w:rPr>
            </w:pPr>
            <w:r w:rsidRPr="0087188A">
              <w:rPr>
                <w:rFonts w:cs="Segoe UI"/>
                <w:b/>
                <w:sz w:val="18"/>
                <w:szCs w:val="18"/>
              </w:rPr>
              <w:t>SPOLU</w:t>
            </w:r>
          </w:p>
        </w:tc>
        <w:tc>
          <w:tcPr>
            <w:tcW w:w="1606" w:type="pct"/>
            <w:tcBorders>
              <w:top w:val="single" w:sz="4" w:space="0" w:color="314364" w:themeColor="text2"/>
              <w:left w:val="nil"/>
              <w:bottom w:val="single" w:sz="4" w:space="0" w:color="314364" w:themeColor="text2"/>
              <w:right w:val="nil"/>
            </w:tcBorders>
            <w:shd w:val="clear" w:color="auto" w:fill="auto"/>
            <w:vAlign w:val="center"/>
            <w:hideMark/>
          </w:tcPr>
          <w:p w14:paraId="5492873E" w14:textId="77777777" w:rsidR="0022613F" w:rsidRPr="0087188A" w:rsidRDefault="0022613F" w:rsidP="00B571E8">
            <w:pPr>
              <w:spacing w:after="0"/>
              <w:jc w:val="center"/>
              <w:rPr>
                <w:rFonts w:cs="Segoe UI"/>
                <w:b/>
                <w:sz w:val="18"/>
                <w:szCs w:val="18"/>
              </w:rPr>
            </w:pPr>
          </w:p>
        </w:tc>
        <w:tc>
          <w:tcPr>
            <w:tcW w:w="971" w:type="pct"/>
            <w:tcBorders>
              <w:top w:val="single" w:sz="4" w:space="0" w:color="314364" w:themeColor="text2"/>
              <w:left w:val="nil"/>
              <w:bottom w:val="single" w:sz="4" w:space="0" w:color="314364" w:themeColor="text2"/>
              <w:right w:val="nil"/>
            </w:tcBorders>
            <w:shd w:val="clear" w:color="auto" w:fill="auto"/>
            <w:vAlign w:val="center"/>
            <w:hideMark/>
          </w:tcPr>
          <w:p w14:paraId="145B2879" w14:textId="77777777" w:rsidR="0022613F" w:rsidRPr="0087188A" w:rsidRDefault="0022613F" w:rsidP="00B571E8">
            <w:pPr>
              <w:spacing w:after="0"/>
              <w:ind w:right="495"/>
              <w:jc w:val="center"/>
              <w:rPr>
                <w:rFonts w:cs="Segoe UI"/>
                <w:b/>
                <w:sz w:val="18"/>
                <w:szCs w:val="18"/>
              </w:rPr>
            </w:pPr>
            <w:r w:rsidRPr="0087188A">
              <w:rPr>
                <w:rFonts w:cs="Segoe UI"/>
                <w:b/>
                <w:sz w:val="18"/>
                <w:szCs w:val="18"/>
              </w:rPr>
              <w:t>3 471,8</w:t>
            </w:r>
          </w:p>
        </w:tc>
      </w:tr>
    </w:tbl>
    <w:p w14:paraId="297957F4" w14:textId="77777777" w:rsidR="0022613F" w:rsidRDefault="0022613F" w:rsidP="0022613F">
      <w:pPr>
        <w:pStyle w:val="Zdroj"/>
        <w:rPr>
          <w:rFonts w:cs="Segoe UI"/>
          <w:color w:val="24324A" w:themeColor="text2" w:themeShade="BF"/>
          <w:szCs w:val="16"/>
        </w:rPr>
      </w:pPr>
      <w:r w:rsidRPr="006472DF">
        <w:rPr>
          <w:rFonts w:cs="Segoe UI"/>
          <w:color w:val="24324A" w:themeColor="text2" w:themeShade="BF"/>
          <w:szCs w:val="16"/>
        </w:rPr>
        <w:t>Zdroj: EK</w:t>
      </w:r>
      <w:r>
        <w:rPr>
          <w:rFonts w:cs="Segoe UI"/>
          <w:color w:val="24324A" w:themeColor="text2" w:themeShade="BF"/>
          <w:szCs w:val="16"/>
        </w:rPr>
        <w:t>.</w:t>
      </w:r>
      <w:r w:rsidRPr="006472DF">
        <w:rPr>
          <w:rFonts w:cs="Segoe UI"/>
          <w:color w:val="24324A" w:themeColor="text2" w:themeShade="BF"/>
          <w:szCs w:val="16"/>
        </w:rPr>
        <w:t xml:space="preserve"> </w:t>
      </w:r>
      <w:r>
        <w:rPr>
          <w:rFonts w:cs="Segoe UI"/>
          <w:color w:val="24324A" w:themeColor="text2" w:themeShade="BF"/>
          <w:szCs w:val="16"/>
          <w:lang w:val="en-US"/>
        </w:rPr>
        <w:t>[</w:t>
      </w:r>
      <w:hyperlink r:id="rId32" w:history="1">
        <w:r w:rsidRPr="006472DF">
          <w:rPr>
            <w:rFonts w:cs="Segoe UI"/>
            <w:color w:val="24324A" w:themeColor="text2" w:themeShade="BF"/>
            <w:szCs w:val="16"/>
          </w:rPr>
          <w:t>online</w:t>
        </w:r>
      </w:hyperlink>
      <w:r>
        <w:rPr>
          <w:rFonts w:cs="Segoe UI"/>
          <w:color w:val="24324A" w:themeColor="text2" w:themeShade="BF"/>
          <w:szCs w:val="16"/>
        </w:rPr>
        <w:t>].</w:t>
      </w:r>
    </w:p>
    <w:p w14:paraId="61AA593C" w14:textId="27BB89FF" w:rsidR="00362D45" w:rsidRDefault="00362D45" w:rsidP="00362D45">
      <w:pPr>
        <w:rPr>
          <w:rFonts w:cs="Segoe UI"/>
          <w:szCs w:val="20"/>
        </w:rPr>
      </w:pPr>
      <w:r w:rsidRPr="0087188A">
        <w:rPr>
          <w:rFonts w:cs="Segoe UI"/>
          <w:b/>
          <w:szCs w:val="20"/>
        </w:rPr>
        <w:t xml:space="preserve">NIKA plánuje </w:t>
      </w:r>
      <w:r>
        <w:rPr>
          <w:rFonts w:cs="Segoe UI"/>
          <w:b/>
          <w:szCs w:val="20"/>
        </w:rPr>
        <w:t>v decembri</w:t>
      </w:r>
      <w:r w:rsidRPr="0087188A">
        <w:rPr>
          <w:rFonts w:cs="Segoe UI"/>
          <w:b/>
          <w:szCs w:val="20"/>
        </w:rPr>
        <w:t xml:space="preserve"> 2024 predložiť na EK piatu žiadosť o platbu v objeme 597,8 mil. eur.</w:t>
      </w:r>
      <w:r w:rsidRPr="009A6463">
        <w:rPr>
          <w:rFonts w:cs="Segoe UI"/>
          <w:szCs w:val="20"/>
        </w:rPr>
        <w:t xml:space="preserve"> K </w:t>
      </w:r>
      <w:r>
        <w:rPr>
          <w:rFonts w:cs="Segoe UI"/>
          <w:szCs w:val="20"/>
        </w:rPr>
        <w:t>žiadosti</w:t>
      </w:r>
      <w:r w:rsidRPr="009A6463">
        <w:rPr>
          <w:rFonts w:cs="Segoe UI"/>
          <w:szCs w:val="20"/>
        </w:rPr>
        <w:t xml:space="preserve"> sa viaže potreba </w:t>
      </w:r>
      <w:r w:rsidR="004C5C0F">
        <w:rPr>
          <w:rFonts w:cs="Segoe UI"/>
          <w:szCs w:val="20"/>
        </w:rPr>
        <w:t>s</w:t>
      </w:r>
      <w:r w:rsidRPr="009A6463">
        <w:rPr>
          <w:rFonts w:cs="Segoe UI"/>
          <w:szCs w:val="20"/>
        </w:rPr>
        <w:t>plnenia 21 míľnikov a cieľov</w:t>
      </w:r>
      <w:r w:rsidRPr="009A6463">
        <w:rPr>
          <w:rStyle w:val="Odkaznapoznmkupodiarou"/>
          <w:rFonts w:cs="Segoe UI"/>
          <w:szCs w:val="20"/>
        </w:rPr>
        <w:footnoteReference w:id="64"/>
      </w:r>
      <w:r>
        <w:rPr>
          <w:rFonts w:cs="Segoe UI"/>
          <w:szCs w:val="20"/>
        </w:rPr>
        <w:t xml:space="preserve">. Aktuálne sú potrebné rokovania s EK k </w:t>
      </w:r>
      <w:r w:rsidR="00F10A2D">
        <w:rPr>
          <w:rFonts w:cs="Segoe UI"/>
          <w:szCs w:val="20"/>
        </w:rPr>
        <w:t> </w:t>
      </w:r>
      <w:r>
        <w:rPr>
          <w:rFonts w:cs="Segoe UI"/>
          <w:szCs w:val="20"/>
        </w:rPr>
        <w:t>štyrom problematickým míľnikom a cieľom</w:t>
      </w:r>
      <w:r>
        <w:rPr>
          <w:rStyle w:val="Odkaznapoznmkupodiarou"/>
          <w:rFonts w:cs="Segoe UI"/>
          <w:szCs w:val="20"/>
        </w:rPr>
        <w:footnoteReference w:id="65"/>
      </w:r>
      <w:r>
        <w:rPr>
          <w:rFonts w:cs="Segoe UI"/>
          <w:szCs w:val="20"/>
        </w:rPr>
        <w:t xml:space="preserve">, ktorých splnenie bolo oneskorené, prípadne je </w:t>
      </w:r>
      <w:r>
        <w:rPr>
          <w:rFonts w:cs="Segoe UI"/>
          <w:szCs w:val="20"/>
        </w:rPr>
        <w:lastRenderedPageBreak/>
        <w:t>ohrozené či nereálne a vyžadujú si revíziu POO. V prípade zaslania žiadosti o platbu, v rámci ktorej nebudú splnené míľniky a ciele, hrozí zo strany EK krátenie finančného príspevku z POO. Za predpokladu, že EK bude súhlasiť s revíziou POO, je možné očakávať, že to s</w:t>
      </w:r>
      <w:r w:rsidRPr="009A6463">
        <w:rPr>
          <w:rFonts w:cs="Segoe UI"/>
          <w:szCs w:val="20"/>
        </w:rPr>
        <w:t>pôsob</w:t>
      </w:r>
      <w:r>
        <w:rPr>
          <w:rFonts w:cs="Segoe UI"/>
          <w:szCs w:val="20"/>
        </w:rPr>
        <w:t xml:space="preserve">í </w:t>
      </w:r>
      <w:r w:rsidRPr="009A6463">
        <w:rPr>
          <w:rFonts w:cs="Segoe UI"/>
          <w:szCs w:val="20"/>
        </w:rPr>
        <w:t xml:space="preserve">odklad zaslania </w:t>
      </w:r>
      <w:r>
        <w:rPr>
          <w:rFonts w:cs="Segoe UI"/>
          <w:szCs w:val="20"/>
        </w:rPr>
        <w:t xml:space="preserve">piatej </w:t>
      </w:r>
      <w:r w:rsidRPr="009A6463">
        <w:rPr>
          <w:rFonts w:cs="Segoe UI"/>
          <w:szCs w:val="20"/>
        </w:rPr>
        <w:t xml:space="preserve">žiadosti až </w:t>
      </w:r>
      <w:r>
        <w:rPr>
          <w:rFonts w:cs="Segoe UI"/>
          <w:szCs w:val="20"/>
        </w:rPr>
        <w:t>do začiatku roku 2025, s čím súvisí aj neskorší príjem prostriedkov POO z EK.</w:t>
      </w:r>
    </w:p>
    <w:p w14:paraId="5F2E4044" w14:textId="2577F697" w:rsidR="00362D45" w:rsidRPr="00D07A4C" w:rsidRDefault="00362D45" w:rsidP="00362D45">
      <w:pPr>
        <w:rPr>
          <w:rFonts w:cs="Segoe UI"/>
          <w:b/>
          <w:szCs w:val="20"/>
        </w:rPr>
      </w:pPr>
      <w:r w:rsidRPr="00CF3536">
        <w:rPr>
          <w:rFonts w:cs="Segoe UI"/>
          <w:b/>
          <w:szCs w:val="20"/>
        </w:rPr>
        <w:t>V súvislosti s piatou žiadosťou o platbu došlo k</w:t>
      </w:r>
      <w:r>
        <w:rPr>
          <w:rFonts w:cs="Segoe UI"/>
          <w:b/>
          <w:szCs w:val="20"/>
        </w:rPr>
        <w:t> </w:t>
      </w:r>
      <w:r w:rsidRPr="00CF3536">
        <w:rPr>
          <w:rFonts w:cs="Segoe UI"/>
          <w:b/>
          <w:szCs w:val="20"/>
        </w:rPr>
        <w:t>naplneniu</w:t>
      </w:r>
      <w:r>
        <w:rPr>
          <w:rFonts w:cs="Segoe UI"/>
          <w:b/>
          <w:szCs w:val="20"/>
        </w:rPr>
        <w:t xml:space="preserve"> takmer rok</w:t>
      </w:r>
      <w:r w:rsidRPr="00CF3536">
        <w:rPr>
          <w:rFonts w:cs="Segoe UI"/>
          <w:b/>
          <w:szCs w:val="20"/>
        </w:rPr>
        <w:t xml:space="preserve"> meškajúceho míľnika „Zriadenie ústredného orgánu pre správu nemocníc z organizačného, prevádzkového a ekonomického hľadiska“</w:t>
      </w:r>
      <w:r w:rsidRPr="00CF3536">
        <w:rPr>
          <w:rFonts w:cs="Segoe UI"/>
          <w:szCs w:val="20"/>
        </w:rPr>
        <w:t xml:space="preserve">, keď s účinnosťou od 1. </w:t>
      </w:r>
      <w:r w:rsidR="00D07A4C">
        <w:rPr>
          <w:rFonts w:cs="Segoe UI"/>
          <w:szCs w:val="20"/>
        </w:rPr>
        <w:t>októbra</w:t>
      </w:r>
      <w:r w:rsidRPr="00CF3536">
        <w:rPr>
          <w:rFonts w:cs="Segoe UI"/>
          <w:szCs w:val="20"/>
        </w:rPr>
        <w:t xml:space="preserve"> 2024 bol na MZ SR zriadený nový organizačný útvar </w:t>
      </w:r>
      <w:r>
        <w:rPr>
          <w:rFonts w:cs="Segoe UI"/>
          <w:szCs w:val="20"/>
        </w:rPr>
        <w:t xml:space="preserve">– </w:t>
      </w:r>
      <w:r w:rsidRPr="00CF3536">
        <w:rPr>
          <w:rFonts w:cs="Segoe UI"/>
          <w:szCs w:val="20"/>
        </w:rPr>
        <w:t xml:space="preserve">Sekcia centrálneho riadenia a koordinácie podriadených organizácií. </w:t>
      </w:r>
      <w:r w:rsidR="00D07A4C" w:rsidRPr="00D07A4C">
        <w:rPr>
          <w:rFonts w:cs="Segoe UI"/>
          <w:b/>
          <w:szCs w:val="20"/>
        </w:rPr>
        <w:t xml:space="preserve">NKÚ SR upozorňuje, aby </w:t>
      </w:r>
      <w:r w:rsidRPr="00D07A4C">
        <w:rPr>
          <w:rFonts w:cs="Segoe UI"/>
          <w:b/>
          <w:szCs w:val="20"/>
        </w:rPr>
        <w:t>toto opatrenie nezostalo len v rovine formálneho splnenia míľnika POO, ale aby sa prejavilo vo forme synergií a  v lepšom fungovaní a hospodárení centrálne riadených nemocníc.</w:t>
      </w:r>
    </w:p>
    <w:p w14:paraId="0C645902" w14:textId="1D6A51D1" w:rsidR="00362D45" w:rsidRPr="0087188A" w:rsidRDefault="00362D45" w:rsidP="00362D45">
      <w:pPr>
        <w:rPr>
          <w:rFonts w:cs="Segoe UI"/>
          <w:szCs w:val="20"/>
        </w:rPr>
      </w:pPr>
      <w:r w:rsidRPr="00CF3536">
        <w:rPr>
          <w:rFonts w:cs="Segoe UI"/>
          <w:b/>
          <w:szCs w:val="20"/>
        </w:rPr>
        <w:t>V roku 2025</w:t>
      </w:r>
      <w:r>
        <w:rPr>
          <w:rFonts w:cs="Segoe UI"/>
          <w:b/>
          <w:szCs w:val="20"/>
        </w:rPr>
        <w:t xml:space="preserve"> </w:t>
      </w:r>
      <w:r w:rsidRPr="00CF3536">
        <w:rPr>
          <w:rFonts w:cs="Segoe UI"/>
          <w:b/>
          <w:szCs w:val="20"/>
        </w:rPr>
        <w:t>v zmysle harmonogramu</w:t>
      </w:r>
      <w:r w:rsidRPr="00CF3536">
        <w:rPr>
          <w:rStyle w:val="Odkaznapoznmkupodiarou"/>
          <w:rFonts w:cs="Segoe UI"/>
          <w:szCs w:val="20"/>
        </w:rPr>
        <w:footnoteReference w:id="66"/>
      </w:r>
      <w:r w:rsidRPr="00CF3536">
        <w:rPr>
          <w:rFonts w:cs="Segoe UI"/>
          <w:b/>
          <w:szCs w:val="20"/>
        </w:rPr>
        <w:t xml:space="preserve"> budú na EK predložené ďalšie dve žiadosti o platbu </w:t>
      </w:r>
      <w:r>
        <w:rPr>
          <w:rFonts w:cs="Segoe UI"/>
          <w:b/>
          <w:szCs w:val="20"/>
        </w:rPr>
        <w:t xml:space="preserve">spolu </w:t>
      </w:r>
      <w:r w:rsidRPr="00CF3536">
        <w:rPr>
          <w:rFonts w:cs="Segoe UI"/>
          <w:b/>
          <w:szCs w:val="20"/>
        </w:rPr>
        <w:t>v sume 1 699,1 mil. eur.</w:t>
      </w:r>
      <w:r>
        <w:rPr>
          <w:rFonts w:cs="Segoe UI"/>
          <w:b/>
          <w:szCs w:val="20"/>
        </w:rPr>
        <w:t xml:space="preserve"> </w:t>
      </w:r>
      <w:r w:rsidRPr="0087188A">
        <w:rPr>
          <w:rFonts w:cs="Segoe UI"/>
          <w:szCs w:val="20"/>
        </w:rPr>
        <w:t xml:space="preserve">V súvislosti s predmetnými žiadosťami sa viaže </w:t>
      </w:r>
      <w:r>
        <w:rPr>
          <w:rFonts w:cs="Segoe UI"/>
          <w:szCs w:val="20"/>
        </w:rPr>
        <w:t>s</w:t>
      </w:r>
      <w:r w:rsidRPr="0087188A">
        <w:rPr>
          <w:rFonts w:cs="Segoe UI"/>
          <w:szCs w:val="20"/>
        </w:rPr>
        <w:t>plnenie 49 míľnikov a</w:t>
      </w:r>
      <w:r>
        <w:rPr>
          <w:rFonts w:cs="Segoe UI"/>
          <w:szCs w:val="20"/>
        </w:rPr>
        <w:t> </w:t>
      </w:r>
      <w:r w:rsidRPr="0087188A">
        <w:rPr>
          <w:rFonts w:cs="Segoe UI"/>
          <w:szCs w:val="20"/>
        </w:rPr>
        <w:t>cieľov</w:t>
      </w:r>
      <w:r>
        <w:rPr>
          <w:rFonts w:cs="Segoe UI"/>
          <w:szCs w:val="20"/>
        </w:rPr>
        <w:t>.</w:t>
      </w:r>
      <w:r w:rsidRPr="0087188A">
        <w:rPr>
          <w:rStyle w:val="Odkaznapoznmkupodiarou"/>
          <w:rFonts w:cs="Segoe UI"/>
          <w:szCs w:val="20"/>
        </w:rPr>
        <w:footnoteReference w:id="67"/>
      </w:r>
    </w:p>
    <w:p w14:paraId="00B74F36" w14:textId="1FFBDE69" w:rsidR="00362D45" w:rsidRPr="009A6463" w:rsidRDefault="00362D45" w:rsidP="00362D45">
      <w:pPr>
        <w:rPr>
          <w:rFonts w:cs="Segoe UI"/>
          <w:szCs w:val="20"/>
        </w:rPr>
      </w:pPr>
      <w:r w:rsidRPr="00362D45">
        <w:rPr>
          <w:rFonts w:cs="Segoe UI"/>
          <w:b/>
          <w:szCs w:val="20"/>
        </w:rPr>
        <w:t>Prostriedky POO poskytnuté prijímateľom k 31. 8. 2024 na základe predložených žiadostí o platbu predstavujú 272,2 mil. eur.</w:t>
      </w:r>
      <w:r w:rsidRPr="009A6463">
        <w:rPr>
          <w:rFonts w:cs="Segoe UI"/>
          <w:szCs w:val="20"/>
        </w:rPr>
        <w:t xml:space="preserve"> Spolu s vyplatenými prostriedkami na úhradu DPH</w:t>
      </w:r>
      <w:r>
        <w:rPr>
          <w:rStyle w:val="Odkaznapoznmkupodiarou"/>
          <w:rFonts w:cs="Segoe UI"/>
          <w:szCs w:val="20"/>
        </w:rPr>
        <w:footnoteReference w:id="68"/>
      </w:r>
      <w:r>
        <w:rPr>
          <w:rFonts w:cs="Segoe UI"/>
          <w:szCs w:val="20"/>
        </w:rPr>
        <w:t xml:space="preserve"> (25,8 mil. eur)</w:t>
      </w:r>
      <w:r w:rsidRPr="009A6463">
        <w:rPr>
          <w:rFonts w:cs="Segoe UI"/>
          <w:szCs w:val="20"/>
        </w:rPr>
        <w:t xml:space="preserve"> bolo celkom uhradených 298 mil. eur (</w:t>
      </w:r>
      <w:r>
        <w:rPr>
          <w:rFonts w:cs="Segoe UI"/>
          <w:szCs w:val="20"/>
        </w:rPr>
        <w:t>g</w:t>
      </w:r>
      <w:r w:rsidRPr="009A6463">
        <w:rPr>
          <w:rFonts w:cs="Segoe UI"/>
          <w:szCs w:val="20"/>
        </w:rPr>
        <w:t xml:space="preserve">raf </w:t>
      </w:r>
      <w:r>
        <w:rPr>
          <w:rFonts w:cs="Segoe UI"/>
          <w:szCs w:val="20"/>
        </w:rPr>
        <w:t>2</w:t>
      </w:r>
      <w:r w:rsidR="008E65AC">
        <w:rPr>
          <w:rFonts w:cs="Segoe UI"/>
          <w:szCs w:val="20"/>
        </w:rPr>
        <w:t>0</w:t>
      </w:r>
      <w:r w:rsidRPr="009A6463">
        <w:rPr>
          <w:rFonts w:cs="Segoe UI"/>
          <w:szCs w:val="20"/>
        </w:rPr>
        <w:t>)</w:t>
      </w:r>
      <w:r>
        <w:rPr>
          <w:rFonts w:cs="Segoe UI"/>
          <w:szCs w:val="20"/>
        </w:rPr>
        <w:t>.</w:t>
      </w:r>
    </w:p>
    <w:p w14:paraId="6BD9CEFD" w14:textId="213C42D8" w:rsidR="00E306F7" w:rsidRDefault="00E306F7" w:rsidP="00E306F7">
      <w:pPr>
        <w:pStyle w:val="Popis"/>
        <w:keepNext/>
        <w:rPr>
          <w:color w:val="314364"/>
        </w:rPr>
      </w:pPr>
      <w:r w:rsidRPr="0087188A">
        <w:rPr>
          <w:color w:val="314364"/>
        </w:rPr>
        <w:t xml:space="preserve">Graf </w:t>
      </w:r>
      <w:r>
        <w:rPr>
          <w:color w:val="314364"/>
        </w:rPr>
        <w:t>2</w:t>
      </w:r>
      <w:r w:rsidR="008E65AC">
        <w:rPr>
          <w:color w:val="314364"/>
        </w:rPr>
        <w:t>0</w:t>
      </w:r>
      <w:r w:rsidRPr="0087188A">
        <w:rPr>
          <w:color w:val="314364"/>
        </w:rPr>
        <w:t>:  Vyplatené prostriedky prijímateľom v rámci piatich pilierov POO so stavom k 31. 8. 2024</w:t>
      </w:r>
      <w:r>
        <w:rPr>
          <w:color w:val="314364"/>
        </w:rPr>
        <w:t xml:space="preserve"> (v mil. eur)</w:t>
      </w:r>
      <w:r w:rsidRPr="0087188A">
        <w:rPr>
          <w:color w:val="314364"/>
        </w:rPr>
        <w:t xml:space="preserve"> </w:t>
      </w:r>
    </w:p>
    <w:tbl>
      <w:tblPr>
        <w:tblStyle w:val="Mriekatabuky"/>
        <w:tblW w:w="9298" w:type="dxa"/>
        <w:tblCellMar>
          <w:left w:w="70" w:type="dxa"/>
          <w:right w:w="70" w:type="dxa"/>
        </w:tblCellMar>
        <w:tblLook w:val="04A0" w:firstRow="1" w:lastRow="0" w:firstColumn="1" w:lastColumn="0" w:noHBand="0" w:noVBand="1"/>
      </w:tblPr>
      <w:tblGrid>
        <w:gridCol w:w="9298"/>
      </w:tblGrid>
      <w:tr w:rsidR="00E306F7" w14:paraId="33B64049" w14:textId="77777777" w:rsidTr="00B57EEC">
        <w:trPr>
          <w:trHeight w:val="3402"/>
        </w:trPr>
        <w:tc>
          <w:tcPr>
            <w:tcW w:w="9298" w:type="dxa"/>
            <w:tcBorders>
              <w:top w:val="single" w:sz="4" w:space="0" w:color="314364" w:themeColor="text2"/>
              <w:left w:val="nil"/>
              <w:bottom w:val="single" w:sz="4" w:space="0" w:color="314364" w:themeColor="text2"/>
              <w:right w:val="nil"/>
            </w:tcBorders>
          </w:tcPr>
          <w:p w14:paraId="1DE6A0DF" w14:textId="77777777" w:rsidR="00E306F7" w:rsidRDefault="00E306F7" w:rsidP="00B57EEC">
            <w:pPr>
              <w:spacing w:after="0"/>
            </w:pPr>
            <w:r>
              <w:rPr>
                <w:noProof/>
                <w:lang w:eastAsia="sk-SK"/>
              </w:rPr>
              <w:drawing>
                <wp:inline distT="0" distB="0" distL="0" distR="0" wp14:anchorId="62EAD364" wp14:editId="65BCA0FB">
                  <wp:extent cx="5760000" cy="2160000"/>
                  <wp:effectExtent l="0" t="0" r="0" b="0"/>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14:paraId="7D6A1509" w14:textId="167A3F00" w:rsidR="00D81742" w:rsidRDefault="00E306F7" w:rsidP="00CF788C">
      <w:pPr>
        <w:pStyle w:val="Zdroj"/>
      </w:pPr>
      <w:r w:rsidRPr="00AB4817">
        <w:t>Zdroj: MF SR</w:t>
      </w:r>
      <w:r w:rsidR="00775C02">
        <w:t>.</w:t>
      </w:r>
      <w:r>
        <w:br/>
      </w:r>
      <w:r w:rsidRPr="00025051">
        <w:t>Poznámka</w:t>
      </w:r>
      <w:r w:rsidRPr="00E443A0">
        <w:t>:</w:t>
      </w:r>
      <w:r w:rsidRPr="00025051">
        <w:t xml:space="preserve"> Údaje nezahŕňajú prostriedky používané vykonávateľmi.</w:t>
      </w:r>
      <w:r w:rsidR="00D81742">
        <w:rPr>
          <w:i w:val="0"/>
        </w:rPr>
        <w:br w:type="page"/>
      </w:r>
    </w:p>
    <w:p w14:paraId="6EABA9F8" w14:textId="5648EBA0" w:rsidR="000D05F7" w:rsidRDefault="00EC6F47" w:rsidP="00AB4ACB">
      <w:pPr>
        <w:pStyle w:val="Nadpis1"/>
      </w:pPr>
      <w:bookmarkStart w:id="34" w:name="_Toc182559188"/>
      <w:r>
        <w:lastRenderedPageBreak/>
        <w:t>Súhrnné r</w:t>
      </w:r>
      <w:r w:rsidR="00AE01AE" w:rsidRPr="007E17E1">
        <w:t>iziká návrhu</w:t>
      </w:r>
      <w:r w:rsidR="000D05F7" w:rsidRPr="007E17E1">
        <w:t xml:space="preserve"> </w:t>
      </w:r>
      <w:r w:rsidR="00CC180B" w:rsidRPr="007E17E1">
        <w:t>ŠR</w:t>
      </w:r>
      <w:r w:rsidR="000D05F7" w:rsidRPr="007E17E1">
        <w:t xml:space="preserve"> na rok 202</w:t>
      </w:r>
      <w:bookmarkEnd w:id="26"/>
      <w:r w:rsidR="00A42016">
        <w:t>5</w:t>
      </w:r>
      <w:bookmarkEnd w:id="34"/>
    </w:p>
    <w:p w14:paraId="5E144EE2" w14:textId="0A874171" w:rsidR="00DD2450" w:rsidRDefault="00DD2450" w:rsidP="003C04E6">
      <w:r w:rsidRPr="00FE55C8">
        <w:rPr>
          <w:b/>
        </w:rPr>
        <w:t xml:space="preserve">Návrh </w:t>
      </w:r>
      <w:r w:rsidR="003C04E6" w:rsidRPr="00FE55C8">
        <w:rPr>
          <w:b/>
        </w:rPr>
        <w:t>ŠR</w:t>
      </w:r>
      <w:r w:rsidRPr="00FE55C8">
        <w:rPr>
          <w:b/>
        </w:rPr>
        <w:t xml:space="preserve"> reflektuje pokračujúcu konsolidáciu s cieľom stabilizácie dlhu a poklesu deficitu, pri súčasne narastajúcich výdavkoch spojených so správou štátneho dlhu.</w:t>
      </w:r>
      <w:r>
        <w:t xml:space="preserve"> Návrh rozpočtu na rok 2025 zároveň vznikal v prostredí novelizovaných rozpočtových pravidiel upravujúcich okrem iného rozpočtovanie rezerv, </w:t>
      </w:r>
      <w:r w:rsidR="00A550E4">
        <w:t xml:space="preserve">lehoty použitia bežných a </w:t>
      </w:r>
      <w:r>
        <w:t>kapitálov</w:t>
      </w:r>
      <w:r w:rsidR="00A550E4">
        <w:t>ých</w:t>
      </w:r>
      <w:r>
        <w:t xml:space="preserve"> výdavk</w:t>
      </w:r>
      <w:r w:rsidR="00A550E4">
        <w:t>ov</w:t>
      </w:r>
      <w:r>
        <w:t xml:space="preserve"> a predovšetkým celkové riadenie výdavkov rozpočtu spadajúcich pod legislatívne stanovený </w:t>
      </w:r>
      <w:r w:rsidR="003C04E6">
        <w:t>LVV</w:t>
      </w:r>
      <w:r w:rsidR="00CA2FEA">
        <w:t>.</w:t>
      </w:r>
    </w:p>
    <w:p w14:paraId="1E1B56A7" w14:textId="13D1B437" w:rsidR="00FE55C8" w:rsidRPr="005A4AE8" w:rsidRDefault="00FE55C8" w:rsidP="00FE55C8">
      <w:r>
        <w:rPr>
          <w:b/>
        </w:rPr>
        <w:t xml:space="preserve">Celkové príjmy ŠR </w:t>
      </w:r>
      <w:r w:rsidR="00C819ED">
        <w:rPr>
          <w:b/>
        </w:rPr>
        <w:t>majú rásť</w:t>
      </w:r>
      <w:r>
        <w:rPr>
          <w:b/>
        </w:rPr>
        <w:t xml:space="preserve"> rýchlejšie ako výdavky a schodok ŠR sa </w:t>
      </w:r>
      <w:r w:rsidR="00C819ED">
        <w:rPr>
          <w:b/>
        </w:rPr>
        <w:t>má znižovať</w:t>
      </w:r>
      <w:r>
        <w:rPr>
          <w:b/>
        </w:rPr>
        <w:t xml:space="preserve"> </w:t>
      </w:r>
      <w:r w:rsidRPr="00FE55C8">
        <w:t>(</w:t>
      </w:r>
      <w:r>
        <w:t>tabuľka 8)</w:t>
      </w:r>
      <w:r>
        <w:rPr>
          <w:b/>
        </w:rPr>
        <w:t>.</w:t>
      </w:r>
      <w:r>
        <w:t xml:space="preserve"> </w:t>
      </w:r>
      <w:r w:rsidR="00F521AD">
        <w:t>P</w:t>
      </w:r>
      <w:r>
        <w:t>ríjmy ŠR na rok 2025 sa rozpočtujú vo výške 27,6 mld. eur, čo je o 4,9 mld. viac ako v rozpočte na rok 2024. Celkové výdavky ŠR by mali medziročne stúpnuť o 3,</w:t>
      </w:r>
      <w:r w:rsidR="0048256A">
        <w:t>7</w:t>
      </w:r>
      <w:r>
        <w:t xml:space="preserve"> mld. eur z 30,3 mld. eur v 2024 na 34 mld. eur v 2025. Schodok ŠR by tak mal byť v roku 2025 nižší než v 2024 o 1,2 mld. eur. </w:t>
      </w:r>
    </w:p>
    <w:p w14:paraId="50A3EAF7" w14:textId="77777777" w:rsidR="00CA2FEA" w:rsidRDefault="00CA2FEA" w:rsidP="00CA2FEA">
      <w:pPr>
        <w:pStyle w:val="Popis"/>
        <w:keepNext/>
      </w:pPr>
      <w:r w:rsidRPr="004D2725">
        <w:t xml:space="preserve">Tabuľka </w:t>
      </w:r>
      <w:r>
        <w:t>8</w:t>
      </w:r>
      <w:r w:rsidRPr="004D2725">
        <w:t xml:space="preserve">: </w:t>
      </w:r>
      <w:r w:rsidRPr="00BC3044">
        <w:t>Celkové príjmy, výdavky a schodok štátneho rozpočtu (v mil. eur)</w:t>
      </w:r>
    </w:p>
    <w:tbl>
      <w:tblPr>
        <w:tblpPr w:leftFromText="141" w:rightFromText="141" w:vertAnchor="text" w:horzAnchor="margin" w:tblpXSpec="center" w:tblpY="72"/>
        <w:tblOverlap w:val="never"/>
        <w:tblW w:w="5000" w:type="pct"/>
        <w:tblCellMar>
          <w:top w:w="28" w:type="dxa"/>
        </w:tblCellMar>
        <w:tblLook w:val="04A0" w:firstRow="1" w:lastRow="0" w:firstColumn="1" w:lastColumn="0" w:noHBand="0" w:noVBand="1"/>
      </w:tblPr>
      <w:tblGrid>
        <w:gridCol w:w="1365"/>
        <w:gridCol w:w="1181"/>
        <w:gridCol w:w="1116"/>
        <w:gridCol w:w="956"/>
        <w:gridCol w:w="1116"/>
        <w:gridCol w:w="1114"/>
        <w:gridCol w:w="1114"/>
        <w:gridCol w:w="1108"/>
      </w:tblGrid>
      <w:tr w:rsidR="00CA2FEA" w:rsidRPr="00BC3044" w14:paraId="6423CE65" w14:textId="77777777" w:rsidTr="00DB793A">
        <w:trPr>
          <w:trHeight w:val="283"/>
        </w:trPr>
        <w:tc>
          <w:tcPr>
            <w:tcW w:w="753" w:type="pct"/>
            <w:tcBorders>
              <w:bottom w:val="single" w:sz="4" w:space="0" w:color="314364"/>
            </w:tcBorders>
            <w:shd w:val="clear" w:color="auto" w:fill="314364"/>
            <w:vAlign w:val="center"/>
          </w:tcPr>
          <w:p w14:paraId="3B79ED35" w14:textId="77777777" w:rsidR="00CA2FEA" w:rsidRPr="00BC3044" w:rsidRDefault="00CA2FEA" w:rsidP="00DB793A">
            <w:pPr>
              <w:spacing w:after="0" w:line="259" w:lineRule="auto"/>
              <w:jc w:val="left"/>
              <w:rPr>
                <w:rFonts w:cs="Segoe UI"/>
                <w:b/>
                <w:color w:val="FFFFFF" w:themeColor="background1"/>
                <w:sz w:val="18"/>
                <w:szCs w:val="18"/>
              </w:rPr>
            </w:pPr>
          </w:p>
        </w:tc>
        <w:tc>
          <w:tcPr>
            <w:tcW w:w="651" w:type="pct"/>
            <w:tcBorders>
              <w:bottom w:val="single" w:sz="4" w:space="0" w:color="314364"/>
            </w:tcBorders>
            <w:shd w:val="clear" w:color="auto" w:fill="314364"/>
            <w:vAlign w:val="center"/>
          </w:tcPr>
          <w:p w14:paraId="4F8DDE2C" w14:textId="77777777" w:rsidR="00CA2FEA" w:rsidRPr="00BC3044" w:rsidRDefault="00CA2FEA" w:rsidP="00DB793A">
            <w:pPr>
              <w:spacing w:after="0" w:line="259" w:lineRule="auto"/>
              <w:jc w:val="right"/>
              <w:rPr>
                <w:rFonts w:cs="Segoe UI"/>
                <w:b/>
                <w:color w:val="FFFFFF" w:themeColor="background1"/>
                <w:sz w:val="18"/>
                <w:szCs w:val="18"/>
              </w:rPr>
            </w:pPr>
            <w:r w:rsidRPr="00BC3044">
              <w:rPr>
                <w:rFonts w:cs="Segoe UI"/>
                <w:b/>
                <w:color w:val="FFFFFF" w:themeColor="background1"/>
                <w:sz w:val="18"/>
                <w:szCs w:val="18"/>
              </w:rPr>
              <w:t>2023 S</w:t>
            </w:r>
          </w:p>
        </w:tc>
        <w:tc>
          <w:tcPr>
            <w:tcW w:w="615" w:type="pct"/>
            <w:tcBorders>
              <w:bottom w:val="single" w:sz="4" w:space="0" w:color="314364"/>
            </w:tcBorders>
            <w:shd w:val="clear" w:color="auto" w:fill="314364"/>
            <w:vAlign w:val="center"/>
          </w:tcPr>
          <w:p w14:paraId="1091289C" w14:textId="77777777" w:rsidR="00CA2FEA" w:rsidRPr="00BC3044" w:rsidRDefault="00CA2FEA" w:rsidP="00DB793A">
            <w:pPr>
              <w:spacing w:after="0" w:line="259" w:lineRule="auto"/>
              <w:jc w:val="right"/>
              <w:rPr>
                <w:rFonts w:cs="Segoe UI"/>
                <w:b/>
                <w:color w:val="FFFFFF" w:themeColor="background1"/>
                <w:sz w:val="18"/>
                <w:szCs w:val="18"/>
              </w:rPr>
            </w:pPr>
            <w:r w:rsidRPr="00BC3044">
              <w:rPr>
                <w:rFonts w:cs="Segoe UI"/>
                <w:b/>
                <w:color w:val="FFFFFF" w:themeColor="background1"/>
                <w:sz w:val="18"/>
                <w:szCs w:val="18"/>
              </w:rPr>
              <w:t>2024 R</w:t>
            </w:r>
          </w:p>
        </w:tc>
        <w:tc>
          <w:tcPr>
            <w:tcW w:w="527" w:type="pct"/>
            <w:tcBorders>
              <w:bottom w:val="single" w:sz="4" w:space="0" w:color="314364"/>
            </w:tcBorders>
            <w:shd w:val="clear" w:color="auto" w:fill="314364"/>
            <w:vAlign w:val="center"/>
          </w:tcPr>
          <w:p w14:paraId="2BCFAE5B" w14:textId="77777777" w:rsidR="00CA2FEA" w:rsidRPr="00BC3044" w:rsidRDefault="00CA2FEA" w:rsidP="00DB793A">
            <w:pPr>
              <w:spacing w:after="0" w:line="259" w:lineRule="auto"/>
              <w:jc w:val="right"/>
              <w:rPr>
                <w:rFonts w:cs="Segoe UI"/>
                <w:b/>
                <w:color w:val="FFFFFF" w:themeColor="background1"/>
                <w:sz w:val="18"/>
                <w:szCs w:val="18"/>
              </w:rPr>
            </w:pPr>
            <w:r w:rsidRPr="00BC3044">
              <w:rPr>
                <w:rFonts w:cs="Segoe UI"/>
                <w:b/>
                <w:color w:val="FFFFFF" w:themeColor="background1"/>
                <w:sz w:val="18"/>
                <w:szCs w:val="18"/>
              </w:rPr>
              <w:t>2025 N</w:t>
            </w:r>
          </w:p>
        </w:tc>
        <w:tc>
          <w:tcPr>
            <w:tcW w:w="615" w:type="pct"/>
            <w:tcBorders>
              <w:bottom w:val="single" w:sz="4" w:space="0" w:color="314364"/>
            </w:tcBorders>
            <w:shd w:val="clear" w:color="auto" w:fill="314364"/>
            <w:vAlign w:val="center"/>
          </w:tcPr>
          <w:p w14:paraId="5960B00D" w14:textId="77777777" w:rsidR="00CA2FEA" w:rsidRPr="00BC3044" w:rsidRDefault="00CA2FEA" w:rsidP="00DB793A">
            <w:pPr>
              <w:spacing w:after="0" w:line="259" w:lineRule="auto"/>
              <w:jc w:val="right"/>
              <w:rPr>
                <w:rFonts w:cs="Segoe UI"/>
                <w:b/>
                <w:color w:val="FFFFFF" w:themeColor="background1"/>
                <w:sz w:val="18"/>
                <w:szCs w:val="18"/>
              </w:rPr>
            </w:pPr>
            <w:r w:rsidRPr="00BC3044">
              <w:rPr>
                <w:rFonts w:cs="Segoe UI"/>
                <w:b/>
                <w:color w:val="FFFFFF" w:themeColor="background1"/>
                <w:sz w:val="18"/>
                <w:szCs w:val="18"/>
              </w:rPr>
              <w:t>2026 N</w:t>
            </w:r>
          </w:p>
        </w:tc>
        <w:tc>
          <w:tcPr>
            <w:tcW w:w="614" w:type="pct"/>
            <w:tcBorders>
              <w:bottom w:val="single" w:sz="4" w:space="0" w:color="314364"/>
            </w:tcBorders>
            <w:shd w:val="clear" w:color="auto" w:fill="314364"/>
            <w:vAlign w:val="center"/>
          </w:tcPr>
          <w:p w14:paraId="6D4EB823" w14:textId="77777777" w:rsidR="00CA2FEA" w:rsidRPr="00BC3044" w:rsidRDefault="00CA2FEA" w:rsidP="00DB793A">
            <w:pPr>
              <w:spacing w:after="0" w:line="259" w:lineRule="auto"/>
              <w:jc w:val="right"/>
              <w:rPr>
                <w:rFonts w:cs="Segoe UI"/>
                <w:b/>
                <w:color w:val="FFFFFF" w:themeColor="background1"/>
                <w:sz w:val="18"/>
                <w:szCs w:val="18"/>
              </w:rPr>
            </w:pPr>
            <w:r w:rsidRPr="00BC3044">
              <w:rPr>
                <w:rFonts w:cs="Segoe UI"/>
                <w:b/>
                <w:color w:val="FFFFFF" w:themeColor="background1"/>
                <w:sz w:val="18"/>
                <w:szCs w:val="18"/>
              </w:rPr>
              <w:t>2027 N</w:t>
            </w:r>
          </w:p>
        </w:tc>
        <w:tc>
          <w:tcPr>
            <w:tcW w:w="614" w:type="pct"/>
            <w:tcBorders>
              <w:bottom w:val="single" w:sz="4" w:space="0" w:color="314364"/>
            </w:tcBorders>
            <w:shd w:val="clear" w:color="auto" w:fill="314364"/>
            <w:vAlign w:val="center"/>
          </w:tcPr>
          <w:p w14:paraId="7FFB199C" w14:textId="77777777" w:rsidR="00CA2FEA" w:rsidRPr="00BC3044" w:rsidRDefault="00CA2FEA" w:rsidP="00DB793A">
            <w:pPr>
              <w:spacing w:after="0" w:line="259" w:lineRule="auto"/>
              <w:jc w:val="right"/>
              <w:rPr>
                <w:rFonts w:cs="Segoe UI"/>
                <w:b/>
                <w:color w:val="FFFFFF" w:themeColor="background1"/>
                <w:sz w:val="18"/>
                <w:szCs w:val="18"/>
              </w:rPr>
            </w:pPr>
            <w:r w:rsidRPr="00BC3044">
              <w:rPr>
                <w:rFonts w:cs="Segoe UI"/>
                <w:b/>
                <w:color w:val="FFFFFF" w:themeColor="background1"/>
                <w:sz w:val="18"/>
                <w:szCs w:val="18"/>
              </w:rPr>
              <w:t>25</w:t>
            </w:r>
            <w:r>
              <w:rPr>
                <w:rFonts w:cs="Segoe UI"/>
                <w:b/>
                <w:color w:val="FFFFFF" w:themeColor="background1"/>
                <w:sz w:val="18"/>
                <w:szCs w:val="18"/>
              </w:rPr>
              <w:t>N</w:t>
            </w:r>
            <w:r w:rsidRPr="00BC3044">
              <w:rPr>
                <w:rFonts w:cs="Segoe UI"/>
                <w:b/>
                <w:color w:val="FFFFFF" w:themeColor="background1"/>
                <w:sz w:val="18"/>
                <w:szCs w:val="18"/>
              </w:rPr>
              <w:t>-24</w:t>
            </w:r>
            <w:r>
              <w:rPr>
                <w:rFonts w:cs="Segoe UI"/>
                <w:b/>
                <w:color w:val="FFFFFF" w:themeColor="background1"/>
                <w:sz w:val="18"/>
                <w:szCs w:val="18"/>
              </w:rPr>
              <w:t>R</w:t>
            </w:r>
          </w:p>
        </w:tc>
        <w:tc>
          <w:tcPr>
            <w:tcW w:w="611" w:type="pct"/>
            <w:tcBorders>
              <w:bottom w:val="single" w:sz="4" w:space="0" w:color="314364"/>
            </w:tcBorders>
            <w:shd w:val="clear" w:color="auto" w:fill="314364"/>
            <w:vAlign w:val="center"/>
          </w:tcPr>
          <w:p w14:paraId="5F128276" w14:textId="77777777" w:rsidR="00CA2FEA" w:rsidRPr="00BC3044" w:rsidRDefault="00CA2FEA" w:rsidP="00DB793A">
            <w:pPr>
              <w:spacing w:after="0" w:line="259" w:lineRule="auto"/>
              <w:jc w:val="right"/>
              <w:rPr>
                <w:rFonts w:cs="Segoe UI"/>
                <w:b/>
                <w:color w:val="FFFFFF" w:themeColor="background1"/>
                <w:sz w:val="18"/>
                <w:szCs w:val="18"/>
              </w:rPr>
            </w:pPr>
            <w:r w:rsidRPr="00BC3044">
              <w:rPr>
                <w:rFonts w:cs="Segoe UI"/>
                <w:b/>
                <w:color w:val="FFFFFF" w:themeColor="background1"/>
                <w:sz w:val="18"/>
                <w:szCs w:val="18"/>
              </w:rPr>
              <w:t>25</w:t>
            </w:r>
            <w:r>
              <w:rPr>
                <w:rFonts w:cs="Segoe UI"/>
                <w:b/>
                <w:color w:val="FFFFFF" w:themeColor="background1"/>
                <w:sz w:val="18"/>
                <w:szCs w:val="18"/>
              </w:rPr>
              <w:t>N</w:t>
            </w:r>
            <w:r w:rsidRPr="00BC3044">
              <w:rPr>
                <w:rFonts w:cs="Segoe UI"/>
                <w:b/>
                <w:color w:val="FFFFFF" w:themeColor="background1"/>
                <w:sz w:val="18"/>
                <w:szCs w:val="18"/>
              </w:rPr>
              <w:t>/24</w:t>
            </w:r>
            <w:r>
              <w:rPr>
                <w:rFonts w:cs="Segoe UI"/>
                <w:b/>
                <w:color w:val="FFFFFF" w:themeColor="background1"/>
                <w:sz w:val="18"/>
                <w:szCs w:val="18"/>
              </w:rPr>
              <w:t>R</w:t>
            </w:r>
          </w:p>
        </w:tc>
      </w:tr>
      <w:tr w:rsidR="00CA2FEA" w:rsidRPr="00BC3044" w14:paraId="6240199F" w14:textId="77777777" w:rsidTr="00DB793A">
        <w:trPr>
          <w:trHeight w:val="283"/>
        </w:trPr>
        <w:tc>
          <w:tcPr>
            <w:tcW w:w="753" w:type="pct"/>
            <w:vAlign w:val="center"/>
          </w:tcPr>
          <w:p w14:paraId="4CB1D740" w14:textId="77777777" w:rsidR="00CA2FEA" w:rsidRPr="00BC3044" w:rsidRDefault="00CA2FEA" w:rsidP="00DB793A">
            <w:pPr>
              <w:spacing w:after="0" w:line="259" w:lineRule="auto"/>
              <w:jc w:val="left"/>
              <w:rPr>
                <w:rFonts w:cs="Segoe UI"/>
                <w:sz w:val="18"/>
                <w:szCs w:val="18"/>
              </w:rPr>
            </w:pPr>
            <w:r w:rsidRPr="00BC3044">
              <w:rPr>
                <w:rFonts w:cs="Segoe UI"/>
                <w:color w:val="000000"/>
                <w:sz w:val="18"/>
                <w:szCs w:val="18"/>
              </w:rPr>
              <w:t>Príjmy</w:t>
            </w:r>
            <w:r>
              <w:rPr>
                <w:rFonts w:cs="Segoe UI"/>
                <w:color w:val="000000"/>
                <w:sz w:val="18"/>
                <w:szCs w:val="18"/>
              </w:rPr>
              <w:t xml:space="preserve"> ŠR</w:t>
            </w:r>
          </w:p>
        </w:tc>
        <w:tc>
          <w:tcPr>
            <w:tcW w:w="651" w:type="pct"/>
            <w:shd w:val="clear" w:color="auto" w:fill="auto"/>
            <w:vAlign w:val="center"/>
          </w:tcPr>
          <w:p w14:paraId="5D9B94EE" w14:textId="77777777" w:rsidR="00CA2FEA" w:rsidRPr="00BC3044" w:rsidRDefault="00CA2FEA" w:rsidP="00DB793A">
            <w:pPr>
              <w:spacing w:after="0" w:line="259" w:lineRule="auto"/>
              <w:jc w:val="right"/>
              <w:rPr>
                <w:rFonts w:cs="Segoe UI"/>
                <w:sz w:val="18"/>
                <w:szCs w:val="18"/>
              </w:rPr>
            </w:pPr>
            <w:r w:rsidRPr="00BC3044">
              <w:rPr>
                <w:rFonts w:cs="Segoe UI"/>
                <w:color w:val="000000"/>
                <w:sz w:val="18"/>
                <w:szCs w:val="18"/>
              </w:rPr>
              <w:t>23 689</w:t>
            </w:r>
          </w:p>
        </w:tc>
        <w:tc>
          <w:tcPr>
            <w:tcW w:w="615" w:type="pct"/>
            <w:vAlign w:val="center"/>
          </w:tcPr>
          <w:p w14:paraId="34AD50C5" w14:textId="77777777" w:rsidR="00CA2FEA" w:rsidRPr="00BC3044" w:rsidRDefault="00CA2FEA" w:rsidP="00DB793A">
            <w:pPr>
              <w:spacing w:after="0" w:line="259" w:lineRule="auto"/>
              <w:jc w:val="right"/>
              <w:rPr>
                <w:rFonts w:cs="Segoe UI"/>
                <w:sz w:val="18"/>
                <w:szCs w:val="18"/>
              </w:rPr>
            </w:pPr>
            <w:r w:rsidRPr="00BC3044">
              <w:rPr>
                <w:rFonts w:cs="Segoe UI"/>
                <w:color w:val="000000"/>
                <w:sz w:val="18"/>
                <w:szCs w:val="18"/>
              </w:rPr>
              <w:t>22 702</w:t>
            </w:r>
          </w:p>
        </w:tc>
        <w:tc>
          <w:tcPr>
            <w:tcW w:w="527" w:type="pct"/>
            <w:vAlign w:val="center"/>
          </w:tcPr>
          <w:p w14:paraId="78005507" w14:textId="77777777" w:rsidR="00CA2FEA" w:rsidRPr="00BC3044" w:rsidRDefault="00CA2FEA" w:rsidP="00DB793A">
            <w:pPr>
              <w:spacing w:after="0" w:line="259" w:lineRule="auto"/>
              <w:jc w:val="right"/>
              <w:rPr>
                <w:rFonts w:cs="Segoe UI"/>
                <w:sz w:val="18"/>
                <w:szCs w:val="18"/>
              </w:rPr>
            </w:pPr>
            <w:r w:rsidRPr="00BC3044">
              <w:rPr>
                <w:rFonts w:cs="Segoe UI"/>
                <w:color w:val="000000"/>
                <w:sz w:val="18"/>
                <w:szCs w:val="18"/>
              </w:rPr>
              <w:t>27 649</w:t>
            </w:r>
          </w:p>
        </w:tc>
        <w:tc>
          <w:tcPr>
            <w:tcW w:w="615" w:type="pct"/>
            <w:vAlign w:val="center"/>
          </w:tcPr>
          <w:p w14:paraId="3FCAE7FA" w14:textId="77777777" w:rsidR="00CA2FEA" w:rsidRPr="00BC3044" w:rsidRDefault="00CA2FEA" w:rsidP="00DB793A">
            <w:pPr>
              <w:spacing w:after="0" w:line="259" w:lineRule="auto"/>
              <w:jc w:val="right"/>
              <w:rPr>
                <w:rFonts w:cs="Segoe UI"/>
                <w:sz w:val="18"/>
                <w:szCs w:val="18"/>
              </w:rPr>
            </w:pPr>
            <w:r w:rsidRPr="00BC3044">
              <w:rPr>
                <w:rFonts w:cs="Segoe UI"/>
                <w:color w:val="000000"/>
                <w:sz w:val="18"/>
                <w:szCs w:val="18"/>
              </w:rPr>
              <w:t>28 907</w:t>
            </w:r>
          </w:p>
        </w:tc>
        <w:tc>
          <w:tcPr>
            <w:tcW w:w="614" w:type="pct"/>
            <w:vAlign w:val="center"/>
          </w:tcPr>
          <w:p w14:paraId="6632342A" w14:textId="77777777" w:rsidR="00CA2FEA" w:rsidRPr="00BC3044" w:rsidRDefault="00CA2FEA" w:rsidP="00DB793A">
            <w:pPr>
              <w:spacing w:after="0" w:line="259" w:lineRule="auto"/>
              <w:jc w:val="right"/>
              <w:rPr>
                <w:rFonts w:cs="Segoe UI"/>
                <w:sz w:val="18"/>
                <w:szCs w:val="18"/>
              </w:rPr>
            </w:pPr>
            <w:r w:rsidRPr="00BC3044">
              <w:rPr>
                <w:rFonts w:cs="Segoe UI"/>
                <w:color w:val="000000"/>
                <w:sz w:val="18"/>
                <w:szCs w:val="18"/>
              </w:rPr>
              <w:t>28 586</w:t>
            </w:r>
          </w:p>
        </w:tc>
        <w:tc>
          <w:tcPr>
            <w:tcW w:w="614" w:type="pct"/>
            <w:vAlign w:val="center"/>
          </w:tcPr>
          <w:p w14:paraId="2F082100" w14:textId="77777777" w:rsidR="00CA2FEA" w:rsidRPr="00BC3044" w:rsidRDefault="00CA2FEA" w:rsidP="00DB793A">
            <w:pPr>
              <w:spacing w:after="0" w:line="259" w:lineRule="auto"/>
              <w:jc w:val="right"/>
              <w:rPr>
                <w:rFonts w:cs="Segoe UI"/>
                <w:sz w:val="18"/>
                <w:szCs w:val="18"/>
              </w:rPr>
            </w:pPr>
            <w:r w:rsidRPr="00BC3044">
              <w:rPr>
                <w:rFonts w:cs="Segoe UI"/>
                <w:color w:val="000000"/>
                <w:sz w:val="18"/>
                <w:szCs w:val="18"/>
              </w:rPr>
              <w:t>4 947</w:t>
            </w:r>
          </w:p>
        </w:tc>
        <w:tc>
          <w:tcPr>
            <w:tcW w:w="611" w:type="pct"/>
            <w:vAlign w:val="center"/>
          </w:tcPr>
          <w:p w14:paraId="65E6CC7F" w14:textId="77777777" w:rsidR="00CA2FEA" w:rsidRPr="00BC3044" w:rsidRDefault="00CA2FEA" w:rsidP="00DB793A">
            <w:pPr>
              <w:spacing w:after="0" w:line="259" w:lineRule="auto"/>
              <w:jc w:val="right"/>
              <w:rPr>
                <w:rFonts w:cs="Segoe UI"/>
                <w:sz w:val="18"/>
                <w:szCs w:val="18"/>
              </w:rPr>
            </w:pPr>
            <w:r w:rsidRPr="00BC3044">
              <w:rPr>
                <w:rFonts w:cs="Segoe UI"/>
                <w:color w:val="000000"/>
                <w:sz w:val="18"/>
                <w:szCs w:val="18"/>
              </w:rPr>
              <w:t>121,8%</w:t>
            </w:r>
          </w:p>
        </w:tc>
      </w:tr>
      <w:tr w:rsidR="00CA2FEA" w:rsidRPr="00BC3044" w14:paraId="6539832C" w14:textId="77777777" w:rsidTr="00DB793A">
        <w:trPr>
          <w:trHeight w:val="283"/>
        </w:trPr>
        <w:tc>
          <w:tcPr>
            <w:tcW w:w="753" w:type="pct"/>
            <w:vAlign w:val="center"/>
          </w:tcPr>
          <w:p w14:paraId="5023E1C5" w14:textId="77777777" w:rsidR="00CA2FEA" w:rsidRPr="00BC3044" w:rsidRDefault="00CA2FEA" w:rsidP="00DB793A">
            <w:pPr>
              <w:spacing w:after="0" w:line="259" w:lineRule="auto"/>
              <w:ind w:right="-102"/>
              <w:jc w:val="left"/>
              <w:rPr>
                <w:rFonts w:cs="Segoe UI"/>
                <w:sz w:val="18"/>
                <w:szCs w:val="18"/>
              </w:rPr>
            </w:pPr>
            <w:r w:rsidRPr="00BC3044">
              <w:rPr>
                <w:rFonts w:cs="Segoe UI"/>
                <w:color w:val="000000"/>
                <w:sz w:val="18"/>
                <w:szCs w:val="18"/>
              </w:rPr>
              <w:t>Výdavky</w:t>
            </w:r>
            <w:r>
              <w:rPr>
                <w:rFonts w:cs="Segoe UI"/>
                <w:color w:val="000000"/>
                <w:sz w:val="18"/>
                <w:szCs w:val="18"/>
              </w:rPr>
              <w:t xml:space="preserve"> ŠR</w:t>
            </w:r>
          </w:p>
        </w:tc>
        <w:tc>
          <w:tcPr>
            <w:tcW w:w="651" w:type="pct"/>
            <w:shd w:val="clear" w:color="auto" w:fill="auto"/>
            <w:vAlign w:val="center"/>
          </w:tcPr>
          <w:p w14:paraId="0B9929D2" w14:textId="77777777" w:rsidR="00CA2FEA" w:rsidRPr="00BC3044" w:rsidRDefault="00CA2FEA" w:rsidP="00DB793A">
            <w:pPr>
              <w:spacing w:after="0" w:line="259" w:lineRule="auto"/>
              <w:jc w:val="right"/>
              <w:rPr>
                <w:rFonts w:cs="Segoe UI"/>
                <w:sz w:val="18"/>
                <w:szCs w:val="18"/>
              </w:rPr>
            </w:pPr>
            <w:r w:rsidRPr="00BC3044">
              <w:rPr>
                <w:rFonts w:cs="Segoe UI"/>
                <w:color w:val="000000"/>
                <w:sz w:val="18"/>
                <w:szCs w:val="18"/>
              </w:rPr>
              <w:t>31 364</w:t>
            </w:r>
          </w:p>
        </w:tc>
        <w:tc>
          <w:tcPr>
            <w:tcW w:w="615" w:type="pct"/>
            <w:vAlign w:val="center"/>
          </w:tcPr>
          <w:p w14:paraId="0DE61C4F" w14:textId="77777777" w:rsidR="00CA2FEA" w:rsidRPr="00BC3044" w:rsidRDefault="00CA2FEA" w:rsidP="00DB793A">
            <w:pPr>
              <w:spacing w:after="0" w:line="259" w:lineRule="auto"/>
              <w:jc w:val="right"/>
              <w:rPr>
                <w:rFonts w:cs="Segoe UI"/>
                <w:sz w:val="18"/>
                <w:szCs w:val="18"/>
              </w:rPr>
            </w:pPr>
            <w:r w:rsidRPr="00BC3044">
              <w:rPr>
                <w:rFonts w:cs="Segoe UI"/>
                <w:color w:val="000000"/>
                <w:sz w:val="18"/>
                <w:szCs w:val="18"/>
              </w:rPr>
              <w:t>30 318</w:t>
            </w:r>
          </w:p>
        </w:tc>
        <w:tc>
          <w:tcPr>
            <w:tcW w:w="527" w:type="pct"/>
            <w:vAlign w:val="center"/>
          </w:tcPr>
          <w:p w14:paraId="4FD8ACF5" w14:textId="77777777" w:rsidR="00CA2FEA" w:rsidRPr="00BC3044" w:rsidRDefault="00CA2FEA" w:rsidP="00DB793A">
            <w:pPr>
              <w:spacing w:after="0" w:line="259" w:lineRule="auto"/>
              <w:jc w:val="right"/>
              <w:rPr>
                <w:rFonts w:cs="Segoe UI"/>
                <w:sz w:val="18"/>
                <w:szCs w:val="18"/>
              </w:rPr>
            </w:pPr>
            <w:r w:rsidRPr="00BC3044">
              <w:rPr>
                <w:rFonts w:cs="Segoe UI"/>
                <w:color w:val="000000"/>
                <w:sz w:val="18"/>
                <w:szCs w:val="18"/>
              </w:rPr>
              <w:t>34 023</w:t>
            </w:r>
          </w:p>
        </w:tc>
        <w:tc>
          <w:tcPr>
            <w:tcW w:w="615" w:type="pct"/>
            <w:vAlign w:val="center"/>
          </w:tcPr>
          <w:p w14:paraId="46701DED" w14:textId="77777777" w:rsidR="00CA2FEA" w:rsidRPr="00BC3044" w:rsidRDefault="00CA2FEA" w:rsidP="00DB793A">
            <w:pPr>
              <w:spacing w:after="0" w:line="259" w:lineRule="auto"/>
              <w:jc w:val="right"/>
              <w:rPr>
                <w:rFonts w:cs="Segoe UI"/>
                <w:sz w:val="18"/>
                <w:szCs w:val="18"/>
              </w:rPr>
            </w:pPr>
            <w:r w:rsidRPr="00BC3044">
              <w:rPr>
                <w:rFonts w:cs="Segoe UI"/>
                <w:color w:val="000000"/>
                <w:sz w:val="18"/>
                <w:szCs w:val="18"/>
              </w:rPr>
              <w:t>35 041</w:t>
            </w:r>
          </w:p>
        </w:tc>
        <w:tc>
          <w:tcPr>
            <w:tcW w:w="614" w:type="pct"/>
            <w:vAlign w:val="center"/>
          </w:tcPr>
          <w:p w14:paraId="5638EEA7" w14:textId="77777777" w:rsidR="00CA2FEA" w:rsidRPr="00BC3044" w:rsidRDefault="00CA2FEA" w:rsidP="00DB793A">
            <w:pPr>
              <w:spacing w:after="0" w:line="259" w:lineRule="auto"/>
              <w:jc w:val="right"/>
              <w:rPr>
                <w:rFonts w:cs="Segoe UI"/>
                <w:sz w:val="18"/>
                <w:szCs w:val="18"/>
              </w:rPr>
            </w:pPr>
            <w:r w:rsidRPr="00BC3044">
              <w:rPr>
                <w:rFonts w:cs="Segoe UI"/>
                <w:color w:val="000000"/>
                <w:sz w:val="18"/>
                <w:szCs w:val="18"/>
              </w:rPr>
              <w:t>35 952</w:t>
            </w:r>
          </w:p>
        </w:tc>
        <w:tc>
          <w:tcPr>
            <w:tcW w:w="614" w:type="pct"/>
            <w:vAlign w:val="center"/>
          </w:tcPr>
          <w:p w14:paraId="61286989" w14:textId="77777777" w:rsidR="00CA2FEA" w:rsidRPr="00BC3044" w:rsidRDefault="00CA2FEA" w:rsidP="00DB793A">
            <w:pPr>
              <w:spacing w:after="0" w:line="259" w:lineRule="auto"/>
              <w:jc w:val="right"/>
              <w:rPr>
                <w:rFonts w:cs="Segoe UI"/>
                <w:sz w:val="18"/>
                <w:szCs w:val="18"/>
              </w:rPr>
            </w:pPr>
            <w:r w:rsidRPr="00BC3044">
              <w:rPr>
                <w:rFonts w:cs="Segoe UI"/>
                <w:color w:val="000000"/>
                <w:sz w:val="18"/>
                <w:szCs w:val="18"/>
              </w:rPr>
              <w:t>3 705</w:t>
            </w:r>
          </w:p>
        </w:tc>
        <w:tc>
          <w:tcPr>
            <w:tcW w:w="611" w:type="pct"/>
            <w:vAlign w:val="center"/>
          </w:tcPr>
          <w:p w14:paraId="6665AA0C" w14:textId="77777777" w:rsidR="00CA2FEA" w:rsidRPr="00BC3044" w:rsidRDefault="00CA2FEA" w:rsidP="00DB793A">
            <w:pPr>
              <w:spacing w:after="0" w:line="259" w:lineRule="auto"/>
              <w:jc w:val="right"/>
              <w:rPr>
                <w:rFonts w:cs="Segoe UI"/>
                <w:sz w:val="18"/>
                <w:szCs w:val="18"/>
              </w:rPr>
            </w:pPr>
            <w:r w:rsidRPr="00BC3044">
              <w:rPr>
                <w:rFonts w:cs="Segoe UI"/>
                <w:color w:val="000000"/>
                <w:sz w:val="18"/>
                <w:szCs w:val="18"/>
              </w:rPr>
              <w:t>112,2%</w:t>
            </w:r>
          </w:p>
        </w:tc>
      </w:tr>
      <w:tr w:rsidR="00CA2FEA" w:rsidRPr="00BC3044" w14:paraId="0C6F4F29" w14:textId="77777777" w:rsidTr="00DB793A">
        <w:trPr>
          <w:trHeight w:val="283"/>
        </w:trPr>
        <w:tc>
          <w:tcPr>
            <w:tcW w:w="753" w:type="pct"/>
            <w:tcBorders>
              <w:bottom w:val="single" w:sz="4" w:space="0" w:color="314364" w:themeColor="text2"/>
            </w:tcBorders>
            <w:vAlign w:val="center"/>
          </w:tcPr>
          <w:p w14:paraId="6A6A0FA4" w14:textId="77777777" w:rsidR="00CA2FEA" w:rsidRPr="00BC3044" w:rsidRDefault="00CA2FEA" w:rsidP="00DB793A">
            <w:pPr>
              <w:spacing w:after="0" w:line="259" w:lineRule="auto"/>
              <w:jc w:val="left"/>
              <w:rPr>
                <w:rFonts w:cs="Segoe UI"/>
                <w:b/>
                <w:sz w:val="18"/>
                <w:szCs w:val="18"/>
              </w:rPr>
            </w:pPr>
            <w:r w:rsidRPr="00BC3044">
              <w:rPr>
                <w:rFonts w:cs="Segoe UI"/>
                <w:b/>
                <w:color w:val="000000"/>
                <w:sz w:val="18"/>
                <w:szCs w:val="18"/>
              </w:rPr>
              <w:t>Schodok</w:t>
            </w:r>
            <w:r>
              <w:rPr>
                <w:rFonts w:cs="Segoe UI"/>
                <w:b/>
                <w:color w:val="000000"/>
                <w:sz w:val="18"/>
                <w:szCs w:val="18"/>
              </w:rPr>
              <w:t xml:space="preserve"> ŠR</w:t>
            </w:r>
          </w:p>
        </w:tc>
        <w:tc>
          <w:tcPr>
            <w:tcW w:w="651" w:type="pct"/>
            <w:tcBorders>
              <w:bottom w:val="single" w:sz="4" w:space="0" w:color="314364" w:themeColor="text2"/>
            </w:tcBorders>
            <w:shd w:val="clear" w:color="auto" w:fill="auto"/>
            <w:vAlign w:val="center"/>
          </w:tcPr>
          <w:p w14:paraId="01E6EC8F" w14:textId="77777777" w:rsidR="00CA2FEA" w:rsidRPr="00BC3044" w:rsidRDefault="00CA2FEA" w:rsidP="00DB793A">
            <w:pPr>
              <w:spacing w:after="0" w:line="259" w:lineRule="auto"/>
              <w:jc w:val="right"/>
              <w:rPr>
                <w:rFonts w:cs="Segoe UI"/>
                <w:b/>
                <w:sz w:val="18"/>
                <w:szCs w:val="18"/>
              </w:rPr>
            </w:pPr>
            <w:r w:rsidRPr="00BC3044">
              <w:rPr>
                <w:rFonts w:cs="Segoe UI"/>
                <w:b/>
                <w:color w:val="000000"/>
                <w:sz w:val="18"/>
                <w:szCs w:val="18"/>
              </w:rPr>
              <w:t>-7 675</w:t>
            </w:r>
          </w:p>
        </w:tc>
        <w:tc>
          <w:tcPr>
            <w:tcW w:w="615" w:type="pct"/>
            <w:tcBorders>
              <w:bottom w:val="single" w:sz="4" w:space="0" w:color="314364" w:themeColor="text2"/>
            </w:tcBorders>
            <w:vAlign w:val="center"/>
          </w:tcPr>
          <w:p w14:paraId="130DE598" w14:textId="77777777" w:rsidR="00CA2FEA" w:rsidRPr="00BC3044" w:rsidRDefault="00CA2FEA" w:rsidP="00DB793A">
            <w:pPr>
              <w:spacing w:after="0" w:line="259" w:lineRule="auto"/>
              <w:jc w:val="right"/>
              <w:rPr>
                <w:rFonts w:cs="Segoe UI"/>
                <w:b/>
                <w:sz w:val="18"/>
                <w:szCs w:val="18"/>
              </w:rPr>
            </w:pPr>
            <w:r w:rsidRPr="00BC3044">
              <w:rPr>
                <w:rFonts w:cs="Segoe UI"/>
                <w:b/>
                <w:color w:val="000000"/>
                <w:sz w:val="18"/>
                <w:szCs w:val="18"/>
              </w:rPr>
              <w:t>-7 616</w:t>
            </w:r>
          </w:p>
        </w:tc>
        <w:tc>
          <w:tcPr>
            <w:tcW w:w="527" w:type="pct"/>
            <w:tcBorders>
              <w:bottom w:val="single" w:sz="4" w:space="0" w:color="314364" w:themeColor="text2"/>
            </w:tcBorders>
            <w:vAlign w:val="center"/>
          </w:tcPr>
          <w:p w14:paraId="172DC22E" w14:textId="77777777" w:rsidR="00CA2FEA" w:rsidRPr="00BC3044" w:rsidRDefault="00CA2FEA" w:rsidP="00DB793A">
            <w:pPr>
              <w:spacing w:after="0" w:line="259" w:lineRule="auto"/>
              <w:jc w:val="right"/>
              <w:rPr>
                <w:rFonts w:cs="Segoe UI"/>
                <w:b/>
                <w:sz w:val="18"/>
                <w:szCs w:val="18"/>
              </w:rPr>
            </w:pPr>
            <w:r w:rsidRPr="00BC3044">
              <w:rPr>
                <w:rFonts w:cs="Segoe UI"/>
                <w:b/>
                <w:color w:val="000000"/>
                <w:sz w:val="18"/>
                <w:szCs w:val="18"/>
              </w:rPr>
              <w:t>-6 375</w:t>
            </w:r>
          </w:p>
        </w:tc>
        <w:tc>
          <w:tcPr>
            <w:tcW w:w="615" w:type="pct"/>
            <w:tcBorders>
              <w:bottom w:val="single" w:sz="4" w:space="0" w:color="314364" w:themeColor="text2"/>
            </w:tcBorders>
            <w:vAlign w:val="center"/>
          </w:tcPr>
          <w:p w14:paraId="517F0D8A" w14:textId="77777777" w:rsidR="00CA2FEA" w:rsidRPr="00BC3044" w:rsidRDefault="00CA2FEA" w:rsidP="00DB793A">
            <w:pPr>
              <w:spacing w:after="0" w:line="259" w:lineRule="auto"/>
              <w:jc w:val="right"/>
              <w:rPr>
                <w:rFonts w:cs="Segoe UI"/>
                <w:b/>
                <w:sz w:val="18"/>
                <w:szCs w:val="18"/>
              </w:rPr>
            </w:pPr>
            <w:r w:rsidRPr="00BC3044">
              <w:rPr>
                <w:rFonts w:cs="Segoe UI"/>
                <w:b/>
                <w:color w:val="000000"/>
                <w:sz w:val="18"/>
                <w:szCs w:val="18"/>
              </w:rPr>
              <w:t>-6 135</w:t>
            </w:r>
          </w:p>
        </w:tc>
        <w:tc>
          <w:tcPr>
            <w:tcW w:w="614" w:type="pct"/>
            <w:tcBorders>
              <w:bottom w:val="single" w:sz="4" w:space="0" w:color="314364" w:themeColor="text2"/>
            </w:tcBorders>
            <w:vAlign w:val="center"/>
          </w:tcPr>
          <w:p w14:paraId="12375521" w14:textId="77777777" w:rsidR="00CA2FEA" w:rsidRPr="00BC3044" w:rsidRDefault="00CA2FEA" w:rsidP="00DB793A">
            <w:pPr>
              <w:spacing w:after="0" w:line="259" w:lineRule="auto"/>
              <w:jc w:val="right"/>
              <w:rPr>
                <w:rFonts w:cs="Segoe UI"/>
                <w:b/>
                <w:sz w:val="18"/>
                <w:szCs w:val="18"/>
              </w:rPr>
            </w:pPr>
            <w:r w:rsidRPr="00BC3044">
              <w:rPr>
                <w:rFonts w:cs="Segoe UI"/>
                <w:b/>
                <w:color w:val="000000"/>
                <w:sz w:val="18"/>
                <w:szCs w:val="18"/>
              </w:rPr>
              <w:t>-7 367</w:t>
            </w:r>
          </w:p>
        </w:tc>
        <w:tc>
          <w:tcPr>
            <w:tcW w:w="614" w:type="pct"/>
            <w:tcBorders>
              <w:bottom w:val="single" w:sz="4" w:space="0" w:color="314364" w:themeColor="text2"/>
            </w:tcBorders>
            <w:vAlign w:val="center"/>
          </w:tcPr>
          <w:p w14:paraId="6FC99F56" w14:textId="77777777" w:rsidR="00CA2FEA" w:rsidRPr="00BC3044" w:rsidRDefault="00CA2FEA" w:rsidP="00DB793A">
            <w:pPr>
              <w:spacing w:after="0" w:line="259" w:lineRule="auto"/>
              <w:jc w:val="right"/>
              <w:rPr>
                <w:rFonts w:cs="Segoe UI"/>
                <w:b/>
                <w:sz w:val="18"/>
                <w:szCs w:val="18"/>
              </w:rPr>
            </w:pPr>
            <w:r w:rsidRPr="00BC3044">
              <w:rPr>
                <w:rFonts w:cs="Segoe UI"/>
                <w:b/>
                <w:color w:val="000000"/>
                <w:sz w:val="18"/>
                <w:szCs w:val="18"/>
              </w:rPr>
              <w:t>1 241</w:t>
            </w:r>
          </w:p>
        </w:tc>
        <w:tc>
          <w:tcPr>
            <w:tcW w:w="611" w:type="pct"/>
            <w:tcBorders>
              <w:bottom w:val="single" w:sz="4" w:space="0" w:color="314364" w:themeColor="text2"/>
            </w:tcBorders>
            <w:vAlign w:val="center"/>
          </w:tcPr>
          <w:p w14:paraId="24F2A9F8" w14:textId="77777777" w:rsidR="00CA2FEA" w:rsidRPr="00BC3044" w:rsidRDefault="00CA2FEA" w:rsidP="00DB793A">
            <w:pPr>
              <w:spacing w:after="0" w:line="259" w:lineRule="auto"/>
              <w:jc w:val="right"/>
              <w:rPr>
                <w:rFonts w:cs="Segoe UI"/>
                <w:b/>
                <w:sz w:val="18"/>
                <w:szCs w:val="18"/>
              </w:rPr>
            </w:pPr>
            <w:r w:rsidRPr="00BC3044">
              <w:rPr>
                <w:rFonts w:cs="Segoe UI"/>
                <w:b/>
                <w:color w:val="000000"/>
                <w:sz w:val="18"/>
                <w:szCs w:val="18"/>
              </w:rPr>
              <w:t>83,7%</w:t>
            </w:r>
          </w:p>
        </w:tc>
      </w:tr>
    </w:tbl>
    <w:p w14:paraId="253C96FC" w14:textId="77777777" w:rsidR="00CA2FEA" w:rsidRDefault="00CA2FEA" w:rsidP="00CA2FEA">
      <w:pPr>
        <w:pStyle w:val="Zdroj"/>
      </w:pPr>
      <w:r>
        <w:t>Zdroj: MF SR</w:t>
      </w:r>
    </w:p>
    <w:p w14:paraId="77C0F01F" w14:textId="14FD802E" w:rsidR="00F521AD" w:rsidRDefault="00DD2450" w:rsidP="00F521AD">
      <w:r w:rsidRPr="00AE64E9">
        <w:rPr>
          <w:b/>
        </w:rPr>
        <w:t xml:space="preserve">Plnenie príjmovej aj výdavkovej časti ŠR bude </w:t>
      </w:r>
      <w:r w:rsidR="005E2D27">
        <w:rPr>
          <w:b/>
        </w:rPr>
        <w:t xml:space="preserve">v roku 2025 </w:t>
      </w:r>
      <w:r w:rsidRPr="00AE64E9">
        <w:rPr>
          <w:b/>
        </w:rPr>
        <w:t>ovplyvnené viacerými rizikami</w:t>
      </w:r>
      <w:r>
        <w:t xml:space="preserve"> spojenými ako s prebiehajúcou konsolidáciou, tak s makroekonomic</w:t>
      </w:r>
      <w:r w:rsidR="00F521AD">
        <w:t>kým vývojom a ďalšími faktormi.</w:t>
      </w:r>
      <w:r w:rsidR="005064DD" w:rsidRPr="005064DD">
        <w:t xml:space="preserve"> </w:t>
      </w:r>
      <w:r w:rsidR="005064DD">
        <w:t xml:space="preserve">Vývoj príjmov a výdavkov ovplyvní finálny deficit </w:t>
      </w:r>
      <w:r w:rsidR="005064DD" w:rsidRPr="005064DD">
        <w:t>a náklady na správu dlhu</w:t>
      </w:r>
      <w:r w:rsidR="005064DD">
        <w:t xml:space="preserve">, ktoré rastú </w:t>
      </w:r>
      <w:r w:rsidR="005064DD" w:rsidRPr="005064DD">
        <w:t>každoročne</w:t>
      </w:r>
      <w:r w:rsidR="005064DD">
        <w:t xml:space="preserve"> tempom približne</w:t>
      </w:r>
      <w:r w:rsidR="005064DD" w:rsidRPr="005064DD">
        <w:t xml:space="preserve"> 20 % </w:t>
      </w:r>
      <w:r w:rsidR="005064DD">
        <w:t>(</w:t>
      </w:r>
      <w:r w:rsidR="00537E37">
        <w:t xml:space="preserve">v priemere </w:t>
      </w:r>
      <w:r w:rsidR="005064DD">
        <w:t>o</w:t>
      </w:r>
      <w:r w:rsidR="00537E37">
        <w:t xml:space="preserve"> 37</w:t>
      </w:r>
      <w:r w:rsidR="005064DD" w:rsidRPr="005064DD">
        <w:t>0 mil.</w:t>
      </w:r>
      <w:r w:rsidR="005064DD">
        <w:t xml:space="preserve"> eur).</w:t>
      </w:r>
    </w:p>
    <w:p w14:paraId="61DB5120" w14:textId="5BE01CCD" w:rsidR="00705B40" w:rsidRPr="005064DD" w:rsidRDefault="00705B40" w:rsidP="00705B40">
      <w:r w:rsidRPr="008C27A1">
        <w:rPr>
          <w:b/>
        </w:rPr>
        <w:t xml:space="preserve">Na príjmovej strane </w:t>
      </w:r>
      <w:r w:rsidR="0048256A">
        <w:rPr>
          <w:b/>
        </w:rPr>
        <w:t>radíme medzi</w:t>
      </w:r>
      <w:r w:rsidRPr="008C27A1">
        <w:rPr>
          <w:b/>
        </w:rPr>
        <w:t xml:space="preserve"> riziká </w:t>
      </w:r>
      <w:r w:rsidR="0048256A">
        <w:rPr>
          <w:b/>
        </w:rPr>
        <w:t xml:space="preserve">najmä </w:t>
      </w:r>
      <w:r w:rsidRPr="008C27A1">
        <w:rPr>
          <w:b/>
        </w:rPr>
        <w:t xml:space="preserve">úspešnosť výberu nového daňového mixu zavedeného v rámci konsolidácie. </w:t>
      </w:r>
      <w:r>
        <w:t xml:space="preserve">Konsolidačné opatrenia by mali do rozpočtu priniesť 2,7 mld. eur, z čoho </w:t>
      </w:r>
      <w:r w:rsidR="0048256A">
        <w:t xml:space="preserve">opatrenia na príjmovej strane </w:t>
      </w:r>
      <w:r>
        <w:t xml:space="preserve">majú zabezpečiť viac ako </w:t>
      </w:r>
      <w:r w:rsidR="0048256A">
        <w:t>8</w:t>
      </w:r>
      <w:r>
        <w:t>0 % (</w:t>
      </w:r>
      <w:r w:rsidR="0048256A">
        <w:t>2</w:t>
      </w:r>
      <w:r>
        <w:t>,</w:t>
      </w:r>
      <w:r w:rsidR="0048256A">
        <w:t>1</w:t>
      </w:r>
      <w:r>
        <w:t>6 mld. eur). Najväčšie riziko prináša nová daň z finančných transakcií, s ktorou v rámci EÚ má skúsenosti len Maďarsko</w:t>
      </w:r>
      <w:r w:rsidR="0048256A">
        <w:t xml:space="preserve"> a nemá skúsenosti žiadna z krajín platiacich eurom</w:t>
      </w:r>
      <w:r>
        <w:t xml:space="preserve">. </w:t>
      </w:r>
    </w:p>
    <w:p w14:paraId="2B7E720D" w14:textId="4BEBC0A0" w:rsidR="00F521AD" w:rsidRDefault="00F521AD" w:rsidP="00F521AD">
      <w:pPr>
        <w:rPr>
          <w:rFonts w:cs="Segoe UI"/>
          <w:szCs w:val="20"/>
          <w:lang w:eastAsia="sk-SK"/>
        </w:rPr>
      </w:pPr>
      <w:r w:rsidRPr="00DF3338">
        <w:rPr>
          <w:rFonts w:cs="Segoe UI"/>
          <w:b/>
          <w:szCs w:val="20"/>
          <w:lang w:eastAsia="sk-SK"/>
        </w:rPr>
        <w:t>V súvislosti s udržateľnosťou verejných financií v dlhodobom horizonte bude najväčšou výzvou starnutie obyvateľstva</w:t>
      </w:r>
      <w:r w:rsidR="005E2D27">
        <w:rPr>
          <w:rFonts w:cs="Segoe UI"/>
          <w:b/>
          <w:szCs w:val="20"/>
          <w:lang w:eastAsia="sk-SK"/>
        </w:rPr>
        <w:t xml:space="preserve"> a vykrývanie deficitného hospodárenia SP</w:t>
      </w:r>
      <w:r w:rsidR="004F4764">
        <w:rPr>
          <w:rFonts w:cs="Segoe UI"/>
          <w:szCs w:val="20"/>
          <w:lang w:eastAsia="sk-SK"/>
        </w:rPr>
        <w:t xml:space="preserve"> (v roku 2025 transferom </w:t>
      </w:r>
      <w:r w:rsidR="00995E45">
        <w:rPr>
          <w:rFonts w:cs="Segoe UI"/>
          <w:szCs w:val="20"/>
          <w:lang w:eastAsia="sk-SK"/>
        </w:rPr>
        <w:t xml:space="preserve">zo ŠR </w:t>
      </w:r>
      <w:r w:rsidR="004F4764">
        <w:rPr>
          <w:rFonts w:cs="Segoe UI"/>
          <w:szCs w:val="20"/>
          <w:lang w:eastAsia="sk-SK"/>
        </w:rPr>
        <w:t>vo výške 2,75 mld. eur)</w:t>
      </w:r>
      <w:r w:rsidRPr="00DF3338">
        <w:rPr>
          <w:rFonts w:cs="Segoe UI"/>
          <w:b/>
          <w:szCs w:val="20"/>
          <w:lang w:eastAsia="sk-SK"/>
        </w:rPr>
        <w:t>.</w:t>
      </w:r>
      <w:r w:rsidRPr="000430E7">
        <w:rPr>
          <w:rFonts w:cs="Segoe UI"/>
          <w:szCs w:val="20"/>
          <w:lang w:eastAsia="sk-SK"/>
        </w:rPr>
        <w:t xml:space="preserve"> Súčasne nastavené opatrenia v dôchodkovej politike vzhľadom na stav verejných financií nie sú dlhodobo udržateľné. V rozpočte na rok 2025 </w:t>
      </w:r>
      <w:r w:rsidR="008C27A1">
        <w:rPr>
          <w:rFonts w:cs="Segoe UI"/>
          <w:szCs w:val="20"/>
          <w:lang w:eastAsia="sk-SK"/>
        </w:rPr>
        <w:t xml:space="preserve">starobné </w:t>
      </w:r>
      <w:r w:rsidRPr="000430E7">
        <w:rPr>
          <w:rFonts w:cs="Segoe UI"/>
          <w:szCs w:val="20"/>
          <w:lang w:eastAsia="sk-SK"/>
        </w:rPr>
        <w:t xml:space="preserve">dôchodky predstavujú </w:t>
      </w:r>
      <w:r w:rsidR="008C27A1">
        <w:rPr>
          <w:rFonts w:cs="Segoe UI"/>
          <w:szCs w:val="20"/>
          <w:lang w:eastAsia="sk-SK"/>
        </w:rPr>
        <w:t xml:space="preserve">viac ako 10 mld. eur a tieto </w:t>
      </w:r>
      <w:r>
        <w:rPr>
          <w:rFonts w:cs="Segoe UI"/>
          <w:szCs w:val="20"/>
          <w:lang w:eastAsia="sk-SK"/>
        </w:rPr>
        <w:t xml:space="preserve">náklady sa budú </w:t>
      </w:r>
      <w:r w:rsidR="008C27A1">
        <w:rPr>
          <w:rFonts w:cs="Segoe UI"/>
          <w:szCs w:val="20"/>
          <w:lang w:eastAsia="sk-SK"/>
        </w:rPr>
        <w:t>ďalej</w:t>
      </w:r>
      <w:r>
        <w:rPr>
          <w:rFonts w:cs="Segoe UI"/>
          <w:szCs w:val="20"/>
          <w:lang w:eastAsia="sk-SK"/>
        </w:rPr>
        <w:t xml:space="preserve"> zvyšovať</w:t>
      </w:r>
      <w:r w:rsidR="009A0B30">
        <w:rPr>
          <w:rFonts w:cs="Segoe UI"/>
          <w:szCs w:val="20"/>
          <w:lang w:eastAsia="sk-SK"/>
        </w:rPr>
        <w:t>.</w:t>
      </w:r>
    </w:p>
    <w:p w14:paraId="52332A3D" w14:textId="34193243" w:rsidR="00DD2450" w:rsidRDefault="005E2D27" w:rsidP="005E2D27">
      <w:r w:rsidRPr="005E2D27">
        <w:rPr>
          <w:b/>
        </w:rPr>
        <w:t>Výdavkovú stranu rozpočtu zaťažuje aj p</w:t>
      </w:r>
      <w:r w:rsidR="00DD2450" w:rsidRPr="005E2D27">
        <w:rPr>
          <w:b/>
        </w:rPr>
        <w:t xml:space="preserve">okračujúce zadlžovanie </w:t>
      </w:r>
      <w:r w:rsidR="0048256A">
        <w:rPr>
          <w:b/>
        </w:rPr>
        <w:t xml:space="preserve">najväčších </w:t>
      </w:r>
      <w:r w:rsidR="00DD2450" w:rsidRPr="005E2D27">
        <w:rPr>
          <w:b/>
        </w:rPr>
        <w:t>zdravotníckych zariadení</w:t>
      </w:r>
      <w:r w:rsidR="004F4764">
        <w:rPr>
          <w:b/>
        </w:rPr>
        <w:t>, ktorých záväzky sú už vyššie ako 1 mld. eur</w:t>
      </w:r>
      <w:r w:rsidR="009A0B30">
        <w:rPr>
          <w:b/>
        </w:rPr>
        <w:t>.</w:t>
      </w:r>
      <w:r>
        <w:t xml:space="preserve"> </w:t>
      </w:r>
      <w:r w:rsidR="009A0B30">
        <w:t xml:space="preserve">Dlhodobé nesplácanie záväzkov </w:t>
      </w:r>
      <w:r w:rsidR="00C819ED">
        <w:t>eviduje</w:t>
      </w:r>
      <w:r w:rsidR="009A0B30">
        <w:t xml:space="preserve"> aj EK, ktorá vyhrala žalobu</w:t>
      </w:r>
      <w:r w:rsidR="0048256A">
        <w:t xml:space="preserve"> a tak</w:t>
      </w:r>
      <w:r w:rsidR="009A0B30">
        <w:t xml:space="preserve"> SR </w:t>
      </w:r>
      <w:r w:rsidR="0048256A">
        <w:t>nemá inú možnosť než predstaviť</w:t>
      </w:r>
      <w:r w:rsidR="00B027B6">
        <w:t xml:space="preserve"> dôveryhodný </w:t>
      </w:r>
      <w:r w:rsidR="0048256A">
        <w:t>plán</w:t>
      </w:r>
      <w:r w:rsidR="00B027B6">
        <w:t>, ktorý zabráni vzniku nových záväzkov po splatnosti</w:t>
      </w:r>
      <w:r w:rsidR="009A0B30">
        <w:t xml:space="preserve">. </w:t>
      </w:r>
      <w:r w:rsidR="009A0B30" w:rsidRPr="00EB0F09">
        <w:t>Neistota ohľadom výšky vy</w:t>
      </w:r>
      <w:r w:rsidR="009A0B30">
        <w:t>členených prostriedkov a spôsob</w:t>
      </w:r>
      <w:r w:rsidR="009A0B30" w:rsidRPr="00EB0F09">
        <w:t xml:space="preserve"> oddlžovania nemocníc predstavuje významné riziko pre budúcoročný rozpočet</w:t>
      </w:r>
      <w:r w:rsidR="009A0B30">
        <w:t xml:space="preserve"> </w:t>
      </w:r>
      <w:r>
        <w:t>(viac v kapitole 5.1.</w:t>
      </w:r>
      <w:r w:rsidR="004F4764">
        <w:t>3</w:t>
      </w:r>
      <w:r>
        <w:t>)</w:t>
      </w:r>
      <w:r w:rsidR="004F4764">
        <w:t>.</w:t>
      </w:r>
    </w:p>
    <w:p w14:paraId="6C8D0F5F" w14:textId="311AE903" w:rsidR="00AD357D" w:rsidRDefault="005E2D27" w:rsidP="00AD357D">
      <w:pPr>
        <w:rPr>
          <w:rFonts w:cs="Segoe UI"/>
          <w:szCs w:val="20"/>
          <w:lang w:eastAsia="sk-SK"/>
        </w:rPr>
      </w:pPr>
      <w:r>
        <w:rPr>
          <w:rFonts w:cs="Segoe UI"/>
          <w:b/>
          <w:szCs w:val="20"/>
          <w:lang w:eastAsia="sk-SK"/>
        </w:rPr>
        <w:t xml:space="preserve">NKÚ SR </w:t>
      </w:r>
      <w:r w:rsidR="00590EDF" w:rsidRPr="00742360">
        <w:rPr>
          <w:rFonts w:cs="Segoe UI"/>
          <w:b/>
          <w:szCs w:val="20"/>
          <w:lang w:eastAsia="sk-SK"/>
        </w:rPr>
        <w:t xml:space="preserve">upozorňuje </w:t>
      </w:r>
      <w:r>
        <w:rPr>
          <w:rFonts w:cs="Segoe UI"/>
          <w:b/>
          <w:szCs w:val="20"/>
          <w:lang w:eastAsia="sk-SK"/>
        </w:rPr>
        <w:t xml:space="preserve">aj </w:t>
      </w:r>
      <w:r w:rsidR="00AD357D" w:rsidRPr="00742360">
        <w:rPr>
          <w:rFonts w:cs="Segoe UI"/>
          <w:b/>
          <w:szCs w:val="20"/>
          <w:lang w:eastAsia="sk-SK"/>
        </w:rPr>
        <w:t>na riziká v podobe navýšení rozpočtov niektorých kapitol.</w:t>
      </w:r>
      <w:r w:rsidR="00AD357D" w:rsidRPr="000430E7">
        <w:rPr>
          <w:rFonts w:cs="Segoe UI"/>
          <w:szCs w:val="20"/>
          <w:lang w:eastAsia="sk-SK"/>
        </w:rPr>
        <w:t xml:space="preserve"> </w:t>
      </w:r>
      <w:r w:rsidR="004C5C0F" w:rsidRPr="004C5C0F">
        <w:rPr>
          <w:rFonts w:cs="Segoe UI"/>
          <w:szCs w:val="20"/>
          <w:lang w:eastAsia="sk-SK"/>
        </w:rPr>
        <w:t>Pre rok 2025 sú v prípade 19 kapitol rozpočtované vyššie výdavky oproti rozpočtu na rok 2024 a očakávanej skutočnosti v tomto roku.</w:t>
      </w:r>
      <w:r w:rsidR="00AD357D" w:rsidRPr="005E62E7">
        <w:rPr>
          <w:rFonts w:cs="Segoe UI"/>
          <w:szCs w:val="20"/>
          <w:lang w:eastAsia="sk-SK"/>
        </w:rPr>
        <w:t xml:space="preserve"> </w:t>
      </w:r>
      <w:r w:rsidR="00AD357D">
        <w:rPr>
          <w:rFonts w:cs="Segoe UI"/>
          <w:szCs w:val="20"/>
          <w:lang w:eastAsia="sk-SK"/>
        </w:rPr>
        <w:t>Najvýraznejšie</w:t>
      </w:r>
      <w:r w:rsidR="00DF3338">
        <w:rPr>
          <w:rFonts w:cs="Segoe UI"/>
          <w:szCs w:val="20"/>
          <w:lang w:eastAsia="sk-SK"/>
        </w:rPr>
        <w:t xml:space="preserve"> medziročné</w:t>
      </w:r>
      <w:r w:rsidR="00AD357D">
        <w:rPr>
          <w:rFonts w:cs="Segoe UI"/>
          <w:szCs w:val="20"/>
          <w:lang w:eastAsia="sk-SK"/>
        </w:rPr>
        <w:t xml:space="preserve"> zvýšenie rozpočtu na rok 2025 oproti minulému roku je v</w:t>
      </w:r>
      <w:r w:rsidR="00AD357D" w:rsidRPr="000430E7">
        <w:rPr>
          <w:rFonts w:cs="Segoe UI"/>
          <w:szCs w:val="20"/>
          <w:lang w:eastAsia="sk-SK"/>
        </w:rPr>
        <w:t xml:space="preserve"> kapitole </w:t>
      </w:r>
      <w:r w:rsidR="00AD357D">
        <w:rPr>
          <w:rFonts w:cs="Segoe UI"/>
          <w:szCs w:val="20"/>
          <w:lang w:eastAsia="sk-SK"/>
        </w:rPr>
        <w:t>MIRRI SR o 84 %. V porovnaní s očakávanou s</w:t>
      </w:r>
      <w:r w:rsidR="00DF3338">
        <w:rPr>
          <w:rFonts w:cs="Segoe UI"/>
          <w:szCs w:val="20"/>
          <w:lang w:eastAsia="sk-SK"/>
        </w:rPr>
        <w:t>ku</w:t>
      </w:r>
      <w:r w:rsidR="00AD357D">
        <w:rPr>
          <w:rFonts w:cs="Segoe UI"/>
          <w:szCs w:val="20"/>
          <w:lang w:eastAsia="sk-SK"/>
        </w:rPr>
        <w:t xml:space="preserve">točnosťou v tomto roku a rozpočtom na rok 2025 </w:t>
      </w:r>
      <w:r w:rsidR="00DF3338">
        <w:rPr>
          <w:rFonts w:cs="Segoe UI"/>
          <w:szCs w:val="20"/>
          <w:lang w:eastAsia="sk-SK"/>
        </w:rPr>
        <w:t xml:space="preserve">je </w:t>
      </w:r>
      <w:r w:rsidR="00AD357D">
        <w:rPr>
          <w:rFonts w:cs="Segoe UI"/>
          <w:szCs w:val="20"/>
          <w:lang w:eastAsia="sk-SK"/>
        </w:rPr>
        <w:t>najväčší objem výdavkov rozpočtovaných v kapitole VPS</w:t>
      </w:r>
      <w:r w:rsidR="0036746B">
        <w:rPr>
          <w:rFonts w:cs="Segoe UI"/>
          <w:szCs w:val="20"/>
          <w:lang w:eastAsia="sk-SK"/>
        </w:rPr>
        <w:t>, a to</w:t>
      </w:r>
      <w:r w:rsidR="00AD357D">
        <w:rPr>
          <w:rFonts w:cs="Segoe UI"/>
          <w:szCs w:val="20"/>
          <w:lang w:eastAsia="sk-SK"/>
        </w:rPr>
        <w:t xml:space="preserve"> o</w:t>
      </w:r>
      <w:r w:rsidR="00590EDF">
        <w:rPr>
          <w:rFonts w:cs="Segoe UI"/>
          <w:szCs w:val="20"/>
          <w:lang w:eastAsia="sk-SK"/>
        </w:rPr>
        <w:t> viac ako</w:t>
      </w:r>
      <w:r w:rsidR="00DF3338">
        <w:rPr>
          <w:rFonts w:cs="Segoe UI"/>
          <w:szCs w:val="20"/>
          <w:lang w:eastAsia="sk-SK"/>
        </w:rPr>
        <w:t> 50 %</w:t>
      </w:r>
      <w:r>
        <w:rPr>
          <w:rFonts w:cs="Segoe UI"/>
          <w:szCs w:val="20"/>
          <w:lang w:eastAsia="sk-SK"/>
        </w:rPr>
        <w:t>.</w:t>
      </w:r>
    </w:p>
    <w:p w14:paraId="0C48382E" w14:textId="5DFC609F" w:rsidR="00537E37" w:rsidRPr="002E2DE2" w:rsidRDefault="00537E37" w:rsidP="00537E37">
      <w:pPr>
        <w:rPr>
          <w:szCs w:val="20"/>
        </w:rPr>
      </w:pPr>
      <w:r>
        <w:rPr>
          <w:b/>
        </w:rPr>
        <w:lastRenderedPageBreak/>
        <w:t xml:space="preserve">NKÚ </w:t>
      </w:r>
      <w:r w:rsidR="00354C50">
        <w:rPr>
          <w:b/>
        </w:rPr>
        <w:t xml:space="preserve">SR </w:t>
      </w:r>
      <w:r>
        <w:rPr>
          <w:b/>
        </w:rPr>
        <w:t xml:space="preserve">upozorňuje aj na riziko, že v zozname strategických investícií chýba jasná prioritizácia projektov. </w:t>
      </w:r>
      <w:r w:rsidRPr="00343E5D">
        <w:rPr>
          <w:bCs/>
          <w:szCs w:val="20"/>
        </w:rPr>
        <w:t>V 1. polroku 2024 vláda SR schválila zaradenie viacerých investičných projektov medzi strategické investície na základe zákona o mimoriadnych opatreniach pre strategické investície a pre výstavbu transeurópskej dopravnej siete.</w:t>
      </w:r>
      <w:r w:rsidRPr="002E2DE2">
        <w:rPr>
          <w:szCs w:val="20"/>
        </w:rPr>
        <w:t xml:space="preserve"> Strategickými investíciami sú najmä projekty dopravnej infraštruktúry TEN-T, projekty úsekov rýchlostných ciest R4 a R2, diaľnice D1, D3 a D4, modernizácia vybraných úsekov železničných tratí či projekt diaľničného privádzača. Okrem dopravných projektov získali štatút strategickej investície aj nové nemocnice v Martine a v Banskej Bystrici (MZ SR) a modernizácia FNsP J. A. Reimana v Prešove (MO SR).</w:t>
      </w:r>
      <w:r>
        <w:rPr>
          <w:szCs w:val="20"/>
        </w:rPr>
        <w:t xml:space="preserve"> Vzhľadom na zaradenie množstva projektov medzi strategické investície je otázne, či sa tým dosiahne ich prioritná realizácia (tabuľka </w:t>
      </w:r>
      <w:r w:rsidR="002B1C1E">
        <w:rPr>
          <w:szCs w:val="20"/>
        </w:rPr>
        <w:t>19</w:t>
      </w:r>
      <w:r>
        <w:rPr>
          <w:szCs w:val="20"/>
        </w:rPr>
        <w:t xml:space="preserve"> v prílohe).</w:t>
      </w:r>
    </w:p>
    <w:p w14:paraId="60FB8AA3" w14:textId="29816EB1" w:rsidR="00795A4C" w:rsidRPr="00964FE0" w:rsidRDefault="00537E37" w:rsidP="00795A4C">
      <w:pPr>
        <w:rPr>
          <w:szCs w:val="20"/>
        </w:rPr>
      </w:pPr>
      <w:r w:rsidRPr="002E2DE2">
        <w:rPr>
          <w:b/>
          <w:bCs/>
          <w:szCs w:val="20"/>
        </w:rPr>
        <w:t>NKÚ SR</w:t>
      </w:r>
      <w:r>
        <w:rPr>
          <w:b/>
          <w:bCs/>
          <w:szCs w:val="20"/>
        </w:rPr>
        <w:t xml:space="preserve"> v tejto súvislosti</w:t>
      </w:r>
      <w:r w:rsidRPr="002E2DE2">
        <w:rPr>
          <w:b/>
          <w:bCs/>
          <w:szCs w:val="20"/>
        </w:rPr>
        <w:t xml:space="preserve"> </w:t>
      </w:r>
      <w:r w:rsidR="00F5438D">
        <w:rPr>
          <w:b/>
          <w:bCs/>
          <w:szCs w:val="20"/>
        </w:rPr>
        <w:t xml:space="preserve">odporúča, aby ÚHP aj naďalej pokračoval v hodnotení investícií, ktoré doteraz kvalifikovane </w:t>
      </w:r>
      <w:r w:rsidR="00EC78B0">
        <w:rPr>
          <w:b/>
          <w:bCs/>
          <w:szCs w:val="20"/>
        </w:rPr>
        <w:t xml:space="preserve">a nezaujate </w:t>
      </w:r>
      <w:r w:rsidR="00F5438D">
        <w:rPr>
          <w:b/>
          <w:bCs/>
          <w:szCs w:val="20"/>
        </w:rPr>
        <w:t>zabezpečoval, a to najmä pri strategických investíciách.</w:t>
      </w:r>
      <w:r w:rsidR="00A53D2F">
        <w:rPr>
          <w:b/>
          <w:bCs/>
          <w:szCs w:val="20"/>
        </w:rPr>
        <w:t xml:space="preserve"> </w:t>
      </w:r>
      <w:r w:rsidRPr="002E2DE2">
        <w:rPr>
          <w:color w:val="242424"/>
          <w:szCs w:val="20"/>
        </w:rPr>
        <w:t xml:space="preserve">Plánované verejné investície ekonomicky posudzuje ÚHP MF SR </w:t>
      </w:r>
      <w:r w:rsidRPr="002E2DE2">
        <w:rPr>
          <w:szCs w:val="20"/>
        </w:rPr>
        <w:t>a hodnotenia sú dôležitou súčasťou realizácie projektov</w:t>
      </w:r>
      <w:r w:rsidRPr="002E2DE2">
        <w:rPr>
          <w:color w:val="242424"/>
          <w:szCs w:val="20"/>
        </w:rPr>
        <w:t xml:space="preserve">. Rezort zodpovedný za realizáciu investičného projektu musí zverejniť štúdiu uskutočniteľnosti a hodnotenie pri týchto projektoch si bude môcť vykonávať rezort </w:t>
      </w:r>
      <w:r w:rsidRPr="00C819ED">
        <w:rPr>
          <w:color w:val="242424"/>
          <w:sz w:val="22"/>
          <w:szCs w:val="20"/>
        </w:rPr>
        <w:t>sám</w:t>
      </w:r>
      <w:r w:rsidRPr="002E2DE2">
        <w:rPr>
          <w:color w:val="242424"/>
          <w:szCs w:val="20"/>
        </w:rPr>
        <w:t>.</w:t>
      </w:r>
      <w:r w:rsidR="00795A4C" w:rsidRPr="00795A4C">
        <w:rPr>
          <w:color w:val="242424"/>
          <w:szCs w:val="20"/>
        </w:rPr>
        <w:t xml:space="preserve"> </w:t>
      </w:r>
      <w:r w:rsidR="00795A4C">
        <w:rPr>
          <w:color w:val="242424"/>
          <w:szCs w:val="20"/>
        </w:rPr>
        <w:t>Presun kompetencie hodnotenia projektov z ÚHP na zodpovedný rezort</w:t>
      </w:r>
      <w:r w:rsidR="00A53D2F">
        <w:rPr>
          <w:color w:val="242424"/>
          <w:szCs w:val="20"/>
        </w:rPr>
        <w:t xml:space="preserve"> v prípade strategických investícií</w:t>
      </w:r>
      <w:r w:rsidR="00A53D2F" w:rsidRPr="00537E37">
        <w:rPr>
          <w:bCs/>
          <w:szCs w:val="20"/>
          <w:vertAlign w:val="superscript"/>
        </w:rPr>
        <w:footnoteReference w:id="69"/>
      </w:r>
      <w:r w:rsidR="00795A4C">
        <w:rPr>
          <w:color w:val="242424"/>
          <w:szCs w:val="20"/>
        </w:rPr>
        <w:t xml:space="preserve"> prináša riziko zníženej objektivity, keďže rezort bude posudzovať vlastné investičné zámery. V súvislosti s elimináciou analytických jednotiek na niektorých ministerstvách je otázne </w:t>
      </w:r>
      <w:r w:rsidR="00A53D2F">
        <w:rPr>
          <w:color w:val="242424"/>
          <w:szCs w:val="20"/>
        </w:rPr>
        <w:t>aj za</w:t>
      </w:r>
      <w:r w:rsidR="00795A4C">
        <w:rPr>
          <w:color w:val="242424"/>
          <w:szCs w:val="20"/>
        </w:rPr>
        <w:t xml:space="preserve">bezpečenie </w:t>
      </w:r>
      <w:r w:rsidR="00A53D2F">
        <w:rPr>
          <w:color w:val="242424"/>
          <w:szCs w:val="20"/>
        </w:rPr>
        <w:t xml:space="preserve">kvalifikovaných </w:t>
      </w:r>
      <w:r w:rsidR="00795A4C">
        <w:rPr>
          <w:color w:val="242424"/>
          <w:szCs w:val="20"/>
        </w:rPr>
        <w:t xml:space="preserve">personálnych kapacít na hodnotenie investičných projektov. </w:t>
      </w:r>
    </w:p>
    <w:p w14:paraId="31240ABD" w14:textId="3FEDB5A0" w:rsidR="00FB18D3" w:rsidRDefault="00B57EEC" w:rsidP="00FB18D3">
      <w:r w:rsidRPr="00154E30">
        <w:rPr>
          <w:b/>
        </w:rPr>
        <w:t xml:space="preserve">Novelizáciu RPVS sa zmenilo aj rozpočtovanie rezerv, kde </w:t>
      </w:r>
      <w:r>
        <w:rPr>
          <w:b/>
        </w:rPr>
        <w:t>zostala len</w:t>
      </w:r>
      <w:r w:rsidRPr="00154E30">
        <w:rPr>
          <w:b/>
        </w:rPr>
        <w:t xml:space="preserve"> jedna významná vše</w:t>
      </w:r>
      <w:r>
        <w:rPr>
          <w:b/>
        </w:rPr>
        <w:t>tko zahŕňajúca</w:t>
      </w:r>
      <w:r w:rsidRPr="00154E30">
        <w:rPr>
          <w:b/>
        </w:rPr>
        <w:t xml:space="preserve"> rezerva na riešenie negatívnych vplyvov vývoja rozpočtového hospodárenia vo výške 421 mil. eur. </w:t>
      </w:r>
      <w:r>
        <w:t>Ostatné položky rezerv sa zmenili na výdavkové tituly v rámci kapitoly VPS. Význam</w:t>
      </w:r>
      <w:r w:rsidR="00117050">
        <w:t>n</w:t>
      </w:r>
      <w:r>
        <w:t>e klesli rezervy/výdavky na legislatívne zmeny</w:t>
      </w:r>
      <w:r w:rsidR="00117050">
        <w:t>, a to</w:t>
      </w:r>
      <w:r>
        <w:t xml:space="preserve"> z rozpočtovaných 1 232 mil. eur v 2024 na 53 mil. eur v</w:t>
      </w:r>
      <w:r w:rsidR="00117050">
        <w:t> </w:t>
      </w:r>
      <w:r>
        <w:t>2025</w:t>
      </w:r>
      <w:r w:rsidR="00117050">
        <w:t>. Klesli a</w:t>
      </w:r>
      <w:r>
        <w:t>j rezervy/výdavky na kompenzácie súvisiace s rastom cien energií medziročne z 800 mil. eur na 235 mil. eur. Celkový objem rezerv a výdavkových položiek prislúchajúcich k rezervám v predchádzajúcich rokoch je rozpočtovaný na rok 2025 vo výške 1,28 mld. eur</w:t>
      </w:r>
      <w:r w:rsidR="00FB18D3">
        <w:t>,</w:t>
      </w:r>
      <w:r w:rsidR="00FB18D3" w:rsidRPr="00FB18D3">
        <w:t xml:space="preserve"> </w:t>
      </w:r>
      <w:r w:rsidR="00FB18D3">
        <w:t>čo zodpovedá približne polovici z 2,49 mld. eur alokovaných na rezervy v predchádzajúcom roku.</w:t>
      </w:r>
    </w:p>
    <w:p w14:paraId="5647D622" w14:textId="52D6E4BA" w:rsidR="00E119E5" w:rsidRDefault="000C763A" w:rsidP="000D631B">
      <w:pPr>
        <w:pStyle w:val="Nadpis2"/>
        <w:rPr>
          <w:rFonts w:eastAsia="Calibri"/>
        </w:rPr>
      </w:pPr>
      <w:bookmarkStart w:id="35" w:name="_Toc182559189"/>
      <w:r>
        <w:rPr>
          <w:rFonts w:eastAsia="Calibri"/>
        </w:rPr>
        <w:t>Rozpočtovanie kapitálových výdavkov</w:t>
      </w:r>
      <w:bookmarkEnd w:id="35"/>
    </w:p>
    <w:p w14:paraId="0506EFE2" w14:textId="0D62BA62" w:rsidR="009A6D48" w:rsidRPr="005E7DA9" w:rsidRDefault="009A6D48" w:rsidP="009A6D48">
      <w:pPr>
        <w:rPr>
          <w:rFonts w:cs="Segoe UI"/>
          <w:szCs w:val="20"/>
          <w:lang w:eastAsia="sk-SK"/>
        </w:rPr>
      </w:pPr>
      <w:r w:rsidRPr="005E7DA9">
        <w:rPr>
          <w:rFonts w:cs="Segoe UI"/>
          <w:b/>
          <w:szCs w:val="20"/>
          <w:lang w:eastAsia="sk-SK"/>
        </w:rPr>
        <w:t xml:space="preserve">Celkové kapitálové výdavky RVS v roku 2025 budú v objeme 7 013,6 mil. eur, čo je oproti očakávanej skutočnosti v roku 2024 </w:t>
      </w:r>
      <w:r w:rsidRPr="00FE04D1">
        <w:rPr>
          <w:rFonts w:cs="Segoe UI"/>
          <w:szCs w:val="20"/>
          <w:lang w:eastAsia="sk-SK"/>
        </w:rPr>
        <w:t>(</w:t>
      </w:r>
      <w:r w:rsidRPr="00017ABC">
        <w:rPr>
          <w:rFonts w:cs="Segoe UI"/>
          <w:szCs w:val="20"/>
          <w:lang w:eastAsia="sk-SK"/>
        </w:rPr>
        <w:t>5 268,3 mil. eur)</w:t>
      </w:r>
      <w:r w:rsidRPr="005E7DA9">
        <w:rPr>
          <w:rFonts w:cs="Segoe UI"/>
          <w:b/>
          <w:szCs w:val="20"/>
          <w:lang w:eastAsia="sk-SK"/>
        </w:rPr>
        <w:t xml:space="preserve"> viac o takmer 25 %.</w:t>
      </w:r>
      <w:r w:rsidRPr="005E7DA9">
        <w:rPr>
          <w:rFonts w:cs="Segoe UI"/>
          <w:szCs w:val="20"/>
          <w:lang w:eastAsia="sk-SK"/>
        </w:rPr>
        <w:t xml:space="preserve"> Očakávané čerpanie kapitálových výdavkov v tomto roku je nižšie o 137,9 mil. eur </w:t>
      </w:r>
      <w:r w:rsidR="0074064C">
        <w:rPr>
          <w:rFonts w:cs="Segoe UI"/>
          <w:szCs w:val="20"/>
          <w:lang w:eastAsia="sk-SK"/>
        </w:rPr>
        <w:t xml:space="preserve">než </w:t>
      </w:r>
      <w:r w:rsidRPr="005E7DA9">
        <w:rPr>
          <w:rFonts w:cs="Segoe UI"/>
          <w:szCs w:val="20"/>
          <w:lang w:eastAsia="sk-SK"/>
        </w:rPr>
        <w:t xml:space="preserve">sa predpokladalo v schválenom rozpočte. Z celkových kapitálových výdavkov </w:t>
      </w:r>
      <w:r w:rsidR="00017ABC">
        <w:rPr>
          <w:rFonts w:cs="Segoe UI"/>
          <w:szCs w:val="20"/>
          <w:lang w:eastAsia="sk-SK"/>
        </w:rPr>
        <w:t>predstavujú</w:t>
      </w:r>
      <w:r w:rsidRPr="005E7DA9">
        <w:rPr>
          <w:rFonts w:cs="Segoe UI"/>
          <w:szCs w:val="20"/>
          <w:lang w:eastAsia="sk-SK"/>
        </w:rPr>
        <w:t xml:space="preserve"> najväčšiu časť kapitálové investície, a to v </w:t>
      </w:r>
      <w:r w:rsidR="00C40D35">
        <w:rPr>
          <w:rFonts w:cs="Segoe UI"/>
          <w:szCs w:val="20"/>
          <w:lang w:eastAsia="sk-SK"/>
        </w:rPr>
        <w:t> </w:t>
      </w:r>
      <w:r w:rsidRPr="005E7DA9">
        <w:rPr>
          <w:rFonts w:cs="Segoe UI"/>
          <w:szCs w:val="20"/>
          <w:lang w:eastAsia="sk-SK"/>
        </w:rPr>
        <w:t xml:space="preserve">objeme 6,03 mld. eur a zvyšnú časť predstavujú kapitálové transfery vo výške 985 mil. eur, ktoré sú určené subjektom mimo sektora </w:t>
      </w:r>
      <w:r w:rsidR="0074064C">
        <w:rPr>
          <w:rFonts w:cs="Segoe UI"/>
          <w:szCs w:val="20"/>
          <w:lang w:eastAsia="sk-SK"/>
        </w:rPr>
        <w:t>VS</w:t>
      </w:r>
      <w:r w:rsidRPr="005E7DA9">
        <w:rPr>
          <w:rFonts w:cs="Segoe UI"/>
          <w:szCs w:val="20"/>
          <w:lang w:eastAsia="sk-SK"/>
        </w:rPr>
        <w:t xml:space="preserve">. Plánované kapitálové výdavky kapitol </w:t>
      </w:r>
      <w:r w:rsidR="00017ABC">
        <w:rPr>
          <w:rFonts w:cs="Segoe UI"/>
          <w:szCs w:val="20"/>
          <w:lang w:eastAsia="sk-SK"/>
        </w:rPr>
        <w:t>ŠR</w:t>
      </w:r>
      <w:r w:rsidRPr="005E7DA9">
        <w:rPr>
          <w:rFonts w:cs="Segoe UI"/>
          <w:szCs w:val="20"/>
          <w:lang w:eastAsia="sk-SK"/>
        </w:rPr>
        <w:t xml:space="preserve"> v roku 2025 </w:t>
      </w:r>
      <w:r w:rsidR="00017ABC">
        <w:rPr>
          <w:rFonts w:cs="Segoe UI"/>
          <w:szCs w:val="20"/>
          <w:lang w:eastAsia="sk-SK"/>
        </w:rPr>
        <w:t>sú na úrovni</w:t>
      </w:r>
      <w:r w:rsidRPr="005E7DA9">
        <w:rPr>
          <w:rFonts w:cs="Segoe UI"/>
          <w:szCs w:val="20"/>
          <w:lang w:eastAsia="sk-SK"/>
        </w:rPr>
        <w:t xml:space="preserve"> 3 717 mil. eur. Zo </w:t>
      </w:r>
      <w:r w:rsidR="00EE2D19">
        <w:rPr>
          <w:rFonts w:cs="Segoe UI"/>
          <w:szCs w:val="20"/>
          <w:lang w:eastAsia="sk-SK"/>
        </w:rPr>
        <w:t>ŠR</w:t>
      </w:r>
      <w:r w:rsidRPr="005E7DA9">
        <w:rPr>
          <w:rFonts w:cs="Segoe UI"/>
          <w:szCs w:val="20"/>
          <w:lang w:eastAsia="sk-SK"/>
        </w:rPr>
        <w:t xml:space="preserve"> 2 034 mil. eur, z eurofondov (vrátane národného spolufinancovania) 657 mil. eur a z P</w:t>
      </w:r>
      <w:r w:rsidR="00017ABC">
        <w:rPr>
          <w:rFonts w:cs="Segoe UI"/>
          <w:szCs w:val="20"/>
          <w:lang w:eastAsia="sk-SK"/>
        </w:rPr>
        <w:t>OO</w:t>
      </w:r>
      <w:r w:rsidRPr="005E7DA9">
        <w:rPr>
          <w:rFonts w:cs="Segoe UI"/>
          <w:szCs w:val="20"/>
          <w:lang w:eastAsia="sk-SK"/>
        </w:rPr>
        <w:t xml:space="preserve"> (vrátane výdavkov na DPH) 1 026 mil. eur.</w:t>
      </w:r>
      <w:r>
        <w:rPr>
          <w:rFonts w:cs="Segoe UI"/>
          <w:szCs w:val="20"/>
          <w:lang w:eastAsia="sk-SK"/>
        </w:rPr>
        <w:t xml:space="preserve"> </w:t>
      </w:r>
      <w:r w:rsidRPr="00375A43">
        <w:rPr>
          <w:rFonts w:cs="Segoe UI"/>
          <w:szCs w:val="20"/>
          <w:lang w:eastAsia="sk-SK"/>
        </w:rPr>
        <w:t xml:space="preserve">Opakovane najviac rozpočtovaných kapitálových výdavkov </w:t>
      </w:r>
      <w:r w:rsidR="00EE2D19">
        <w:rPr>
          <w:rFonts w:cs="Segoe UI"/>
          <w:szCs w:val="20"/>
          <w:lang w:eastAsia="sk-SK"/>
        </w:rPr>
        <w:t xml:space="preserve">je </w:t>
      </w:r>
      <w:r w:rsidR="00017ABC">
        <w:rPr>
          <w:rFonts w:cs="Segoe UI"/>
          <w:szCs w:val="20"/>
          <w:lang w:eastAsia="sk-SK"/>
        </w:rPr>
        <w:t>v</w:t>
      </w:r>
      <w:r w:rsidRPr="00375A43">
        <w:rPr>
          <w:rFonts w:cs="Segoe UI"/>
          <w:szCs w:val="20"/>
          <w:lang w:eastAsia="sk-SK"/>
        </w:rPr>
        <w:t xml:space="preserve"> rezortoch obrany a dopravy.</w:t>
      </w:r>
    </w:p>
    <w:p w14:paraId="762D73B6" w14:textId="32A3DD44" w:rsidR="009A6D48" w:rsidRPr="005E7DA9" w:rsidRDefault="009A6D48" w:rsidP="009A6D48">
      <w:pPr>
        <w:rPr>
          <w:rFonts w:cs="Segoe UI"/>
          <w:szCs w:val="20"/>
          <w:lang w:eastAsia="sk-SK"/>
        </w:rPr>
      </w:pPr>
      <w:r>
        <w:rPr>
          <w:rFonts w:cs="Segoe UI"/>
          <w:b/>
          <w:szCs w:val="20"/>
          <w:lang w:eastAsia="sk-SK"/>
        </w:rPr>
        <w:t>NKÚ SR pozitívne vníma</w:t>
      </w:r>
      <w:r w:rsidRPr="005E7DA9">
        <w:rPr>
          <w:rFonts w:cs="Segoe UI"/>
          <w:b/>
          <w:szCs w:val="20"/>
          <w:lang w:eastAsia="sk-SK"/>
        </w:rPr>
        <w:t>, že vláda nebude znižovať národne financované investície</w:t>
      </w:r>
      <w:r>
        <w:rPr>
          <w:rFonts w:cs="Segoe UI"/>
          <w:b/>
          <w:szCs w:val="20"/>
          <w:lang w:eastAsia="sk-SK"/>
        </w:rPr>
        <w:t xml:space="preserve">. </w:t>
      </w:r>
      <w:r w:rsidRPr="005E7DA9">
        <w:rPr>
          <w:rFonts w:cs="Segoe UI"/>
          <w:szCs w:val="20"/>
        </w:rPr>
        <w:t>Podľa M</w:t>
      </w:r>
      <w:r w:rsidR="00C40D35">
        <w:rPr>
          <w:rFonts w:cs="Segoe UI"/>
          <w:szCs w:val="20"/>
        </w:rPr>
        <w:t>TP</w:t>
      </w:r>
      <w:r w:rsidRPr="005E7DA9">
        <w:rPr>
          <w:rFonts w:cs="Segoe UI"/>
          <w:szCs w:val="20"/>
        </w:rPr>
        <w:t xml:space="preserve"> </w:t>
      </w:r>
      <w:r w:rsidRPr="005E7DA9">
        <w:rPr>
          <w:rFonts w:cs="Segoe UI"/>
          <w:szCs w:val="20"/>
          <w:lang w:eastAsia="sk-SK"/>
        </w:rPr>
        <w:t>priemerná očakávaná výška národne financovaných investícií do roku 2027 by mala byť na úrovni 3,3 % HDP.</w:t>
      </w:r>
      <w:r w:rsidRPr="005E7DA9">
        <w:rPr>
          <w:rFonts w:cs="Segoe UI"/>
          <w:szCs w:val="20"/>
        </w:rPr>
        <w:t xml:space="preserve"> </w:t>
      </w:r>
      <w:r w:rsidRPr="005E7DA9">
        <w:rPr>
          <w:rFonts w:cs="Segoe UI"/>
          <w:szCs w:val="20"/>
          <w:lang w:eastAsia="sk-SK"/>
        </w:rPr>
        <w:t>Plánovaný objem týchto investícií bude dokonca vyšší ako za posledné roky.</w:t>
      </w:r>
    </w:p>
    <w:p w14:paraId="48BCF950" w14:textId="67BE492B" w:rsidR="009A6D48" w:rsidRPr="005E7DA9" w:rsidRDefault="005961A9" w:rsidP="009A6D48">
      <w:pPr>
        <w:rPr>
          <w:rFonts w:cs="Segoe UI"/>
          <w:b/>
          <w:szCs w:val="20"/>
          <w:lang w:eastAsia="sk-SK"/>
        </w:rPr>
      </w:pPr>
      <w:r w:rsidRPr="005961A9">
        <w:rPr>
          <w:rFonts w:cs="Segoe UI"/>
          <w:b/>
          <w:szCs w:val="20"/>
          <w:lang w:eastAsia="sk-SK"/>
        </w:rPr>
        <w:lastRenderedPageBreak/>
        <w:t>Rovnako ako v rozpočte na rok 2024 a</w:t>
      </w:r>
      <w:r w:rsidR="009A6D48" w:rsidRPr="005961A9">
        <w:rPr>
          <w:rFonts w:cs="Segoe UI"/>
          <w:b/>
          <w:szCs w:val="20"/>
          <w:lang w:eastAsia="sk-SK"/>
        </w:rPr>
        <w:t>ni v tomto návrhu rozpočtu nie je zverejnený zoznam najväčších investičných projektov, ktoré sa budú financovať v</w:t>
      </w:r>
      <w:r w:rsidRPr="005961A9">
        <w:rPr>
          <w:rFonts w:cs="Segoe UI"/>
          <w:b/>
          <w:szCs w:val="20"/>
          <w:lang w:eastAsia="sk-SK"/>
        </w:rPr>
        <w:t xml:space="preserve"> budúcom </w:t>
      </w:r>
      <w:r w:rsidR="009A6D48" w:rsidRPr="005961A9">
        <w:rPr>
          <w:rFonts w:cs="Segoe UI"/>
          <w:b/>
          <w:szCs w:val="20"/>
          <w:lang w:eastAsia="sk-SK"/>
        </w:rPr>
        <w:t>roku.</w:t>
      </w:r>
      <w:r w:rsidR="009A6D48" w:rsidRPr="005E7DA9">
        <w:rPr>
          <w:rFonts w:cs="Segoe UI"/>
          <w:szCs w:val="20"/>
          <w:lang w:eastAsia="sk-SK"/>
        </w:rPr>
        <w:t xml:space="preserve"> Zoznam </w:t>
      </w:r>
      <w:r>
        <w:rPr>
          <w:rFonts w:cs="Segoe UI"/>
          <w:szCs w:val="20"/>
          <w:lang w:eastAsia="sk-SK"/>
        </w:rPr>
        <w:t xml:space="preserve">by mal </w:t>
      </w:r>
      <w:r w:rsidR="009A6D48" w:rsidRPr="005E7DA9">
        <w:rPr>
          <w:rFonts w:cs="Segoe UI"/>
          <w:szCs w:val="20"/>
          <w:lang w:eastAsia="sk-SK"/>
        </w:rPr>
        <w:t>vychádza</w:t>
      </w:r>
      <w:r>
        <w:rPr>
          <w:rFonts w:cs="Segoe UI"/>
          <w:szCs w:val="20"/>
          <w:lang w:eastAsia="sk-SK"/>
        </w:rPr>
        <w:t>ť</w:t>
      </w:r>
      <w:r w:rsidR="009A6D48" w:rsidRPr="005E7DA9">
        <w:rPr>
          <w:rFonts w:cs="Segoe UI"/>
          <w:szCs w:val="20"/>
          <w:lang w:eastAsia="sk-SK"/>
        </w:rPr>
        <w:t xml:space="preserve"> z investičných plánov </w:t>
      </w:r>
      <w:r>
        <w:rPr>
          <w:rFonts w:cs="Segoe UI"/>
          <w:szCs w:val="20"/>
          <w:lang w:eastAsia="sk-SK"/>
        </w:rPr>
        <w:t xml:space="preserve">jednotlivých </w:t>
      </w:r>
      <w:r w:rsidR="009A6D48" w:rsidRPr="005E7DA9">
        <w:rPr>
          <w:rFonts w:cs="Segoe UI"/>
          <w:szCs w:val="20"/>
          <w:lang w:eastAsia="sk-SK"/>
        </w:rPr>
        <w:t xml:space="preserve">kapitol. </w:t>
      </w:r>
      <w:r w:rsidR="009A6D48" w:rsidRPr="005E7DA9">
        <w:rPr>
          <w:rFonts w:cs="Segoe UI"/>
          <w:b/>
          <w:szCs w:val="20"/>
          <w:lang w:eastAsia="sk-SK"/>
        </w:rPr>
        <w:t xml:space="preserve">NKÚ SR odporúča vypracovať zoznam najväčších investičných projektov a doplniť aj všetky známe investičné projekty, ktoré sa majú v </w:t>
      </w:r>
      <w:r w:rsidR="00322F02">
        <w:rPr>
          <w:rFonts w:cs="Segoe UI"/>
          <w:b/>
          <w:szCs w:val="20"/>
          <w:lang w:eastAsia="sk-SK"/>
        </w:rPr>
        <w:t> </w:t>
      </w:r>
      <w:r w:rsidR="009A6D48" w:rsidRPr="005E7DA9">
        <w:rPr>
          <w:rFonts w:cs="Segoe UI"/>
          <w:b/>
          <w:szCs w:val="20"/>
          <w:lang w:eastAsia="sk-SK"/>
        </w:rPr>
        <w:t>nasledujúcom období financovať.</w:t>
      </w:r>
    </w:p>
    <w:p w14:paraId="14B556FE" w14:textId="7015683C" w:rsidR="009A6D48" w:rsidRPr="005E7DA9" w:rsidRDefault="009A6D48" w:rsidP="009A6D48">
      <w:pPr>
        <w:rPr>
          <w:rFonts w:cs="Segoe UI"/>
          <w:szCs w:val="20"/>
          <w:lang w:eastAsia="sk-SK"/>
        </w:rPr>
      </w:pPr>
      <w:r w:rsidRPr="005E7DA9">
        <w:rPr>
          <w:rFonts w:cs="Segoe UI"/>
          <w:szCs w:val="20"/>
          <w:lang w:eastAsia="sk-SK"/>
        </w:rPr>
        <w:t xml:space="preserve">V návrhu rozpočtu sú rozpočtované tieto </w:t>
      </w:r>
      <w:r w:rsidR="005961A9">
        <w:rPr>
          <w:rFonts w:cs="Segoe UI"/>
          <w:szCs w:val="20"/>
          <w:lang w:eastAsia="sk-SK"/>
        </w:rPr>
        <w:t xml:space="preserve">investičné </w:t>
      </w:r>
      <w:r w:rsidRPr="005E7DA9">
        <w:rPr>
          <w:rFonts w:cs="Segoe UI"/>
          <w:szCs w:val="20"/>
          <w:lang w:eastAsia="sk-SK"/>
        </w:rPr>
        <w:t>výdavky:</w:t>
      </w:r>
    </w:p>
    <w:p w14:paraId="0BD71B74" w14:textId="77777777" w:rsidR="009A6D48" w:rsidRPr="005E7DA9" w:rsidRDefault="009A6D48" w:rsidP="009A6D48">
      <w:pPr>
        <w:pStyle w:val="Odsekzoznamu"/>
        <w:numPr>
          <w:ilvl w:val="0"/>
          <w:numId w:val="25"/>
        </w:numPr>
        <w:spacing w:after="160"/>
        <w:rPr>
          <w:rFonts w:cs="Segoe UI"/>
          <w:szCs w:val="20"/>
          <w:lang w:eastAsia="sk-SK"/>
        </w:rPr>
      </w:pPr>
      <w:r w:rsidRPr="005E7DA9">
        <w:rPr>
          <w:rFonts w:cs="Segoe UI"/>
          <w:szCs w:val="20"/>
          <w:lang w:eastAsia="sk-SK"/>
        </w:rPr>
        <w:t>pre spoločnosť Valaliky Industrial Park, s. r. o. v sume 251 mil. eur, ktorá zabezpečuje prípravu investičného projektu „Strategické územie Valaliky“,</w:t>
      </w:r>
    </w:p>
    <w:p w14:paraId="5644E810" w14:textId="307C9ABF" w:rsidR="009A6D48" w:rsidRPr="005E7DA9" w:rsidRDefault="009A6D48" w:rsidP="009A6D48">
      <w:pPr>
        <w:pStyle w:val="Odsekzoznamu"/>
        <w:numPr>
          <w:ilvl w:val="0"/>
          <w:numId w:val="25"/>
        </w:numPr>
        <w:spacing w:after="160"/>
        <w:rPr>
          <w:rFonts w:cs="Segoe UI"/>
          <w:szCs w:val="20"/>
          <w:lang w:eastAsia="sk-SK"/>
        </w:rPr>
      </w:pPr>
      <w:r w:rsidRPr="005E7DA9">
        <w:rPr>
          <w:rFonts w:cs="Segoe UI"/>
          <w:szCs w:val="20"/>
          <w:lang w:eastAsia="sk-SK"/>
        </w:rPr>
        <w:t>na prípravu investičného projektu „Šurany Industrial Park“ v sume 55,5 mil. eur,</w:t>
      </w:r>
    </w:p>
    <w:p w14:paraId="2C878D1F" w14:textId="77777777" w:rsidR="009A6D48" w:rsidRPr="005E7DA9" w:rsidRDefault="009A6D48" w:rsidP="009A6D48">
      <w:pPr>
        <w:pStyle w:val="Odsekzoznamu"/>
        <w:numPr>
          <w:ilvl w:val="0"/>
          <w:numId w:val="25"/>
        </w:numPr>
        <w:spacing w:after="160"/>
        <w:rPr>
          <w:rFonts w:cs="Segoe UI"/>
          <w:szCs w:val="20"/>
          <w:lang w:eastAsia="sk-SK"/>
        </w:rPr>
      </w:pPr>
      <w:r w:rsidRPr="005E7DA9">
        <w:rPr>
          <w:rFonts w:cs="Segoe UI"/>
          <w:szCs w:val="20"/>
          <w:lang w:eastAsia="sk-SK"/>
        </w:rPr>
        <w:t>na investičnú pomoc vo forme investičného stimulu pre spoločnosť GIB EnergyX Slovakia, s. r. o. v sume 33,7 mil. eur.</w:t>
      </w:r>
    </w:p>
    <w:p w14:paraId="32BD65F4" w14:textId="1F03E841" w:rsidR="00017ABC" w:rsidRPr="0087188A" w:rsidRDefault="00017ABC" w:rsidP="00017ABC">
      <w:pPr>
        <w:pStyle w:val="Zdroj"/>
        <w:spacing w:line="276" w:lineRule="auto"/>
        <w:jc w:val="both"/>
        <w:rPr>
          <w:rFonts w:cs="Segoe UI"/>
          <w:i w:val="0"/>
          <w:color w:val="auto"/>
          <w:sz w:val="20"/>
          <w:szCs w:val="20"/>
        </w:rPr>
      </w:pPr>
      <w:r w:rsidRPr="0087188A">
        <w:rPr>
          <w:rFonts w:cs="Segoe UI"/>
          <w:b/>
          <w:i w:val="0"/>
          <w:color w:val="auto"/>
          <w:sz w:val="20"/>
          <w:szCs w:val="20"/>
        </w:rPr>
        <w:t xml:space="preserve">V súčasnosti najvýznamnejšou prebiehajúcou investíciou MO SR je </w:t>
      </w:r>
      <w:r w:rsidR="00322F02">
        <w:rPr>
          <w:rFonts w:cs="Segoe UI"/>
          <w:b/>
          <w:i w:val="0"/>
          <w:color w:val="auto"/>
          <w:sz w:val="20"/>
          <w:szCs w:val="20"/>
        </w:rPr>
        <w:t xml:space="preserve">výstavba </w:t>
      </w:r>
      <w:r w:rsidRPr="0087188A">
        <w:rPr>
          <w:rFonts w:cs="Segoe UI"/>
          <w:b/>
          <w:i w:val="0"/>
          <w:color w:val="auto"/>
          <w:sz w:val="20"/>
          <w:szCs w:val="20"/>
        </w:rPr>
        <w:t>nov</w:t>
      </w:r>
      <w:r w:rsidR="00322F02">
        <w:rPr>
          <w:rFonts w:cs="Segoe UI"/>
          <w:b/>
          <w:i w:val="0"/>
          <w:color w:val="auto"/>
          <w:sz w:val="20"/>
          <w:szCs w:val="20"/>
        </w:rPr>
        <w:t>ej</w:t>
      </w:r>
      <w:r w:rsidRPr="0087188A">
        <w:rPr>
          <w:rFonts w:cs="Segoe UI"/>
          <w:b/>
          <w:i w:val="0"/>
          <w:color w:val="auto"/>
          <w:sz w:val="20"/>
          <w:szCs w:val="20"/>
        </w:rPr>
        <w:t xml:space="preserve"> nemocnic</w:t>
      </w:r>
      <w:r w:rsidR="00322F02">
        <w:rPr>
          <w:rFonts w:cs="Segoe UI"/>
          <w:b/>
          <w:i w:val="0"/>
          <w:color w:val="auto"/>
          <w:sz w:val="20"/>
          <w:szCs w:val="20"/>
        </w:rPr>
        <w:t>e</w:t>
      </w:r>
      <w:r w:rsidRPr="0087188A">
        <w:rPr>
          <w:rFonts w:cs="Segoe UI"/>
          <w:b/>
          <w:i w:val="0"/>
          <w:color w:val="auto"/>
          <w:sz w:val="20"/>
          <w:szCs w:val="20"/>
        </w:rPr>
        <w:t xml:space="preserve"> v Prešove. </w:t>
      </w:r>
      <w:r w:rsidRPr="005E7DA9">
        <w:rPr>
          <w:rFonts w:cs="Segoe UI"/>
          <w:i w:val="0"/>
          <w:color w:val="auto"/>
          <w:sz w:val="20"/>
          <w:szCs w:val="20"/>
        </w:rPr>
        <w:t xml:space="preserve">Plánované investičné náklady </w:t>
      </w:r>
      <w:r>
        <w:rPr>
          <w:rFonts w:cs="Segoe UI"/>
          <w:i w:val="0"/>
          <w:color w:val="auto"/>
          <w:sz w:val="20"/>
          <w:szCs w:val="20"/>
        </w:rPr>
        <w:t>by mali byť na úrovni</w:t>
      </w:r>
      <w:r w:rsidRPr="005E7DA9">
        <w:rPr>
          <w:rFonts w:cs="Segoe UI"/>
          <w:i w:val="0"/>
          <w:color w:val="auto"/>
          <w:sz w:val="20"/>
          <w:szCs w:val="20"/>
        </w:rPr>
        <w:t xml:space="preserve"> 550 mil</w:t>
      </w:r>
      <w:r>
        <w:rPr>
          <w:rFonts w:cs="Segoe UI"/>
          <w:i w:val="0"/>
          <w:color w:val="auto"/>
          <w:sz w:val="20"/>
          <w:szCs w:val="20"/>
        </w:rPr>
        <w:t>.</w:t>
      </w:r>
      <w:r w:rsidRPr="005E7DA9">
        <w:rPr>
          <w:rFonts w:cs="Segoe UI"/>
          <w:i w:val="0"/>
          <w:color w:val="auto"/>
          <w:sz w:val="20"/>
          <w:szCs w:val="20"/>
        </w:rPr>
        <w:t xml:space="preserve"> eur a výstavba vychádza z </w:t>
      </w:r>
      <w:r w:rsidR="00322F02">
        <w:rPr>
          <w:rFonts w:cs="Segoe UI"/>
          <w:i w:val="0"/>
          <w:color w:val="auto"/>
          <w:sz w:val="20"/>
          <w:szCs w:val="20"/>
        </w:rPr>
        <w:t> </w:t>
      </w:r>
      <w:r w:rsidRPr="005E7DA9">
        <w:rPr>
          <w:rFonts w:cs="Segoe UI"/>
          <w:i w:val="0"/>
          <w:color w:val="auto"/>
          <w:sz w:val="20"/>
          <w:szCs w:val="20"/>
        </w:rPr>
        <w:t>koncepcie SMART Green Hospital (2022) pre fakultnú nemocnicu, ktorú zhodnotil Ú</w:t>
      </w:r>
      <w:r>
        <w:rPr>
          <w:rFonts w:cs="Segoe UI"/>
          <w:i w:val="0"/>
          <w:color w:val="auto"/>
          <w:sz w:val="20"/>
          <w:szCs w:val="20"/>
        </w:rPr>
        <w:t>HP</w:t>
      </w:r>
      <w:r w:rsidRPr="005E7DA9">
        <w:rPr>
          <w:rFonts w:cs="Segoe UI"/>
          <w:i w:val="0"/>
          <w:color w:val="auto"/>
          <w:sz w:val="20"/>
          <w:szCs w:val="20"/>
        </w:rPr>
        <w:t xml:space="preserve"> (2023). Na projektovú činnosť a stavebné práce je určených 450 mil. eur a na materiálne a technické medicínske vybavenie 100 mil. eur.</w:t>
      </w:r>
      <w:r>
        <w:rPr>
          <w:rFonts w:cs="Segoe UI"/>
          <w:i w:val="0"/>
          <w:color w:val="auto"/>
          <w:sz w:val="20"/>
          <w:szCs w:val="20"/>
        </w:rPr>
        <w:t xml:space="preserve"> Podľa návrhu rozpočtu má nemocnica na budúci rok výdavky 144 mil. eur. Vláda sa vďaka presunu nemocnice pod rezort obrany priblíži v roku </w:t>
      </w:r>
      <w:r w:rsidR="00322F02">
        <w:rPr>
          <w:rFonts w:cs="Segoe UI"/>
          <w:i w:val="0"/>
          <w:color w:val="auto"/>
          <w:sz w:val="20"/>
          <w:szCs w:val="20"/>
        </w:rPr>
        <w:t xml:space="preserve">2025 </w:t>
      </w:r>
      <w:r>
        <w:rPr>
          <w:rFonts w:cs="Segoe UI"/>
          <w:i w:val="0"/>
          <w:color w:val="auto"/>
          <w:sz w:val="20"/>
          <w:szCs w:val="20"/>
        </w:rPr>
        <w:t xml:space="preserve">k politickým záväzkom voči NATO. </w:t>
      </w:r>
    </w:p>
    <w:p w14:paraId="70AB1832" w14:textId="5E92FC08" w:rsidR="005961A9" w:rsidRPr="005E7DA9" w:rsidRDefault="005961A9" w:rsidP="005961A9">
      <w:pPr>
        <w:rPr>
          <w:rFonts w:cs="Segoe UI"/>
          <w:szCs w:val="20"/>
        </w:rPr>
      </w:pPr>
      <w:r w:rsidRPr="005E7DA9">
        <w:rPr>
          <w:rFonts w:cs="Segoe UI"/>
          <w:b/>
          <w:szCs w:val="20"/>
        </w:rPr>
        <w:t xml:space="preserve">Celkové obranné výdavky na rok 2025 vo výške 2,8 mld. eur sú v súlade s politickým záväzkom voči NATO </w:t>
      </w:r>
      <w:r w:rsidRPr="00017ABC">
        <w:rPr>
          <w:rFonts w:cs="Segoe UI"/>
          <w:szCs w:val="20"/>
        </w:rPr>
        <w:t>(</w:t>
      </w:r>
      <w:r w:rsidR="00FF7648">
        <w:rPr>
          <w:rFonts w:cs="Segoe UI"/>
          <w:szCs w:val="20"/>
        </w:rPr>
        <w:t xml:space="preserve">graf </w:t>
      </w:r>
      <w:r w:rsidRPr="00017ABC">
        <w:rPr>
          <w:rFonts w:cs="Segoe UI"/>
          <w:szCs w:val="20"/>
        </w:rPr>
        <w:t>2</w:t>
      </w:r>
      <w:r w:rsidR="008E65AC">
        <w:rPr>
          <w:rFonts w:cs="Segoe UI"/>
          <w:szCs w:val="20"/>
        </w:rPr>
        <w:t>1</w:t>
      </w:r>
      <w:r w:rsidRPr="00017ABC">
        <w:rPr>
          <w:rFonts w:cs="Segoe UI"/>
          <w:szCs w:val="20"/>
        </w:rPr>
        <w:t>)</w:t>
      </w:r>
      <w:r w:rsidRPr="005E7DA9">
        <w:rPr>
          <w:rFonts w:cs="Segoe UI"/>
          <w:b/>
          <w:szCs w:val="20"/>
        </w:rPr>
        <w:t xml:space="preserve">. </w:t>
      </w:r>
      <w:r w:rsidR="003C1974" w:rsidRPr="003C1974">
        <w:rPr>
          <w:rFonts w:cs="Segoe UI"/>
          <w:szCs w:val="20"/>
        </w:rPr>
        <w:t>V kapitole MO SR sú rozpočtované kapitálové výdavky v celkovej sume 2,78 mld. eur.</w:t>
      </w:r>
      <w:r w:rsidR="003C1974">
        <w:rPr>
          <w:rFonts w:cs="Segoe UI"/>
          <w:b/>
          <w:szCs w:val="20"/>
        </w:rPr>
        <w:t xml:space="preserve"> </w:t>
      </w:r>
      <w:r w:rsidRPr="005E7DA9">
        <w:rPr>
          <w:rFonts w:cs="Segoe UI"/>
          <w:szCs w:val="20"/>
        </w:rPr>
        <w:t>V tomto roku je očakávaný pokles čerpania kapitálových výdavkov o 330 mil. eur oproti rozpočtu. Naopak pre budúci rok sa očakáva ich významný nárast</w:t>
      </w:r>
      <w:r w:rsidR="008A4882">
        <w:rPr>
          <w:rFonts w:cs="Segoe UI"/>
          <w:szCs w:val="20"/>
        </w:rPr>
        <w:t xml:space="preserve"> o</w:t>
      </w:r>
      <w:r w:rsidRPr="005E7DA9">
        <w:rPr>
          <w:rFonts w:cs="Segoe UI"/>
          <w:szCs w:val="20"/>
        </w:rPr>
        <w:t xml:space="preserve"> 427 mil. eur oproti očakávanej skutočnosti. Je to spôsobené významným pr</w:t>
      </w:r>
      <w:r>
        <w:rPr>
          <w:rFonts w:cs="Segoe UI"/>
          <w:szCs w:val="20"/>
        </w:rPr>
        <w:t>ehodnotením priorít investícií.</w:t>
      </w:r>
      <w:r w:rsidRPr="005961A9">
        <w:rPr>
          <w:rFonts w:cs="Segoe UI"/>
          <w:szCs w:val="20"/>
        </w:rPr>
        <w:t xml:space="preserve"> </w:t>
      </w:r>
      <w:r w:rsidRPr="005E7DA9">
        <w:rPr>
          <w:rFonts w:cs="Segoe UI"/>
          <w:szCs w:val="20"/>
        </w:rPr>
        <w:t>Najväčšími projektmi, na ktoré má MO SR uzatvorené zmluvy sú nákupy stíhacích lietadiel F-16, pásových bojových vozidiel, bojových obrnených vozidiel 8x8 a 3D rádiolokátorov s rôznym dosahom.</w:t>
      </w:r>
    </w:p>
    <w:p w14:paraId="50983784" w14:textId="7D9118F3" w:rsidR="0022613F" w:rsidRPr="0087188A" w:rsidRDefault="0022613F" w:rsidP="0022613F">
      <w:pPr>
        <w:spacing w:after="0"/>
        <w:rPr>
          <w:rFonts w:cs="Segoe UI"/>
          <w:b/>
          <w:iCs/>
          <w:color w:val="314364" w:themeColor="text2"/>
          <w:szCs w:val="20"/>
        </w:rPr>
      </w:pPr>
      <w:r w:rsidRPr="0087188A">
        <w:rPr>
          <w:rFonts w:cs="Segoe UI"/>
          <w:b/>
          <w:iCs/>
          <w:color w:val="314364" w:themeColor="text2"/>
          <w:szCs w:val="20"/>
        </w:rPr>
        <w:t>Graf 2</w:t>
      </w:r>
      <w:r w:rsidR="008E65AC">
        <w:rPr>
          <w:rFonts w:cs="Segoe UI"/>
          <w:b/>
          <w:iCs/>
          <w:color w:val="314364" w:themeColor="text2"/>
          <w:szCs w:val="20"/>
        </w:rPr>
        <w:t>1</w:t>
      </w:r>
      <w:r w:rsidRPr="0087188A">
        <w:rPr>
          <w:rFonts w:cs="Segoe UI"/>
          <w:b/>
          <w:iCs/>
          <w:color w:val="314364" w:themeColor="text2"/>
          <w:szCs w:val="20"/>
        </w:rPr>
        <w:t>: Celkové obranné výdavky (v % HDP)</w:t>
      </w: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70"/>
      </w:tblGrid>
      <w:tr w:rsidR="0022613F" w:rsidRPr="005E7DA9" w14:paraId="0076F8FF" w14:textId="77777777" w:rsidTr="00B571E8">
        <w:trPr>
          <w:trHeight w:val="2835"/>
        </w:trPr>
        <w:tc>
          <w:tcPr>
            <w:tcW w:w="9070" w:type="dxa"/>
            <w:tcBorders>
              <w:top w:val="single" w:sz="4" w:space="0" w:color="314364"/>
              <w:bottom w:val="single" w:sz="4" w:space="0" w:color="314364"/>
            </w:tcBorders>
            <w:vAlign w:val="center"/>
          </w:tcPr>
          <w:p w14:paraId="7A96A64E" w14:textId="77777777" w:rsidR="0022613F" w:rsidRPr="005E7DA9" w:rsidRDefault="0022613F" w:rsidP="00B571E8">
            <w:pPr>
              <w:spacing w:after="0"/>
              <w:rPr>
                <w:rFonts w:cs="Segoe UI"/>
                <w:b/>
                <w:color w:val="576431"/>
                <w:szCs w:val="20"/>
                <w:highlight w:val="yellow"/>
              </w:rPr>
            </w:pPr>
            <w:r>
              <w:rPr>
                <w:noProof/>
                <w:lang w:eastAsia="sk-SK"/>
              </w:rPr>
              <w:drawing>
                <wp:inline distT="0" distB="0" distL="0" distR="0" wp14:anchorId="47CC8D30" wp14:editId="0D514AB9">
                  <wp:extent cx="5759450" cy="1743075"/>
                  <wp:effectExtent l="0" t="0" r="0" b="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14:paraId="6F3B0F72" w14:textId="49D1B62F" w:rsidR="0022613F" w:rsidRPr="00F42E73" w:rsidRDefault="0022613F" w:rsidP="0022613F">
      <w:pPr>
        <w:pStyle w:val="Zdroj"/>
        <w:spacing w:line="276" w:lineRule="auto"/>
        <w:rPr>
          <w:rFonts w:cs="Segoe UI"/>
          <w:szCs w:val="16"/>
        </w:rPr>
      </w:pPr>
      <w:r w:rsidRPr="00F42E73">
        <w:rPr>
          <w:rFonts w:cs="Segoe UI"/>
          <w:szCs w:val="16"/>
        </w:rPr>
        <w:t>Zdroj: MF SR</w:t>
      </w:r>
      <w:r>
        <w:rPr>
          <w:rFonts w:cs="Segoe UI"/>
          <w:szCs w:val="16"/>
        </w:rPr>
        <w:t>.</w:t>
      </w:r>
    </w:p>
    <w:p w14:paraId="3FFCAB77" w14:textId="77777777" w:rsidR="00537E37" w:rsidRDefault="003C4E36" w:rsidP="003C4E36">
      <w:pPr>
        <w:rPr>
          <w:rFonts w:cs="Segoe UI"/>
          <w:b/>
          <w:bCs/>
          <w:szCs w:val="20"/>
        </w:rPr>
      </w:pPr>
      <w:r>
        <w:rPr>
          <w:rFonts w:cs="Segoe UI"/>
          <w:b/>
          <w:bCs/>
          <w:szCs w:val="20"/>
        </w:rPr>
        <w:t xml:space="preserve">Okrem rezortu obrany sú vysoké kapitálové výdavky ŠR rozpočtované aj v rezorte dopravy, a to </w:t>
      </w:r>
      <w:r w:rsidRPr="005E7DA9">
        <w:rPr>
          <w:rFonts w:cs="Segoe UI"/>
          <w:b/>
          <w:bCs/>
          <w:szCs w:val="20"/>
        </w:rPr>
        <w:t xml:space="preserve">vo výške 589 mil. eur, čo je o 102 mil. eur menej ako sa očakáva čerpanie v roku 2024. </w:t>
      </w:r>
      <w:r w:rsidRPr="005E7DA9">
        <w:rPr>
          <w:rFonts w:cs="Segoe UI"/>
          <w:bCs/>
          <w:szCs w:val="20"/>
        </w:rPr>
        <w:t xml:space="preserve">Aktualizácia </w:t>
      </w:r>
      <w:r>
        <w:rPr>
          <w:rFonts w:cs="Segoe UI"/>
          <w:bCs/>
          <w:szCs w:val="20"/>
        </w:rPr>
        <w:t>h</w:t>
      </w:r>
      <w:r w:rsidRPr="005E7DA9">
        <w:rPr>
          <w:rFonts w:cs="Segoe UI"/>
          <w:bCs/>
          <w:szCs w:val="20"/>
        </w:rPr>
        <w:t xml:space="preserve">armonogramu prípravy a výstavby projektov cestnej infraštruktúry potvrdzuje priority pre prípravu a novú výstavbu, </w:t>
      </w:r>
      <w:r>
        <w:rPr>
          <w:rFonts w:cs="Segoe UI"/>
          <w:bCs/>
          <w:szCs w:val="20"/>
        </w:rPr>
        <w:t>a to najmä</w:t>
      </w:r>
      <w:r w:rsidRPr="005E7DA9">
        <w:rPr>
          <w:rFonts w:cs="Segoe UI"/>
          <w:bCs/>
          <w:szCs w:val="20"/>
        </w:rPr>
        <w:t xml:space="preserve"> projekt D1 Turany – Hubová, projekty D3, rekonštrukcie ciest I. triedy, najmä posilnenie tzv. mostného programu, urýchlenú prípravu koridoru R4, severojužného prepojenia a tzv. východnej D1 (Bidovce – hranica SR/UA). </w:t>
      </w:r>
      <w:r w:rsidRPr="00983484">
        <w:rPr>
          <w:rFonts w:cs="Segoe UI"/>
          <w:bCs/>
          <w:szCs w:val="20"/>
        </w:rPr>
        <w:t>Prioritou v prevádzke cestnej infraštruktúry je oprava ciest a mostov, keďže až takmer 40 % ciest I. triedy a 48 % mostov na cestách I. triedy je v nevyhovujúcom alebo havarijnom stave.</w:t>
      </w:r>
      <w:r>
        <w:rPr>
          <w:rFonts w:cs="Segoe UI"/>
          <w:bCs/>
          <w:szCs w:val="20"/>
        </w:rPr>
        <w:t xml:space="preserve"> </w:t>
      </w:r>
      <w:r w:rsidRPr="005E7DA9">
        <w:rPr>
          <w:rFonts w:cs="Segoe UI"/>
          <w:bCs/>
          <w:szCs w:val="20"/>
        </w:rPr>
        <w:t xml:space="preserve">K prioritám vlády sa pridali projekty dokončenia cestnej infraštruktúry v okolí Košíc </w:t>
      </w:r>
      <w:r w:rsidRPr="005E7DA9">
        <w:rPr>
          <w:rFonts w:cs="Segoe UI"/>
          <w:bCs/>
          <w:szCs w:val="20"/>
        </w:rPr>
        <w:lastRenderedPageBreak/>
        <w:t xml:space="preserve">v </w:t>
      </w:r>
      <w:r>
        <w:rPr>
          <w:rFonts w:cs="Segoe UI"/>
          <w:bCs/>
          <w:szCs w:val="20"/>
        </w:rPr>
        <w:t> </w:t>
      </w:r>
      <w:r w:rsidRPr="005E7DA9">
        <w:rPr>
          <w:rFonts w:cs="Segoe UI"/>
          <w:bCs/>
          <w:szCs w:val="20"/>
        </w:rPr>
        <w:t>súvislosti s investíciou Volvo a urýchlená príprava a následná výstavba dokončenia ochvatu Bratislavy (tunel Karpaty).</w:t>
      </w:r>
      <w:r w:rsidRPr="005E7DA9">
        <w:rPr>
          <w:rStyle w:val="Odkaznapoznmkupodiarou"/>
          <w:rFonts w:cs="Segoe UI"/>
          <w:bCs/>
          <w:szCs w:val="20"/>
        </w:rPr>
        <w:footnoteReference w:id="70"/>
      </w:r>
    </w:p>
    <w:p w14:paraId="31E3A88C" w14:textId="0A502734" w:rsidR="003C4E36" w:rsidRPr="00537E37" w:rsidRDefault="003C4E36" w:rsidP="003C4E36">
      <w:pPr>
        <w:rPr>
          <w:rFonts w:cs="Segoe UI"/>
          <w:b/>
          <w:bCs/>
          <w:szCs w:val="20"/>
        </w:rPr>
      </w:pPr>
      <w:r w:rsidRPr="005E7DA9">
        <w:rPr>
          <w:rFonts w:cs="Segoe UI"/>
          <w:b/>
          <w:bCs/>
          <w:szCs w:val="20"/>
        </w:rPr>
        <w:t>Podľa návrhu rozpočtu výdavky na investície do dopravnej infraštruktúry na rok 2025 predstavujú celkovo 1,84 mld</w:t>
      </w:r>
      <w:r>
        <w:rPr>
          <w:rFonts w:cs="Segoe UI"/>
          <w:b/>
          <w:bCs/>
          <w:szCs w:val="20"/>
        </w:rPr>
        <w:t xml:space="preserve">. eur, ktoré zahŕňajú aj zdroje rozpočtované v kapitole MD SR. </w:t>
      </w:r>
      <w:r w:rsidRPr="00F13FE8">
        <w:rPr>
          <w:rFonts w:cs="Segoe UI"/>
          <w:bCs/>
          <w:szCs w:val="20"/>
        </w:rPr>
        <w:t>Medziročný nárast</w:t>
      </w:r>
      <w:r>
        <w:rPr>
          <w:rFonts w:cs="Segoe UI"/>
          <w:bCs/>
          <w:szCs w:val="20"/>
        </w:rPr>
        <w:t xml:space="preserve"> rozpočtovaných</w:t>
      </w:r>
      <w:r w:rsidRPr="00F13FE8">
        <w:rPr>
          <w:rFonts w:cs="Segoe UI"/>
          <w:bCs/>
          <w:szCs w:val="20"/>
        </w:rPr>
        <w:t xml:space="preserve"> výdavkov v oblasti investícií do dopravnej infraštruktúry </w:t>
      </w:r>
      <w:r>
        <w:rPr>
          <w:rFonts w:cs="Segoe UI"/>
          <w:bCs/>
          <w:szCs w:val="20"/>
        </w:rPr>
        <w:t xml:space="preserve">je </w:t>
      </w:r>
      <w:r w:rsidRPr="00F13FE8">
        <w:rPr>
          <w:rFonts w:cs="Segoe UI"/>
          <w:bCs/>
          <w:szCs w:val="20"/>
        </w:rPr>
        <w:t>v celkovej sume 612 mil. eur</w:t>
      </w:r>
      <w:r>
        <w:rPr>
          <w:rFonts w:cs="Segoe UI"/>
          <w:bCs/>
          <w:szCs w:val="20"/>
        </w:rPr>
        <w:t xml:space="preserve">. </w:t>
      </w:r>
      <w:r w:rsidRPr="00983484">
        <w:rPr>
          <w:rFonts w:cs="Segoe UI"/>
          <w:bCs/>
          <w:szCs w:val="20"/>
        </w:rPr>
        <w:t>Uvedenými výdavkami sa zabezpečí financovanie výstavby ciest I. triedy, diaľnic a rýchlostných ciest, nadradenej cestnej siete formou PPP projektov, modernizácia železničnej infraštruktúry, obnova mobilných prostriedkov a modernizácia verejnej osobnej dopravy.</w:t>
      </w:r>
    </w:p>
    <w:p w14:paraId="036B0076" w14:textId="678CB076" w:rsidR="00017ABC" w:rsidRPr="009A6D48" w:rsidRDefault="003C4E36" w:rsidP="00017ABC">
      <w:pPr>
        <w:rPr>
          <w:rFonts w:cs="Segoe UI"/>
          <w:b/>
          <w:bCs/>
          <w:szCs w:val="20"/>
        </w:rPr>
      </w:pPr>
      <w:r w:rsidRPr="009A6D48">
        <w:rPr>
          <w:rFonts w:cs="Segoe UI"/>
          <w:b/>
          <w:bCs/>
          <w:szCs w:val="20"/>
        </w:rPr>
        <w:t xml:space="preserve">Štátom dotovaná letecká linka by mala byť spustená </w:t>
      </w:r>
      <w:r>
        <w:rPr>
          <w:rFonts w:cs="Segoe UI"/>
          <w:b/>
          <w:bCs/>
          <w:szCs w:val="20"/>
        </w:rPr>
        <w:t xml:space="preserve">na jar </w:t>
      </w:r>
      <w:r w:rsidRPr="009A6D48">
        <w:rPr>
          <w:rFonts w:cs="Segoe UI"/>
          <w:b/>
          <w:bCs/>
          <w:szCs w:val="20"/>
        </w:rPr>
        <w:t>2025</w:t>
      </w:r>
      <w:r>
        <w:rPr>
          <w:rFonts w:cs="Segoe UI"/>
          <w:b/>
          <w:bCs/>
          <w:szCs w:val="20"/>
        </w:rPr>
        <w:t>,</w:t>
      </w:r>
      <w:r w:rsidRPr="009A6D48">
        <w:rPr>
          <w:rFonts w:cs="Segoe UI"/>
          <w:b/>
          <w:bCs/>
          <w:szCs w:val="20"/>
        </w:rPr>
        <w:t xml:space="preserve"> avšak v návrhu rozpočtu nie sú na tento účel alokované finančné prostriedky.</w:t>
      </w:r>
      <w:r>
        <w:rPr>
          <w:rFonts w:cs="Segoe UI"/>
          <w:b/>
          <w:bCs/>
          <w:szCs w:val="20"/>
        </w:rPr>
        <w:t xml:space="preserve"> </w:t>
      </w:r>
      <w:r w:rsidR="00017ABC" w:rsidRPr="005E7DA9">
        <w:rPr>
          <w:rFonts w:cs="Segoe UI"/>
          <w:bCs/>
          <w:szCs w:val="20"/>
        </w:rPr>
        <w:t>V návrhu rozpočtu je vyčlenených 6 mil. eur na leteckú dopravu</w:t>
      </w:r>
      <w:r w:rsidR="0099131C">
        <w:rPr>
          <w:rFonts w:cs="Segoe UI"/>
          <w:bCs/>
          <w:szCs w:val="20"/>
        </w:rPr>
        <w:t>,</w:t>
      </w:r>
      <w:r w:rsidR="00017ABC" w:rsidRPr="005E7DA9">
        <w:rPr>
          <w:rFonts w:cs="Segoe UI"/>
          <w:bCs/>
          <w:szCs w:val="20"/>
        </w:rPr>
        <w:t xml:space="preserve"> najmä na financovanie bezpečnostnej ochrany letiska, výkonu záchranných a hasičských služieb na letisku a na refundáciu výdavkov spojených s poskytovaním letových prevádzkových služieb letom oslobodeným od odplát. MD SR plánuje obnoviť pravidelné letecké spojenie medzi Bratislavou a Košicami. Aktuálne pripravuje podmienky na vyhlásenie verejnej súťaže na leteckého dopravcu.</w:t>
      </w:r>
    </w:p>
    <w:p w14:paraId="275E30E3" w14:textId="3FC7340F" w:rsidR="000C763A" w:rsidRDefault="000C763A" w:rsidP="000C763A">
      <w:pPr>
        <w:pStyle w:val="Nadpis2"/>
      </w:pPr>
      <w:bookmarkStart w:id="36" w:name="_Toc182559190"/>
      <w:r>
        <w:t>Rozpočtovanie rezerv</w:t>
      </w:r>
      <w:bookmarkEnd w:id="36"/>
    </w:p>
    <w:p w14:paraId="300B06C3" w14:textId="1D1ADB8F" w:rsidR="00284D9F" w:rsidRDefault="00284D9F" w:rsidP="00284D9F">
      <w:r w:rsidRPr="00880269">
        <w:rPr>
          <w:b/>
        </w:rPr>
        <w:t xml:space="preserve">Novelizácia zákona o rozpočtových pravidlách </w:t>
      </w:r>
      <w:r w:rsidR="0099131C">
        <w:rPr>
          <w:b/>
        </w:rPr>
        <w:t>VS</w:t>
      </w:r>
      <w:r w:rsidRPr="00880269">
        <w:rPr>
          <w:b/>
        </w:rPr>
        <w:t xml:space="preserve"> priniesla aj zmeny v rozpočtovaní rezerv.</w:t>
      </w:r>
      <w:r>
        <w:t xml:space="preserve"> Deklarovaným cieľom bola vyššia prehľadnosť rozpočtovania a vykazovania rezerv, keď sa znížil ich počet zo </w:t>
      </w:r>
      <w:r w:rsidR="0099131C">
        <w:t>šesť</w:t>
      </w:r>
      <w:r>
        <w:t xml:space="preserve"> na </w:t>
      </w:r>
      <w:r w:rsidR="0099131C">
        <w:t>štyri</w:t>
      </w:r>
      <w:r>
        <w:t xml:space="preserve"> a obmedzil sa účel ich použitia. Výdavkové tituly, ktoré sa v minulosti uvádzali medzi rezervami</w:t>
      </w:r>
      <w:r w:rsidR="0099131C">
        <w:t>,</w:t>
      </w:r>
      <w:r>
        <w:t xml:space="preserve"> sú v </w:t>
      </w:r>
      <w:r w:rsidR="0099131C">
        <w:t xml:space="preserve">návrhu </w:t>
      </w:r>
      <w:r>
        <w:t>rozpočt</w:t>
      </w:r>
      <w:r w:rsidR="0099131C">
        <w:t>u</w:t>
      </w:r>
      <w:r>
        <w:t xml:space="preserve"> </w:t>
      </w:r>
      <w:r w:rsidR="0099131C">
        <w:t xml:space="preserve">na rok 2025 </w:t>
      </w:r>
      <w:r>
        <w:t>zaradené najmä medzi ostatn</w:t>
      </w:r>
      <w:r w:rsidR="003D6E9F">
        <w:t>é výdavky v rámci kapitoly VPS.</w:t>
      </w:r>
    </w:p>
    <w:p w14:paraId="320F434D" w14:textId="276051D5" w:rsidR="00284D9F" w:rsidRDefault="00284D9F" w:rsidP="00284D9F">
      <w:r w:rsidRPr="00514710">
        <w:rPr>
          <w:b/>
        </w:rPr>
        <w:t xml:space="preserve">Rozpočet kapitoly VPS obsahuje výdavky </w:t>
      </w:r>
      <w:r w:rsidR="00017ABC" w:rsidRPr="00514710">
        <w:rPr>
          <w:b/>
        </w:rPr>
        <w:t>ŠR</w:t>
      </w:r>
      <w:r w:rsidRPr="00514710">
        <w:rPr>
          <w:b/>
        </w:rPr>
        <w:t>, ktoré nesúvisia s výdavkami ostatných kapitol</w:t>
      </w:r>
      <w:r>
        <w:t xml:space="preserve">, </w:t>
      </w:r>
      <w:r w:rsidRPr="00514710">
        <w:rPr>
          <w:b/>
        </w:rPr>
        <w:t>vrátane výdavkov určených na správu štátneho dlhu.</w:t>
      </w:r>
      <w:r>
        <w:t xml:space="preserve"> V kapitole VPS sú rozpočtované aj výdavky na osem</w:t>
      </w:r>
      <w:r>
        <w:rPr>
          <w:rStyle w:val="Odkaznapoznmkupodiarou"/>
        </w:rPr>
        <w:footnoteReference w:id="71"/>
      </w:r>
      <w:r>
        <w:t xml:space="preserve"> menších organizácií v celkovej výške 18,5 mil. eur, či finančné vzťahy k EÚ alebo SP (tabuľka </w:t>
      </w:r>
      <w:r w:rsidR="008E65AC">
        <w:t>9</w:t>
      </w:r>
      <w:r w:rsidR="00017ABC">
        <w:t>).</w:t>
      </w:r>
    </w:p>
    <w:p w14:paraId="6BE20E4C" w14:textId="4304F20A" w:rsidR="0022613F" w:rsidRDefault="0022613F" w:rsidP="0022613F">
      <w:pPr>
        <w:pStyle w:val="Popis"/>
        <w:keepNext/>
      </w:pPr>
      <w:r w:rsidRPr="004D2725">
        <w:t xml:space="preserve">Tabuľka </w:t>
      </w:r>
      <w:r w:rsidR="008E65AC">
        <w:t>9</w:t>
      </w:r>
      <w:r w:rsidRPr="004D2725">
        <w:t xml:space="preserve">: </w:t>
      </w:r>
      <w:r>
        <w:t>Štruktúra výdavkov kapitoly VPS (v mil. eur)</w:t>
      </w:r>
    </w:p>
    <w:tbl>
      <w:tblPr>
        <w:tblpPr w:leftFromText="141" w:rightFromText="141" w:vertAnchor="text" w:horzAnchor="margin" w:tblpXSpec="center" w:tblpY="72"/>
        <w:tblOverlap w:val="never"/>
        <w:tblW w:w="5106" w:type="pct"/>
        <w:tblCellMar>
          <w:top w:w="28" w:type="dxa"/>
        </w:tblCellMar>
        <w:tblLook w:val="04A0" w:firstRow="1" w:lastRow="0" w:firstColumn="1" w:lastColumn="0" w:noHBand="0" w:noVBand="1"/>
      </w:tblPr>
      <w:tblGrid>
        <w:gridCol w:w="2009"/>
        <w:gridCol w:w="806"/>
        <w:gridCol w:w="804"/>
        <w:gridCol w:w="806"/>
        <w:gridCol w:w="806"/>
        <w:gridCol w:w="808"/>
        <w:gridCol w:w="806"/>
        <w:gridCol w:w="802"/>
        <w:gridCol w:w="802"/>
        <w:gridCol w:w="813"/>
      </w:tblGrid>
      <w:tr w:rsidR="0022613F" w:rsidRPr="00466A26" w14:paraId="54BB491C" w14:textId="77777777" w:rsidTr="00B571E8">
        <w:trPr>
          <w:trHeight w:val="13"/>
        </w:trPr>
        <w:tc>
          <w:tcPr>
            <w:tcW w:w="1085" w:type="pct"/>
            <w:tcBorders>
              <w:bottom w:val="single" w:sz="4" w:space="0" w:color="314364"/>
            </w:tcBorders>
            <w:shd w:val="clear" w:color="auto" w:fill="314364"/>
            <w:vAlign w:val="center"/>
          </w:tcPr>
          <w:p w14:paraId="5A4B7384" w14:textId="77777777" w:rsidR="0022613F" w:rsidRPr="00466A26" w:rsidRDefault="0022613F" w:rsidP="00B571E8">
            <w:pPr>
              <w:spacing w:after="0" w:line="259" w:lineRule="auto"/>
              <w:jc w:val="left"/>
              <w:rPr>
                <w:rFonts w:cs="Segoe UI"/>
                <w:b/>
                <w:color w:val="FFFFFF" w:themeColor="background1"/>
                <w:sz w:val="16"/>
                <w:szCs w:val="16"/>
              </w:rPr>
            </w:pPr>
          </w:p>
        </w:tc>
        <w:tc>
          <w:tcPr>
            <w:tcW w:w="435" w:type="pct"/>
            <w:tcBorders>
              <w:bottom w:val="single" w:sz="4" w:space="0" w:color="314364"/>
            </w:tcBorders>
            <w:shd w:val="clear" w:color="auto" w:fill="314364"/>
            <w:vAlign w:val="center"/>
          </w:tcPr>
          <w:p w14:paraId="1B9B7D2D" w14:textId="77777777" w:rsidR="0022613F" w:rsidRPr="00466A26" w:rsidRDefault="0022613F" w:rsidP="00B571E8">
            <w:pPr>
              <w:spacing w:after="0" w:line="259" w:lineRule="auto"/>
              <w:jc w:val="right"/>
              <w:rPr>
                <w:rFonts w:cs="Segoe UI"/>
                <w:b/>
                <w:color w:val="FFFFFF" w:themeColor="background1"/>
                <w:sz w:val="16"/>
                <w:szCs w:val="16"/>
              </w:rPr>
            </w:pPr>
            <w:r w:rsidRPr="00466A26">
              <w:rPr>
                <w:rFonts w:cs="Segoe UI"/>
                <w:b/>
                <w:color w:val="FFFFFF" w:themeColor="background1"/>
                <w:sz w:val="16"/>
                <w:szCs w:val="16"/>
              </w:rPr>
              <w:t>2022 S</w:t>
            </w:r>
          </w:p>
        </w:tc>
        <w:tc>
          <w:tcPr>
            <w:tcW w:w="434" w:type="pct"/>
            <w:tcBorders>
              <w:bottom w:val="single" w:sz="4" w:space="0" w:color="314364"/>
            </w:tcBorders>
            <w:shd w:val="clear" w:color="auto" w:fill="314364"/>
            <w:vAlign w:val="center"/>
          </w:tcPr>
          <w:p w14:paraId="371DE23E" w14:textId="77777777" w:rsidR="0022613F" w:rsidRPr="00466A26" w:rsidRDefault="0022613F" w:rsidP="00B571E8">
            <w:pPr>
              <w:spacing w:after="0" w:line="259" w:lineRule="auto"/>
              <w:jc w:val="right"/>
              <w:rPr>
                <w:rFonts w:cs="Segoe UI"/>
                <w:b/>
                <w:color w:val="FFFFFF" w:themeColor="background1"/>
                <w:sz w:val="16"/>
                <w:szCs w:val="16"/>
              </w:rPr>
            </w:pPr>
            <w:r w:rsidRPr="00466A26">
              <w:rPr>
                <w:rFonts w:cs="Segoe UI"/>
                <w:b/>
                <w:color w:val="FFFFFF" w:themeColor="background1"/>
                <w:sz w:val="16"/>
                <w:szCs w:val="16"/>
              </w:rPr>
              <w:t>2023 S</w:t>
            </w:r>
          </w:p>
        </w:tc>
        <w:tc>
          <w:tcPr>
            <w:tcW w:w="435" w:type="pct"/>
            <w:tcBorders>
              <w:bottom w:val="single" w:sz="4" w:space="0" w:color="314364"/>
            </w:tcBorders>
            <w:shd w:val="clear" w:color="auto" w:fill="314364"/>
            <w:vAlign w:val="center"/>
          </w:tcPr>
          <w:p w14:paraId="107D3586" w14:textId="77777777" w:rsidR="0022613F" w:rsidRPr="00466A26" w:rsidRDefault="0022613F" w:rsidP="00B571E8">
            <w:pPr>
              <w:spacing w:after="0" w:line="259" w:lineRule="auto"/>
              <w:jc w:val="right"/>
              <w:rPr>
                <w:rFonts w:cs="Segoe UI"/>
                <w:b/>
                <w:color w:val="FFFFFF" w:themeColor="background1"/>
                <w:sz w:val="16"/>
                <w:szCs w:val="16"/>
              </w:rPr>
            </w:pPr>
            <w:r w:rsidRPr="00466A26">
              <w:rPr>
                <w:rFonts w:cs="Segoe UI"/>
                <w:b/>
                <w:color w:val="FFFFFF" w:themeColor="background1"/>
                <w:sz w:val="16"/>
                <w:szCs w:val="16"/>
              </w:rPr>
              <w:t>2024 R</w:t>
            </w:r>
          </w:p>
        </w:tc>
        <w:tc>
          <w:tcPr>
            <w:tcW w:w="435" w:type="pct"/>
            <w:tcBorders>
              <w:bottom w:val="single" w:sz="4" w:space="0" w:color="314364"/>
            </w:tcBorders>
            <w:shd w:val="clear" w:color="auto" w:fill="314364"/>
            <w:vAlign w:val="center"/>
          </w:tcPr>
          <w:p w14:paraId="2E7B16B8" w14:textId="77777777" w:rsidR="0022613F" w:rsidRPr="00466A26" w:rsidRDefault="0022613F" w:rsidP="00B571E8">
            <w:pPr>
              <w:spacing w:after="0" w:line="259" w:lineRule="auto"/>
              <w:ind w:left="-135"/>
              <w:jc w:val="right"/>
              <w:rPr>
                <w:rFonts w:cs="Segoe UI"/>
                <w:b/>
                <w:color w:val="FFFFFF" w:themeColor="background1"/>
                <w:sz w:val="16"/>
                <w:szCs w:val="16"/>
              </w:rPr>
            </w:pPr>
            <w:r w:rsidRPr="00466A26">
              <w:rPr>
                <w:rFonts w:cs="Segoe UI"/>
                <w:b/>
                <w:color w:val="FFFFFF" w:themeColor="background1"/>
                <w:sz w:val="16"/>
                <w:szCs w:val="16"/>
              </w:rPr>
              <w:t>2024 OS</w:t>
            </w:r>
          </w:p>
        </w:tc>
        <w:tc>
          <w:tcPr>
            <w:tcW w:w="436" w:type="pct"/>
            <w:tcBorders>
              <w:bottom w:val="single" w:sz="4" w:space="0" w:color="314364"/>
            </w:tcBorders>
            <w:shd w:val="clear" w:color="auto" w:fill="314364"/>
            <w:vAlign w:val="center"/>
          </w:tcPr>
          <w:p w14:paraId="43235DCC" w14:textId="77777777" w:rsidR="0022613F" w:rsidRPr="00466A26" w:rsidRDefault="0022613F" w:rsidP="00B571E8">
            <w:pPr>
              <w:spacing w:after="0" w:line="259" w:lineRule="auto"/>
              <w:jc w:val="right"/>
              <w:rPr>
                <w:rFonts w:cs="Segoe UI"/>
                <w:b/>
                <w:color w:val="FFFFFF" w:themeColor="background1"/>
                <w:sz w:val="16"/>
                <w:szCs w:val="16"/>
              </w:rPr>
            </w:pPr>
            <w:r w:rsidRPr="00466A26">
              <w:rPr>
                <w:rFonts w:cs="Segoe UI"/>
                <w:b/>
                <w:color w:val="FFFFFF" w:themeColor="background1"/>
                <w:sz w:val="16"/>
                <w:szCs w:val="16"/>
              </w:rPr>
              <w:t>2025 N</w:t>
            </w:r>
          </w:p>
        </w:tc>
        <w:tc>
          <w:tcPr>
            <w:tcW w:w="435" w:type="pct"/>
            <w:tcBorders>
              <w:bottom w:val="single" w:sz="4" w:space="0" w:color="314364"/>
            </w:tcBorders>
            <w:shd w:val="clear" w:color="auto" w:fill="314364"/>
            <w:vAlign w:val="center"/>
          </w:tcPr>
          <w:p w14:paraId="3ED2237E" w14:textId="77777777" w:rsidR="0022613F" w:rsidRPr="00466A26" w:rsidRDefault="0022613F" w:rsidP="00B571E8">
            <w:pPr>
              <w:spacing w:after="0" w:line="259" w:lineRule="auto"/>
              <w:jc w:val="right"/>
              <w:rPr>
                <w:rFonts w:cs="Segoe UI"/>
                <w:b/>
                <w:color w:val="FFFFFF" w:themeColor="background1"/>
                <w:sz w:val="16"/>
                <w:szCs w:val="16"/>
              </w:rPr>
            </w:pPr>
            <w:r w:rsidRPr="00466A26">
              <w:rPr>
                <w:rFonts w:cs="Segoe UI"/>
                <w:b/>
                <w:color w:val="FFFFFF" w:themeColor="background1"/>
                <w:sz w:val="16"/>
                <w:szCs w:val="16"/>
              </w:rPr>
              <w:t>2026 N</w:t>
            </w:r>
          </w:p>
        </w:tc>
        <w:tc>
          <w:tcPr>
            <w:tcW w:w="433" w:type="pct"/>
            <w:tcBorders>
              <w:bottom w:val="single" w:sz="4" w:space="0" w:color="314364"/>
            </w:tcBorders>
            <w:shd w:val="clear" w:color="auto" w:fill="314364"/>
            <w:vAlign w:val="center"/>
          </w:tcPr>
          <w:p w14:paraId="1EA85E16" w14:textId="77777777" w:rsidR="0022613F" w:rsidRPr="00466A26" w:rsidRDefault="0022613F" w:rsidP="00B571E8">
            <w:pPr>
              <w:spacing w:after="0" w:line="259" w:lineRule="auto"/>
              <w:jc w:val="right"/>
              <w:rPr>
                <w:rFonts w:cs="Segoe UI"/>
                <w:b/>
                <w:color w:val="FFFFFF" w:themeColor="background1"/>
                <w:sz w:val="16"/>
                <w:szCs w:val="16"/>
              </w:rPr>
            </w:pPr>
            <w:r w:rsidRPr="00466A26">
              <w:rPr>
                <w:rFonts w:cs="Segoe UI"/>
                <w:b/>
                <w:color w:val="FFFFFF" w:themeColor="background1"/>
                <w:sz w:val="16"/>
                <w:szCs w:val="16"/>
              </w:rPr>
              <w:t>2027 N</w:t>
            </w:r>
          </w:p>
        </w:tc>
        <w:tc>
          <w:tcPr>
            <w:tcW w:w="433" w:type="pct"/>
            <w:tcBorders>
              <w:bottom w:val="single" w:sz="4" w:space="0" w:color="314364"/>
            </w:tcBorders>
            <w:shd w:val="clear" w:color="auto" w:fill="314364"/>
            <w:vAlign w:val="center"/>
          </w:tcPr>
          <w:p w14:paraId="3C2E2625" w14:textId="77777777" w:rsidR="0022613F" w:rsidRPr="00466A26" w:rsidRDefault="0022613F" w:rsidP="00B571E8">
            <w:pPr>
              <w:spacing w:after="0" w:line="259" w:lineRule="auto"/>
              <w:jc w:val="right"/>
              <w:rPr>
                <w:rFonts w:cs="Segoe UI"/>
                <w:b/>
                <w:color w:val="FFFFFF" w:themeColor="background1"/>
                <w:sz w:val="16"/>
                <w:szCs w:val="16"/>
              </w:rPr>
            </w:pPr>
            <w:r w:rsidRPr="00466A26">
              <w:rPr>
                <w:rFonts w:cs="Segoe UI"/>
                <w:b/>
                <w:color w:val="FFFFFF" w:themeColor="background1"/>
                <w:sz w:val="16"/>
                <w:szCs w:val="16"/>
              </w:rPr>
              <w:t>2025-2024</w:t>
            </w:r>
          </w:p>
        </w:tc>
        <w:tc>
          <w:tcPr>
            <w:tcW w:w="439" w:type="pct"/>
            <w:tcBorders>
              <w:bottom w:val="single" w:sz="4" w:space="0" w:color="314364"/>
            </w:tcBorders>
            <w:shd w:val="clear" w:color="auto" w:fill="314364"/>
            <w:vAlign w:val="center"/>
          </w:tcPr>
          <w:p w14:paraId="517A1D1A" w14:textId="77777777" w:rsidR="0022613F" w:rsidRPr="00466A26" w:rsidRDefault="0022613F" w:rsidP="00B571E8">
            <w:pPr>
              <w:spacing w:after="0" w:line="259" w:lineRule="auto"/>
              <w:jc w:val="right"/>
              <w:rPr>
                <w:rFonts w:cs="Segoe UI"/>
                <w:b/>
                <w:color w:val="FFFFFF" w:themeColor="background1"/>
                <w:sz w:val="16"/>
                <w:szCs w:val="16"/>
              </w:rPr>
            </w:pPr>
            <w:r w:rsidRPr="00466A26">
              <w:rPr>
                <w:rFonts w:cs="Segoe UI"/>
                <w:b/>
                <w:color w:val="FFFFFF" w:themeColor="background1"/>
                <w:sz w:val="16"/>
                <w:szCs w:val="16"/>
              </w:rPr>
              <w:t>2025 / 2024</w:t>
            </w:r>
          </w:p>
        </w:tc>
      </w:tr>
      <w:tr w:rsidR="0022613F" w:rsidRPr="00466A26" w14:paraId="053C22B0" w14:textId="77777777" w:rsidTr="00B571E8">
        <w:trPr>
          <w:trHeight w:val="13"/>
        </w:trPr>
        <w:tc>
          <w:tcPr>
            <w:tcW w:w="1085" w:type="pct"/>
            <w:vAlign w:val="center"/>
          </w:tcPr>
          <w:p w14:paraId="2FF088C5" w14:textId="77777777" w:rsidR="0022613F" w:rsidRPr="00466A26" w:rsidRDefault="0022613F" w:rsidP="00B571E8">
            <w:pPr>
              <w:spacing w:after="0" w:line="259" w:lineRule="auto"/>
              <w:jc w:val="left"/>
              <w:rPr>
                <w:rFonts w:cs="Segoe UI"/>
                <w:sz w:val="16"/>
                <w:szCs w:val="16"/>
              </w:rPr>
            </w:pPr>
            <w:r w:rsidRPr="00466A26">
              <w:rPr>
                <w:rFonts w:cs="Segoe UI"/>
                <w:sz w:val="16"/>
                <w:szCs w:val="16"/>
              </w:rPr>
              <w:t>Rozpočtové rezervy</w:t>
            </w:r>
          </w:p>
        </w:tc>
        <w:tc>
          <w:tcPr>
            <w:tcW w:w="435" w:type="pct"/>
            <w:vAlign w:val="center"/>
          </w:tcPr>
          <w:p w14:paraId="39BBBFFD" w14:textId="77777777" w:rsidR="0022613F" w:rsidRPr="00466A26" w:rsidRDefault="0022613F" w:rsidP="00B571E8">
            <w:pPr>
              <w:spacing w:after="0" w:line="259" w:lineRule="auto"/>
              <w:jc w:val="right"/>
              <w:rPr>
                <w:rFonts w:cs="Segoe UI"/>
                <w:sz w:val="16"/>
                <w:szCs w:val="16"/>
              </w:rPr>
            </w:pPr>
            <w:r w:rsidRPr="00466A26">
              <w:rPr>
                <w:rFonts w:cs="Segoe UI"/>
                <w:color w:val="000000"/>
                <w:sz w:val="16"/>
                <w:szCs w:val="16"/>
              </w:rPr>
              <w:t>5</w:t>
            </w:r>
          </w:p>
        </w:tc>
        <w:tc>
          <w:tcPr>
            <w:tcW w:w="434" w:type="pct"/>
            <w:shd w:val="clear" w:color="auto" w:fill="auto"/>
            <w:vAlign w:val="center"/>
          </w:tcPr>
          <w:p w14:paraId="72C11F41" w14:textId="77777777" w:rsidR="0022613F" w:rsidRPr="00466A26" w:rsidRDefault="0022613F" w:rsidP="00B571E8">
            <w:pPr>
              <w:spacing w:after="0" w:line="259" w:lineRule="auto"/>
              <w:jc w:val="right"/>
              <w:rPr>
                <w:rFonts w:cs="Segoe UI"/>
                <w:sz w:val="16"/>
                <w:szCs w:val="16"/>
              </w:rPr>
            </w:pPr>
            <w:r w:rsidRPr="00466A26">
              <w:rPr>
                <w:rFonts w:cs="Segoe UI"/>
                <w:color w:val="000000"/>
                <w:sz w:val="16"/>
                <w:szCs w:val="16"/>
              </w:rPr>
              <w:t>16</w:t>
            </w:r>
          </w:p>
        </w:tc>
        <w:tc>
          <w:tcPr>
            <w:tcW w:w="435" w:type="pct"/>
            <w:vAlign w:val="center"/>
          </w:tcPr>
          <w:p w14:paraId="75D8F25A" w14:textId="77777777" w:rsidR="0022613F" w:rsidRPr="00466A26" w:rsidRDefault="0022613F" w:rsidP="00B571E8">
            <w:pPr>
              <w:spacing w:after="0" w:line="259" w:lineRule="auto"/>
              <w:jc w:val="right"/>
              <w:rPr>
                <w:rFonts w:cs="Segoe UI"/>
                <w:sz w:val="16"/>
                <w:szCs w:val="16"/>
              </w:rPr>
            </w:pPr>
            <w:r w:rsidRPr="00466A26">
              <w:rPr>
                <w:rFonts w:cs="Segoe UI"/>
                <w:color w:val="000000"/>
                <w:sz w:val="16"/>
                <w:szCs w:val="16"/>
              </w:rPr>
              <w:t>2 493</w:t>
            </w:r>
          </w:p>
        </w:tc>
        <w:tc>
          <w:tcPr>
            <w:tcW w:w="435" w:type="pct"/>
            <w:vAlign w:val="center"/>
          </w:tcPr>
          <w:p w14:paraId="1ED65CB6" w14:textId="77777777" w:rsidR="0022613F" w:rsidRPr="00466A26" w:rsidRDefault="0022613F" w:rsidP="00B571E8">
            <w:pPr>
              <w:spacing w:after="0" w:line="259" w:lineRule="auto"/>
              <w:jc w:val="right"/>
              <w:rPr>
                <w:rFonts w:cs="Segoe UI"/>
                <w:sz w:val="16"/>
                <w:szCs w:val="16"/>
              </w:rPr>
            </w:pPr>
            <w:r w:rsidRPr="00466A26">
              <w:rPr>
                <w:rFonts w:cs="Segoe UI"/>
                <w:color w:val="000000"/>
                <w:sz w:val="16"/>
                <w:szCs w:val="16"/>
              </w:rPr>
              <w:t>118</w:t>
            </w:r>
          </w:p>
        </w:tc>
        <w:tc>
          <w:tcPr>
            <w:tcW w:w="436" w:type="pct"/>
            <w:vAlign w:val="center"/>
          </w:tcPr>
          <w:p w14:paraId="20AF68E4" w14:textId="77777777" w:rsidR="0022613F" w:rsidRPr="00466A26" w:rsidRDefault="0022613F" w:rsidP="00B571E8">
            <w:pPr>
              <w:spacing w:after="0" w:line="259" w:lineRule="auto"/>
              <w:jc w:val="right"/>
              <w:rPr>
                <w:rFonts w:cs="Segoe UI"/>
                <w:sz w:val="16"/>
                <w:szCs w:val="16"/>
              </w:rPr>
            </w:pPr>
            <w:r w:rsidRPr="00466A26">
              <w:rPr>
                <w:rFonts w:cs="Segoe UI"/>
                <w:color w:val="000000"/>
                <w:sz w:val="16"/>
                <w:szCs w:val="16"/>
              </w:rPr>
              <w:t>456</w:t>
            </w:r>
          </w:p>
        </w:tc>
        <w:tc>
          <w:tcPr>
            <w:tcW w:w="435" w:type="pct"/>
            <w:vAlign w:val="center"/>
          </w:tcPr>
          <w:p w14:paraId="0457C434" w14:textId="77777777" w:rsidR="0022613F" w:rsidRPr="00466A26" w:rsidRDefault="0022613F" w:rsidP="00B571E8">
            <w:pPr>
              <w:spacing w:after="0" w:line="259" w:lineRule="auto"/>
              <w:jc w:val="right"/>
              <w:rPr>
                <w:rFonts w:cs="Segoe UI"/>
                <w:sz w:val="16"/>
                <w:szCs w:val="16"/>
              </w:rPr>
            </w:pPr>
            <w:r w:rsidRPr="00466A26">
              <w:rPr>
                <w:rFonts w:cs="Segoe UI"/>
                <w:color w:val="000000"/>
                <w:sz w:val="16"/>
                <w:szCs w:val="16"/>
              </w:rPr>
              <w:t>467</w:t>
            </w:r>
          </w:p>
        </w:tc>
        <w:tc>
          <w:tcPr>
            <w:tcW w:w="433" w:type="pct"/>
            <w:vAlign w:val="center"/>
          </w:tcPr>
          <w:p w14:paraId="360EBC68" w14:textId="77777777" w:rsidR="0022613F" w:rsidRPr="00466A26" w:rsidRDefault="0022613F" w:rsidP="00B571E8">
            <w:pPr>
              <w:spacing w:after="0" w:line="259" w:lineRule="auto"/>
              <w:jc w:val="right"/>
              <w:rPr>
                <w:rFonts w:cs="Segoe UI"/>
                <w:sz w:val="16"/>
                <w:szCs w:val="16"/>
              </w:rPr>
            </w:pPr>
            <w:r w:rsidRPr="00466A26">
              <w:rPr>
                <w:rFonts w:cs="Segoe UI"/>
                <w:color w:val="000000"/>
                <w:sz w:val="16"/>
                <w:szCs w:val="16"/>
              </w:rPr>
              <w:t>488</w:t>
            </w:r>
          </w:p>
        </w:tc>
        <w:tc>
          <w:tcPr>
            <w:tcW w:w="433" w:type="pct"/>
            <w:vAlign w:val="center"/>
          </w:tcPr>
          <w:p w14:paraId="6E5EC07D" w14:textId="77777777" w:rsidR="0022613F" w:rsidRPr="00466A26" w:rsidRDefault="0022613F" w:rsidP="00B571E8">
            <w:pPr>
              <w:spacing w:after="0" w:line="259" w:lineRule="auto"/>
              <w:jc w:val="right"/>
              <w:rPr>
                <w:rFonts w:cs="Segoe UI"/>
                <w:sz w:val="16"/>
                <w:szCs w:val="16"/>
              </w:rPr>
            </w:pPr>
            <w:r w:rsidRPr="00466A26">
              <w:rPr>
                <w:rFonts w:cs="Segoe UI"/>
                <w:color w:val="000000"/>
                <w:sz w:val="16"/>
                <w:szCs w:val="16"/>
              </w:rPr>
              <w:t>-2 036</w:t>
            </w:r>
          </w:p>
        </w:tc>
        <w:tc>
          <w:tcPr>
            <w:tcW w:w="439" w:type="pct"/>
            <w:vAlign w:val="center"/>
          </w:tcPr>
          <w:p w14:paraId="440B6C07" w14:textId="77777777" w:rsidR="0022613F" w:rsidRPr="00466A26" w:rsidRDefault="0022613F" w:rsidP="00B571E8">
            <w:pPr>
              <w:spacing w:after="0" w:line="259" w:lineRule="auto"/>
              <w:jc w:val="right"/>
              <w:rPr>
                <w:rFonts w:cs="Segoe UI"/>
                <w:sz w:val="16"/>
                <w:szCs w:val="16"/>
              </w:rPr>
            </w:pPr>
            <w:r w:rsidRPr="00466A26">
              <w:rPr>
                <w:rFonts w:cs="Segoe UI"/>
                <w:sz w:val="16"/>
                <w:szCs w:val="16"/>
              </w:rPr>
              <w:t>18,3%</w:t>
            </w:r>
          </w:p>
        </w:tc>
      </w:tr>
      <w:tr w:rsidR="0022613F" w:rsidRPr="00466A26" w14:paraId="671FB68B" w14:textId="77777777" w:rsidTr="00B571E8">
        <w:trPr>
          <w:trHeight w:val="13"/>
        </w:trPr>
        <w:tc>
          <w:tcPr>
            <w:tcW w:w="1085" w:type="pct"/>
            <w:vAlign w:val="center"/>
          </w:tcPr>
          <w:p w14:paraId="6F0B5AC1" w14:textId="77777777" w:rsidR="0022613F" w:rsidRPr="00466A26" w:rsidRDefault="0022613F" w:rsidP="00B571E8">
            <w:pPr>
              <w:spacing w:after="0" w:line="259" w:lineRule="auto"/>
              <w:jc w:val="left"/>
              <w:rPr>
                <w:rFonts w:cs="Segoe UI"/>
                <w:sz w:val="16"/>
                <w:szCs w:val="16"/>
              </w:rPr>
            </w:pPr>
            <w:r w:rsidRPr="00466A26">
              <w:rPr>
                <w:rFonts w:cs="Segoe UI"/>
                <w:sz w:val="16"/>
                <w:szCs w:val="16"/>
              </w:rPr>
              <w:t xml:space="preserve">Výdavky vo vzťahu k EÚ </w:t>
            </w:r>
          </w:p>
        </w:tc>
        <w:tc>
          <w:tcPr>
            <w:tcW w:w="435" w:type="pct"/>
            <w:vAlign w:val="center"/>
          </w:tcPr>
          <w:p w14:paraId="21A58D62" w14:textId="77777777" w:rsidR="0022613F" w:rsidRPr="00466A26" w:rsidRDefault="0022613F" w:rsidP="00B571E8">
            <w:pPr>
              <w:spacing w:after="0" w:line="259" w:lineRule="auto"/>
              <w:jc w:val="right"/>
              <w:rPr>
                <w:rFonts w:cs="Segoe UI"/>
                <w:sz w:val="16"/>
                <w:szCs w:val="16"/>
              </w:rPr>
            </w:pPr>
            <w:r w:rsidRPr="00466A26">
              <w:rPr>
                <w:rFonts w:cs="Segoe UI"/>
                <w:color w:val="000000"/>
                <w:sz w:val="16"/>
                <w:szCs w:val="16"/>
              </w:rPr>
              <w:t>1 045</w:t>
            </w:r>
          </w:p>
        </w:tc>
        <w:tc>
          <w:tcPr>
            <w:tcW w:w="434" w:type="pct"/>
            <w:shd w:val="clear" w:color="auto" w:fill="auto"/>
            <w:vAlign w:val="center"/>
          </w:tcPr>
          <w:p w14:paraId="672DB866" w14:textId="77777777" w:rsidR="0022613F" w:rsidRPr="00466A26" w:rsidRDefault="0022613F" w:rsidP="00B571E8">
            <w:pPr>
              <w:spacing w:after="0" w:line="259" w:lineRule="auto"/>
              <w:jc w:val="right"/>
              <w:rPr>
                <w:rFonts w:cs="Segoe UI"/>
                <w:sz w:val="16"/>
                <w:szCs w:val="16"/>
              </w:rPr>
            </w:pPr>
            <w:r w:rsidRPr="00466A26">
              <w:rPr>
                <w:rFonts w:cs="Segoe UI"/>
                <w:color w:val="000000"/>
                <w:sz w:val="16"/>
                <w:szCs w:val="16"/>
              </w:rPr>
              <w:t>991</w:t>
            </w:r>
          </w:p>
        </w:tc>
        <w:tc>
          <w:tcPr>
            <w:tcW w:w="435" w:type="pct"/>
            <w:vAlign w:val="center"/>
          </w:tcPr>
          <w:p w14:paraId="60080C0D" w14:textId="77777777" w:rsidR="0022613F" w:rsidRPr="00466A26" w:rsidRDefault="0022613F" w:rsidP="00B571E8">
            <w:pPr>
              <w:spacing w:after="0" w:line="259" w:lineRule="auto"/>
              <w:jc w:val="right"/>
              <w:rPr>
                <w:rFonts w:cs="Segoe UI"/>
                <w:sz w:val="16"/>
                <w:szCs w:val="16"/>
              </w:rPr>
            </w:pPr>
            <w:r w:rsidRPr="00466A26">
              <w:rPr>
                <w:rFonts w:cs="Segoe UI"/>
                <w:color w:val="000000"/>
                <w:sz w:val="16"/>
                <w:szCs w:val="16"/>
              </w:rPr>
              <w:t>1 291</w:t>
            </w:r>
          </w:p>
        </w:tc>
        <w:tc>
          <w:tcPr>
            <w:tcW w:w="435" w:type="pct"/>
            <w:vAlign w:val="center"/>
          </w:tcPr>
          <w:p w14:paraId="2FC33740" w14:textId="77777777" w:rsidR="0022613F" w:rsidRPr="00466A26" w:rsidRDefault="0022613F" w:rsidP="00B571E8">
            <w:pPr>
              <w:spacing w:after="0" w:line="259" w:lineRule="auto"/>
              <w:jc w:val="right"/>
              <w:rPr>
                <w:rFonts w:cs="Segoe UI"/>
                <w:sz w:val="16"/>
                <w:szCs w:val="16"/>
              </w:rPr>
            </w:pPr>
            <w:r w:rsidRPr="00466A26">
              <w:rPr>
                <w:rFonts w:cs="Segoe UI"/>
                <w:color w:val="000000"/>
                <w:sz w:val="16"/>
                <w:szCs w:val="16"/>
              </w:rPr>
              <w:t>979</w:t>
            </w:r>
          </w:p>
        </w:tc>
        <w:tc>
          <w:tcPr>
            <w:tcW w:w="436" w:type="pct"/>
            <w:vAlign w:val="center"/>
          </w:tcPr>
          <w:p w14:paraId="6F2B54A2" w14:textId="77777777" w:rsidR="0022613F" w:rsidRPr="00466A26" w:rsidRDefault="0022613F" w:rsidP="00B571E8">
            <w:pPr>
              <w:spacing w:after="0" w:line="259" w:lineRule="auto"/>
              <w:jc w:val="right"/>
              <w:rPr>
                <w:rFonts w:cs="Segoe UI"/>
                <w:sz w:val="16"/>
                <w:szCs w:val="16"/>
              </w:rPr>
            </w:pPr>
            <w:r w:rsidRPr="00466A26">
              <w:rPr>
                <w:rFonts w:cs="Segoe UI"/>
                <w:color w:val="000000"/>
                <w:sz w:val="16"/>
                <w:szCs w:val="16"/>
              </w:rPr>
              <w:t>1 243</w:t>
            </w:r>
          </w:p>
        </w:tc>
        <w:tc>
          <w:tcPr>
            <w:tcW w:w="435" w:type="pct"/>
            <w:vAlign w:val="center"/>
          </w:tcPr>
          <w:p w14:paraId="6C5AC881" w14:textId="77777777" w:rsidR="0022613F" w:rsidRPr="00466A26" w:rsidRDefault="0022613F" w:rsidP="00B571E8">
            <w:pPr>
              <w:spacing w:after="0" w:line="259" w:lineRule="auto"/>
              <w:jc w:val="right"/>
              <w:rPr>
                <w:rFonts w:cs="Segoe UI"/>
                <w:sz w:val="16"/>
                <w:szCs w:val="16"/>
              </w:rPr>
            </w:pPr>
            <w:r w:rsidRPr="00466A26">
              <w:rPr>
                <w:rFonts w:cs="Segoe UI"/>
                <w:color w:val="000000"/>
                <w:sz w:val="16"/>
                <w:szCs w:val="16"/>
              </w:rPr>
              <w:t>1 435</w:t>
            </w:r>
          </w:p>
        </w:tc>
        <w:tc>
          <w:tcPr>
            <w:tcW w:w="433" w:type="pct"/>
            <w:vAlign w:val="center"/>
          </w:tcPr>
          <w:p w14:paraId="71CAEE3A" w14:textId="77777777" w:rsidR="0022613F" w:rsidRPr="00466A26" w:rsidRDefault="0022613F" w:rsidP="00B571E8">
            <w:pPr>
              <w:spacing w:after="0" w:line="259" w:lineRule="auto"/>
              <w:jc w:val="right"/>
              <w:rPr>
                <w:rFonts w:cs="Segoe UI"/>
                <w:sz w:val="16"/>
                <w:szCs w:val="16"/>
              </w:rPr>
            </w:pPr>
            <w:r w:rsidRPr="00466A26">
              <w:rPr>
                <w:rFonts w:cs="Segoe UI"/>
                <w:color w:val="000000"/>
                <w:sz w:val="16"/>
                <w:szCs w:val="16"/>
              </w:rPr>
              <w:t>2 031</w:t>
            </w:r>
          </w:p>
        </w:tc>
        <w:tc>
          <w:tcPr>
            <w:tcW w:w="433" w:type="pct"/>
            <w:vAlign w:val="center"/>
          </w:tcPr>
          <w:p w14:paraId="11222088" w14:textId="77777777" w:rsidR="0022613F" w:rsidRPr="00466A26" w:rsidRDefault="0022613F" w:rsidP="00B571E8">
            <w:pPr>
              <w:spacing w:after="0" w:line="259" w:lineRule="auto"/>
              <w:jc w:val="right"/>
              <w:rPr>
                <w:rFonts w:cs="Segoe UI"/>
                <w:sz w:val="16"/>
                <w:szCs w:val="16"/>
              </w:rPr>
            </w:pPr>
            <w:r w:rsidRPr="00466A26">
              <w:rPr>
                <w:rFonts w:cs="Segoe UI"/>
                <w:color w:val="000000"/>
                <w:sz w:val="16"/>
                <w:szCs w:val="16"/>
              </w:rPr>
              <w:t>-48</w:t>
            </w:r>
          </w:p>
        </w:tc>
        <w:tc>
          <w:tcPr>
            <w:tcW w:w="439" w:type="pct"/>
            <w:vAlign w:val="center"/>
          </w:tcPr>
          <w:p w14:paraId="6546C5D0" w14:textId="77777777" w:rsidR="0022613F" w:rsidRPr="00466A26" w:rsidRDefault="0022613F" w:rsidP="00B571E8">
            <w:pPr>
              <w:spacing w:after="0" w:line="259" w:lineRule="auto"/>
              <w:jc w:val="right"/>
              <w:rPr>
                <w:rFonts w:cs="Segoe UI"/>
                <w:sz w:val="16"/>
                <w:szCs w:val="16"/>
              </w:rPr>
            </w:pPr>
            <w:r w:rsidRPr="00466A26">
              <w:rPr>
                <w:rFonts w:cs="Segoe UI"/>
                <w:sz w:val="16"/>
                <w:szCs w:val="16"/>
              </w:rPr>
              <w:t>96,3%</w:t>
            </w:r>
          </w:p>
        </w:tc>
      </w:tr>
      <w:tr w:rsidR="0022613F" w:rsidRPr="00466A26" w14:paraId="02B94A59" w14:textId="77777777" w:rsidTr="00B571E8">
        <w:trPr>
          <w:trHeight w:val="13"/>
        </w:trPr>
        <w:tc>
          <w:tcPr>
            <w:tcW w:w="1085" w:type="pct"/>
            <w:vAlign w:val="center"/>
          </w:tcPr>
          <w:p w14:paraId="46AAE79C" w14:textId="77777777" w:rsidR="0022613F" w:rsidRPr="00466A26" w:rsidRDefault="0022613F" w:rsidP="00B571E8">
            <w:pPr>
              <w:spacing w:after="0" w:line="259" w:lineRule="auto"/>
              <w:jc w:val="left"/>
              <w:rPr>
                <w:rFonts w:cs="Segoe UI"/>
                <w:sz w:val="16"/>
                <w:szCs w:val="16"/>
              </w:rPr>
            </w:pPr>
            <w:r w:rsidRPr="00466A26">
              <w:rPr>
                <w:rFonts w:cs="Segoe UI"/>
                <w:sz w:val="16"/>
                <w:szCs w:val="16"/>
              </w:rPr>
              <w:t>Finančné vzťahy k Sociálnej poisťovni</w:t>
            </w:r>
          </w:p>
        </w:tc>
        <w:tc>
          <w:tcPr>
            <w:tcW w:w="435" w:type="pct"/>
            <w:vAlign w:val="center"/>
          </w:tcPr>
          <w:p w14:paraId="258421D7" w14:textId="77777777" w:rsidR="0022613F" w:rsidRPr="00466A26" w:rsidRDefault="0022613F" w:rsidP="00B571E8">
            <w:pPr>
              <w:spacing w:after="0" w:line="259" w:lineRule="auto"/>
              <w:jc w:val="right"/>
              <w:rPr>
                <w:rFonts w:eastAsia="Times New Roman" w:cs="Segoe UI"/>
                <w:sz w:val="16"/>
                <w:szCs w:val="16"/>
                <w:lang w:eastAsia="sk-SK"/>
              </w:rPr>
            </w:pPr>
            <w:r w:rsidRPr="00466A26">
              <w:rPr>
                <w:rFonts w:cs="Segoe UI"/>
                <w:color w:val="000000"/>
                <w:sz w:val="16"/>
                <w:szCs w:val="16"/>
              </w:rPr>
              <w:t>100</w:t>
            </w:r>
          </w:p>
        </w:tc>
        <w:tc>
          <w:tcPr>
            <w:tcW w:w="434" w:type="pct"/>
            <w:shd w:val="clear" w:color="auto" w:fill="auto"/>
            <w:vAlign w:val="center"/>
          </w:tcPr>
          <w:p w14:paraId="59130A99" w14:textId="77777777" w:rsidR="0022613F" w:rsidRPr="00466A26" w:rsidRDefault="0022613F" w:rsidP="00B571E8">
            <w:pPr>
              <w:spacing w:after="0" w:line="259" w:lineRule="auto"/>
              <w:jc w:val="right"/>
              <w:rPr>
                <w:rFonts w:cs="Segoe UI"/>
                <w:sz w:val="16"/>
                <w:szCs w:val="16"/>
              </w:rPr>
            </w:pPr>
            <w:r w:rsidRPr="00466A26">
              <w:rPr>
                <w:rFonts w:cs="Segoe UI"/>
                <w:color w:val="000000"/>
                <w:sz w:val="16"/>
                <w:szCs w:val="16"/>
              </w:rPr>
              <w:t>1 160</w:t>
            </w:r>
          </w:p>
        </w:tc>
        <w:tc>
          <w:tcPr>
            <w:tcW w:w="435" w:type="pct"/>
            <w:vAlign w:val="center"/>
          </w:tcPr>
          <w:p w14:paraId="4A8A7316" w14:textId="77777777" w:rsidR="0022613F" w:rsidRPr="00466A26" w:rsidRDefault="0022613F" w:rsidP="00B571E8">
            <w:pPr>
              <w:spacing w:after="0" w:line="259" w:lineRule="auto"/>
              <w:jc w:val="right"/>
              <w:rPr>
                <w:rFonts w:cs="Segoe UI"/>
                <w:sz w:val="16"/>
                <w:szCs w:val="16"/>
              </w:rPr>
            </w:pPr>
            <w:r w:rsidRPr="00466A26">
              <w:rPr>
                <w:rFonts w:cs="Segoe UI"/>
                <w:color w:val="000000"/>
                <w:sz w:val="16"/>
                <w:szCs w:val="16"/>
              </w:rPr>
              <w:t>1 600</w:t>
            </w:r>
          </w:p>
        </w:tc>
        <w:tc>
          <w:tcPr>
            <w:tcW w:w="435" w:type="pct"/>
            <w:vAlign w:val="center"/>
          </w:tcPr>
          <w:p w14:paraId="3C6DF539" w14:textId="77777777" w:rsidR="0022613F" w:rsidRPr="00466A26" w:rsidRDefault="0022613F" w:rsidP="00B571E8">
            <w:pPr>
              <w:spacing w:after="0" w:line="259" w:lineRule="auto"/>
              <w:jc w:val="right"/>
              <w:rPr>
                <w:rFonts w:cs="Segoe UI"/>
                <w:sz w:val="16"/>
                <w:szCs w:val="16"/>
              </w:rPr>
            </w:pPr>
            <w:r w:rsidRPr="00466A26">
              <w:rPr>
                <w:rFonts w:cs="Segoe UI"/>
                <w:color w:val="000000"/>
                <w:sz w:val="16"/>
                <w:szCs w:val="16"/>
              </w:rPr>
              <w:t>2 720</w:t>
            </w:r>
          </w:p>
        </w:tc>
        <w:tc>
          <w:tcPr>
            <w:tcW w:w="436" w:type="pct"/>
            <w:vAlign w:val="center"/>
          </w:tcPr>
          <w:p w14:paraId="61656A91" w14:textId="77777777" w:rsidR="0022613F" w:rsidRPr="00466A26" w:rsidRDefault="0022613F" w:rsidP="00B571E8">
            <w:pPr>
              <w:spacing w:after="0" w:line="259" w:lineRule="auto"/>
              <w:jc w:val="right"/>
              <w:rPr>
                <w:rFonts w:cs="Segoe UI"/>
                <w:sz w:val="16"/>
                <w:szCs w:val="16"/>
              </w:rPr>
            </w:pPr>
            <w:r w:rsidRPr="00466A26">
              <w:rPr>
                <w:rFonts w:cs="Segoe UI"/>
                <w:color w:val="000000"/>
                <w:sz w:val="16"/>
                <w:szCs w:val="16"/>
              </w:rPr>
              <w:t>2 750</w:t>
            </w:r>
          </w:p>
        </w:tc>
        <w:tc>
          <w:tcPr>
            <w:tcW w:w="435" w:type="pct"/>
            <w:vAlign w:val="center"/>
          </w:tcPr>
          <w:p w14:paraId="0AB614DF" w14:textId="77777777" w:rsidR="0022613F" w:rsidRPr="00466A26" w:rsidRDefault="0022613F" w:rsidP="00B571E8">
            <w:pPr>
              <w:spacing w:after="0" w:line="259" w:lineRule="auto"/>
              <w:jc w:val="right"/>
              <w:rPr>
                <w:rFonts w:cs="Segoe UI"/>
                <w:sz w:val="16"/>
                <w:szCs w:val="16"/>
              </w:rPr>
            </w:pPr>
            <w:r w:rsidRPr="00466A26">
              <w:rPr>
                <w:rFonts w:cs="Segoe UI"/>
                <w:color w:val="000000"/>
                <w:sz w:val="16"/>
                <w:szCs w:val="16"/>
              </w:rPr>
              <w:t>2 700</w:t>
            </w:r>
          </w:p>
        </w:tc>
        <w:tc>
          <w:tcPr>
            <w:tcW w:w="433" w:type="pct"/>
            <w:vAlign w:val="center"/>
          </w:tcPr>
          <w:p w14:paraId="064B5A79" w14:textId="77777777" w:rsidR="0022613F" w:rsidRPr="00466A26" w:rsidRDefault="0022613F" w:rsidP="00B571E8">
            <w:pPr>
              <w:spacing w:after="0" w:line="259" w:lineRule="auto"/>
              <w:jc w:val="right"/>
              <w:rPr>
                <w:rFonts w:cs="Segoe UI"/>
                <w:sz w:val="16"/>
                <w:szCs w:val="16"/>
              </w:rPr>
            </w:pPr>
            <w:r w:rsidRPr="00466A26">
              <w:rPr>
                <w:rFonts w:cs="Segoe UI"/>
                <w:color w:val="000000"/>
                <w:sz w:val="16"/>
                <w:szCs w:val="16"/>
              </w:rPr>
              <w:t>2 350</w:t>
            </w:r>
          </w:p>
        </w:tc>
        <w:tc>
          <w:tcPr>
            <w:tcW w:w="433" w:type="pct"/>
            <w:vAlign w:val="center"/>
          </w:tcPr>
          <w:p w14:paraId="13DA94EC" w14:textId="77777777" w:rsidR="0022613F" w:rsidRPr="00466A26" w:rsidRDefault="0022613F" w:rsidP="00B571E8">
            <w:pPr>
              <w:spacing w:after="0" w:line="259" w:lineRule="auto"/>
              <w:jc w:val="right"/>
              <w:rPr>
                <w:rFonts w:cs="Segoe UI"/>
                <w:sz w:val="16"/>
                <w:szCs w:val="16"/>
              </w:rPr>
            </w:pPr>
            <w:r w:rsidRPr="00466A26">
              <w:rPr>
                <w:rFonts w:cs="Segoe UI"/>
                <w:color w:val="000000"/>
                <w:sz w:val="16"/>
                <w:szCs w:val="16"/>
              </w:rPr>
              <w:t>1 150</w:t>
            </w:r>
          </w:p>
        </w:tc>
        <w:tc>
          <w:tcPr>
            <w:tcW w:w="439" w:type="pct"/>
            <w:vAlign w:val="center"/>
          </w:tcPr>
          <w:p w14:paraId="438FE7B8" w14:textId="77777777" w:rsidR="0022613F" w:rsidRPr="00466A26" w:rsidRDefault="0022613F" w:rsidP="00B571E8">
            <w:pPr>
              <w:spacing w:after="0" w:line="259" w:lineRule="auto"/>
              <w:jc w:val="right"/>
              <w:rPr>
                <w:rFonts w:cs="Segoe UI"/>
                <w:sz w:val="16"/>
                <w:szCs w:val="16"/>
              </w:rPr>
            </w:pPr>
            <w:r w:rsidRPr="00466A26">
              <w:rPr>
                <w:rFonts w:cs="Segoe UI"/>
                <w:sz w:val="16"/>
                <w:szCs w:val="16"/>
              </w:rPr>
              <w:t>171,9%</w:t>
            </w:r>
          </w:p>
        </w:tc>
      </w:tr>
      <w:tr w:rsidR="0022613F" w:rsidRPr="00466A26" w14:paraId="39029A65" w14:textId="77777777" w:rsidTr="00B571E8">
        <w:trPr>
          <w:trHeight w:val="13"/>
        </w:trPr>
        <w:tc>
          <w:tcPr>
            <w:tcW w:w="1085" w:type="pct"/>
            <w:vAlign w:val="center"/>
          </w:tcPr>
          <w:p w14:paraId="1965FD45" w14:textId="77777777" w:rsidR="0022613F" w:rsidRPr="00466A26" w:rsidRDefault="0022613F" w:rsidP="00B571E8">
            <w:pPr>
              <w:spacing w:after="0" w:line="259" w:lineRule="auto"/>
              <w:jc w:val="left"/>
              <w:rPr>
                <w:rFonts w:cs="Segoe UI"/>
                <w:sz w:val="16"/>
                <w:szCs w:val="16"/>
              </w:rPr>
            </w:pPr>
            <w:r w:rsidRPr="00466A26">
              <w:rPr>
                <w:rFonts w:cs="Segoe UI"/>
                <w:sz w:val="16"/>
                <w:szCs w:val="16"/>
              </w:rPr>
              <w:t>Správa ostatných výdavkov</w:t>
            </w:r>
          </w:p>
        </w:tc>
        <w:tc>
          <w:tcPr>
            <w:tcW w:w="435" w:type="pct"/>
            <w:vAlign w:val="center"/>
          </w:tcPr>
          <w:p w14:paraId="78B1F7BD" w14:textId="77777777" w:rsidR="0022613F" w:rsidRPr="00466A26" w:rsidRDefault="0022613F" w:rsidP="00B571E8">
            <w:pPr>
              <w:spacing w:after="0" w:line="259" w:lineRule="auto"/>
              <w:jc w:val="right"/>
              <w:rPr>
                <w:rFonts w:cs="Segoe UI"/>
                <w:sz w:val="16"/>
                <w:szCs w:val="16"/>
              </w:rPr>
            </w:pPr>
            <w:r w:rsidRPr="00466A26">
              <w:rPr>
                <w:rFonts w:cs="Segoe UI"/>
                <w:color w:val="000000"/>
                <w:sz w:val="16"/>
                <w:szCs w:val="16"/>
              </w:rPr>
              <w:t>934</w:t>
            </w:r>
          </w:p>
        </w:tc>
        <w:tc>
          <w:tcPr>
            <w:tcW w:w="434" w:type="pct"/>
            <w:shd w:val="clear" w:color="auto" w:fill="auto"/>
            <w:vAlign w:val="center"/>
          </w:tcPr>
          <w:p w14:paraId="5E79FCED" w14:textId="77777777" w:rsidR="0022613F" w:rsidRPr="00466A26" w:rsidRDefault="0022613F" w:rsidP="00B571E8">
            <w:pPr>
              <w:spacing w:after="0" w:line="259" w:lineRule="auto"/>
              <w:jc w:val="right"/>
              <w:rPr>
                <w:rFonts w:cs="Segoe UI"/>
                <w:sz w:val="16"/>
                <w:szCs w:val="16"/>
              </w:rPr>
            </w:pPr>
            <w:r w:rsidRPr="00466A26">
              <w:rPr>
                <w:rFonts w:cs="Segoe UI"/>
                <w:color w:val="000000"/>
                <w:sz w:val="16"/>
                <w:szCs w:val="16"/>
              </w:rPr>
              <w:t>178</w:t>
            </w:r>
          </w:p>
        </w:tc>
        <w:tc>
          <w:tcPr>
            <w:tcW w:w="435" w:type="pct"/>
            <w:vAlign w:val="center"/>
          </w:tcPr>
          <w:p w14:paraId="08E90643" w14:textId="77777777" w:rsidR="0022613F" w:rsidRPr="00466A26" w:rsidRDefault="0022613F" w:rsidP="00B571E8">
            <w:pPr>
              <w:spacing w:after="0" w:line="259" w:lineRule="auto"/>
              <w:jc w:val="right"/>
              <w:rPr>
                <w:rFonts w:cs="Segoe UI"/>
                <w:sz w:val="16"/>
                <w:szCs w:val="16"/>
              </w:rPr>
            </w:pPr>
            <w:r w:rsidRPr="00466A26">
              <w:rPr>
                <w:rFonts w:cs="Segoe UI"/>
                <w:color w:val="000000"/>
                <w:sz w:val="16"/>
                <w:szCs w:val="16"/>
              </w:rPr>
              <w:t>127</w:t>
            </w:r>
          </w:p>
        </w:tc>
        <w:tc>
          <w:tcPr>
            <w:tcW w:w="435" w:type="pct"/>
            <w:vAlign w:val="center"/>
          </w:tcPr>
          <w:p w14:paraId="6EA1FCF9" w14:textId="77777777" w:rsidR="0022613F" w:rsidRPr="00466A26" w:rsidRDefault="0022613F" w:rsidP="00B571E8">
            <w:pPr>
              <w:spacing w:after="0" w:line="259" w:lineRule="auto"/>
              <w:jc w:val="right"/>
              <w:rPr>
                <w:rFonts w:cs="Segoe UI"/>
                <w:sz w:val="16"/>
                <w:szCs w:val="16"/>
              </w:rPr>
            </w:pPr>
            <w:r w:rsidRPr="00466A26">
              <w:rPr>
                <w:rFonts w:cs="Segoe UI"/>
                <w:color w:val="000000"/>
                <w:sz w:val="16"/>
                <w:szCs w:val="16"/>
              </w:rPr>
              <w:t>116</w:t>
            </w:r>
          </w:p>
        </w:tc>
        <w:tc>
          <w:tcPr>
            <w:tcW w:w="436" w:type="pct"/>
            <w:vAlign w:val="center"/>
          </w:tcPr>
          <w:p w14:paraId="5772C4FB" w14:textId="77777777" w:rsidR="0022613F" w:rsidRPr="00466A26" w:rsidRDefault="0022613F" w:rsidP="00B571E8">
            <w:pPr>
              <w:spacing w:after="0" w:line="259" w:lineRule="auto"/>
              <w:jc w:val="right"/>
              <w:rPr>
                <w:rFonts w:cs="Segoe UI"/>
                <w:sz w:val="16"/>
                <w:szCs w:val="16"/>
              </w:rPr>
            </w:pPr>
            <w:r w:rsidRPr="00466A26">
              <w:rPr>
                <w:rFonts w:cs="Segoe UI"/>
                <w:color w:val="000000"/>
                <w:sz w:val="16"/>
                <w:szCs w:val="16"/>
              </w:rPr>
              <w:t>1 732</w:t>
            </w:r>
          </w:p>
        </w:tc>
        <w:tc>
          <w:tcPr>
            <w:tcW w:w="435" w:type="pct"/>
            <w:vAlign w:val="center"/>
          </w:tcPr>
          <w:p w14:paraId="68FBBA02" w14:textId="77777777" w:rsidR="0022613F" w:rsidRPr="00466A26" w:rsidRDefault="0022613F" w:rsidP="00B571E8">
            <w:pPr>
              <w:spacing w:after="0" w:line="259" w:lineRule="auto"/>
              <w:jc w:val="right"/>
              <w:rPr>
                <w:rFonts w:cs="Segoe UI"/>
                <w:sz w:val="16"/>
                <w:szCs w:val="16"/>
              </w:rPr>
            </w:pPr>
            <w:r w:rsidRPr="00466A26">
              <w:rPr>
                <w:rFonts w:cs="Segoe UI"/>
                <w:color w:val="000000"/>
                <w:sz w:val="16"/>
                <w:szCs w:val="16"/>
              </w:rPr>
              <w:t>655</w:t>
            </w:r>
          </w:p>
        </w:tc>
        <w:tc>
          <w:tcPr>
            <w:tcW w:w="433" w:type="pct"/>
            <w:vAlign w:val="center"/>
          </w:tcPr>
          <w:p w14:paraId="1C1BBCFD" w14:textId="77777777" w:rsidR="0022613F" w:rsidRPr="00466A26" w:rsidRDefault="0022613F" w:rsidP="00B571E8">
            <w:pPr>
              <w:spacing w:after="0" w:line="259" w:lineRule="auto"/>
              <w:jc w:val="right"/>
              <w:rPr>
                <w:rFonts w:cs="Segoe UI"/>
                <w:sz w:val="16"/>
                <w:szCs w:val="16"/>
              </w:rPr>
            </w:pPr>
            <w:r w:rsidRPr="00466A26">
              <w:rPr>
                <w:rFonts w:cs="Segoe UI"/>
                <w:color w:val="000000"/>
                <w:sz w:val="16"/>
                <w:szCs w:val="16"/>
              </w:rPr>
              <w:t>980</w:t>
            </w:r>
          </w:p>
        </w:tc>
        <w:tc>
          <w:tcPr>
            <w:tcW w:w="433" w:type="pct"/>
            <w:vAlign w:val="center"/>
          </w:tcPr>
          <w:p w14:paraId="6F2DFCB7" w14:textId="77777777" w:rsidR="0022613F" w:rsidRPr="00466A26" w:rsidRDefault="0022613F" w:rsidP="00B571E8">
            <w:pPr>
              <w:spacing w:after="0" w:line="259" w:lineRule="auto"/>
              <w:jc w:val="right"/>
              <w:rPr>
                <w:rFonts w:cs="Segoe UI"/>
                <w:sz w:val="16"/>
                <w:szCs w:val="16"/>
              </w:rPr>
            </w:pPr>
            <w:r w:rsidRPr="00466A26">
              <w:rPr>
                <w:rFonts w:cs="Segoe UI"/>
                <w:color w:val="000000"/>
                <w:sz w:val="16"/>
                <w:szCs w:val="16"/>
              </w:rPr>
              <w:t>1 604</w:t>
            </w:r>
          </w:p>
        </w:tc>
        <w:tc>
          <w:tcPr>
            <w:tcW w:w="439" w:type="pct"/>
            <w:vAlign w:val="center"/>
          </w:tcPr>
          <w:p w14:paraId="5244EB45" w14:textId="77777777" w:rsidR="0022613F" w:rsidRPr="00466A26" w:rsidRDefault="0022613F" w:rsidP="00B571E8">
            <w:pPr>
              <w:spacing w:after="0" w:line="259" w:lineRule="auto"/>
              <w:jc w:val="right"/>
              <w:rPr>
                <w:rFonts w:cs="Segoe UI"/>
                <w:sz w:val="16"/>
                <w:szCs w:val="16"/>
              </w:rPr>
            </w:pPr>
            <w:r w:rsidRPr="00466A26">
              <w:rPr>
                <w:rFonts w:cs="Segoe UI"/>
                <w:sz w:val="16"/>
                <w:szCs w:val="16"/>
              </w:rPr>
              <w:t>1360,2%</w:t>
            </w:r>
          </w:p>
        </w:tc>
      </w:tr>
      <w:tr w:rsidR="0022613F" w:rsidRPr="00466A26" w14:paraId="7B4B3A56" w14:textId="77777777" w:rsidTr="00B571E8">
        <w:trPr>
          <w:trHeight w:val="13"/>
        </w:trPr>
        <w:tc>
          <w:tcPr>
            <w:tcW w:w="1085" w:type="pct"/>
            <w:vAlign w:val="center"/>
          </w:tcPr>
          <w:p w14:paraId="33E9F6D9" w14:textId="77777777" w:rsidR="0022613F" w:rsidRPr="00466A26" w:rsidRDefault="0022613F" w:rsidP="00B571E8">
            <w:pPr>
              <w:spacing w:after="0" w:line="259" w:lineRule="auto"/>
              <w:ind w:right="-102"/>
              <w:jc w:val="left"/>
              <w:rPr>
                <w:rFonts w:cs="Segoe UI"/>
                <w:sz w:val="16"/>
                <w:szCs w:val="16"/>
              </w:rPr>
            </w:pPr>
            <w:r w:rsidRPr="00466A26">
              <w:rPr>
                <w:rFonts w:cs="Segoe UI"/>
                <w:sz w:val="16"/>
                <w:szCs w:val="16"/>
              </w:rPr>
              <w:t>Výdavky spojené so správou štátneho dlhu</w:t>
            </w:r>
          </w:p>
        </w:tc>
        <w:tc>
          <w:tcPr>
            <w:tcW w:w="435" w:type="pct"/>
            <w:vAlign w:val="center"/>
          </w:tcPr>
          <w:p w14:paraId="31AFBAB9" w14:textId="77777777" w:rsidR="0022613F" w:rsidRPr="00466A26" w:rsidRDefault="0022613F" w:rsidP="00B571E8">
            <w:pPr>
              <w:spacing w:after="0" w:line="259" w:lineRule="auto"/>
              <w:jc w:val="right"/>
              <w:rPr>
                <w:rFonts w:cs="Segoe UI"/>
                <w:sz w:val="16"/>
                <w:szCs w:val="16"/>
              </w:rPr>
            </w:pPr>
            <w:r w:rsidRPr="00466A26">
              <w:rPr>
                <w:rFonts w:cs="Segoe UI"/>
                <w:color w:val="000000"/>
                <w:sz w:val="16"/>
                <w:szCs w:val="16"/>
              </w:rPr>
              <w:t>1 059</w:t>
            </w:r>
          </w:p>
        </w:tc>
        <w:tc>
          <w:tcPr>
            <w:tcW w:w="434" w:type="pct"/>
            <w:shd w:val="clear" w:color="auto" w:fill="auto"/>
            <w:vAlign w:val="center"/>
          </w:tcPr>
          <w:p w14:paraId="3D9B2785" w14:textId="77777777" w:rsidR="0022613F" w:rsidRPr="00466A26" w:rsidRDefault="0022613F" w:rsidP="00B571E8">
            <w:pPr>
              <w:spacing w:after="0" w:line="259" w:lineRule="auto"/>
              <w:jc w:val="right"/>
              <w:rPr>
                <w:rFonts w:cs="Segoe UI"/>
                <w:sz w:val="16"/>
                <w:szCs w:val="16"/>
              </w:rPr>
            </w:pPr>
            <w:r w:rsidRPr="00466A26">
              <w:rPr>
                <w:rFonts w:cs="Segoe UI"/>
                <w:color w:val="000000"/>
                <w:sz w:val="16"/>
                <w:szCs w:val="16"/>
              </w:rPr>
              <w:t>1 073</w:t>
            </w:r>
          </w:p>
        </w:tc>
        <w:tc>
          <w:tcPr>
            <w:tcW w:w="435" w:type="pct"/>
            <w:vAlign w:val="center"/>
          </w:tcPr>
          <w:p w14:paraId="0447EAC4" w14:textId="77777777" w:rsidR="0022613F" w:rsidRPr="00466A26" w:rsidRDefault="0022613F" w:rsidP="00B571E8">
            <w:pPr>
              <w:spacing w:after="0" w:line="259" w:lineRule="auto"/>
              <w:jc w:val="right"/>
              <w:rPr>
                <w:rFonts w:cs="Segoe UI"/>
                <w:sz w:val="16"/>
                <w:szCs w:val="16"/>
              </w:rPr>
            </w:pPr>
            <w:r w:rsidRPr="00466A26">
              <w:rPr>
                <w:rFonts w:cs="Segoe UI"/>
                <w:color w:val="000000"/>
                <w:sz w:val="16"/>
                <w:szCs w:val="16"/>
              </w:rPr>
              <w:t>1 357</w:t>
            </w:r>
          </w:p>
        </w:tc>
        <w:tc>
          <w:tcPr>
            <w:tcW w:w="435" w:type="pct"/>
            <w:vAlign w:val="center"/>
          </w:tcPr>
          <w:p w14:paraId="560625B0" w14:textId="77777777" w:rsidR="0022613F" w:rsidRPr="00466A26" w:rsidRDefault="0022613F" w:rsidP="00B571E8">
            <w:pPr>
              <w:spacing w:after="0" w:line="259" w:lineRule="auto"/>
              <w:jc w:val="right"/>
              <w:rPr>
                <w:rFonts w:cs="Segoe UI"/>
                <w:sz w:val="16"/>
                <w:szCs w:val="16"/>
              </w:rPr>
            </w:pPr>
            <w:r w:rsidRPr="00466A26">
              <w:rPr>
                <w:rFonts w:cs="Segoe UI"/>
                <w:color w:val="000000"/>
                <w:sz w:val="16"/>
                <w:szCs w:val="16"/>
              </w:rPr>
              <w:t>1 264</w:t>
            </w:r>
          </w:p>
        </w:tc>
        <w:tc>
          <w:tcPr>
            <w:tcW w:w="436" w:type="pct"/>
            <w:vAlign w:val="center"/>
          </w:tcPr>
          <w:p w14:paraId="44E0AB87" w14:textId="77777777" w:rsidR="0022613F" w:rsidRPr="00466A26" w:rsidRDefault="0022613F" w:rsidP="00B571E8">
            <w:pPr>
              <w:spacing w:after="0" w:line="259" w:lineRule="auto"/>
              <w:jc w:val="right"/>
              <w:rPr>
                <w:rFonts w:cs="Segoe UI"/>
                <w:sz w:val="16"/>
                <w:szCs w:val="16"/>
              </w:rPr>
            </w:pPr>
            <w:r w:rsidRPr="00466A26">
              <w:rPr>
                <w:rFonts w:cs="Segoe UI"/>
                <w:color w:val="000000"/>
                <w:sz w:val="16"/>
                <w:szCs w:val="16"/>
              </w:rPr>
              <w:t>1 646</w:t>
            </w:r>
          </w:p>
        </w:tc>
        <w:tc>
          <w:tcPr>
            <w:tcW w:w="435" w:type="pct"/>
            <w:vAlign w:val="center"/>
          </w:tcPr>
          <w:p w14:paraId="7A2124AB" w14:textId="77777777" w:rsidR="0022613F" w:rsidRPr="00466A26" w:rsidRDefault="0022613F" w:rsidP="00B571E8">
            <w:pPr>
              <w:spacing w:after="0" w:line="259" w:lineRule="auto"/>
              <w:jc w:val="right"/>
              <w:rPr>
                <w:rFonts w:cs="Segoe UI"/>
                <w:sz w:val="16"/>
                <w:szCs w:val="16"/>
              </w:rPr>
            </w:pPr>
            <w:r w:rsidRPr="00466A26">
              <w:rPr>
                <w:rFonts w:cs="Segoe UI"/>
                <w:color w:val="000000"/>
                <w:sz w:val="16"/>
                <w:szCs w:val="16"/>
              </w:rPr>
              <w:t>1 979</w:t>
            </w:r>
          </w:p>
        </w:tc>
        <w:tc>
          <w:tcPr>
            <w:tcW w:w="433" w:type="pct"/>
            <w:vAlign w:val="center"/>
          </w:tcPr>
          <w:p w14:paraId="6488B106" w14:textId="77777777" w:rsidR="0022613F" w:rsidRPr="00466A26" w:rsidRDefault="0022613F" w:rsidP="00B571E8">
            <w:pPr>
              <w:spacing w:after="0" w:line="259" w:lineRule="auto"/>
              <w:jc w:val="right"/>
              <w:rPr>
                <w:rFonts w:cs="Segoe UI"/>
                <w:sz w:val="16"/>
                <w:szCs w:val="16"/>
              </w:rPr>
            </w:pPr>
            <w:r w:rsidRPr="00466A26">
              <w:rPr>
                <w:rFonts w:cs="Segoe UI"/>
                <w:color w:val="000000"/>
                <w:sz w:val="16"/>
                <w:szCs w:val="16"/>
              </w:rPr>
              <w:t>2 367</w:t>
            </w:r>
          </w:p>
        </w:tc>
        <w:tc>
          <w:tcPr>
            <w:tcW w:w="433" w:type="pct"/>
            <w:vAlign w:val="center"/>
          </w:tcPr>
          <w:p w14:paraId="6AFC2B96" w14:textId="77777777" w:rsidR="0022613F" w:rsidRPr="00466A26" w:rsidRDefault="0022613F" w:rsidP="00B571E8">
            <w:pPr>
              <w:spacing w:after="0" w:line="259" w:lineRule="auto"/>
              <w:jc w:val="right"/>
              <w:rPr>
                <w:rFonts w:cs="Segoe UI"/>
                <w:sz w:val="16"/>
                <w:szCs w:val="16"/>
              </w:rPr>
            </w:pPr>
            <w:r w:rsidRPr="00466A26">
              <w:rPr>
                <w:rFonts w:cs="Segoe UI"/>
                <w:color w:val="000000"/>
                <w:sz w:val="16"/>
                <w:szCs w:val="16"/>
              </w:rPr>
              <w:t>289</w:t>
            </w:r>
          </w:p>
        </w:tc>
        <w:tc>
          <w:tcPr>
            <w:tcW w:w="439" w:type="pct"/>
            <w:vAlign w:val="center"/>
          </w:tcPr>
          <w:p w14:paraId="672115B9" w14:textId="77777777" w:rsidR="0022613F" w:rsidRPr="00466A26" w:rsidRDefault="0022613F" w:rsidP="00B571E8">
            <w:pPr>
              <w:spacing w:after="0" w:line="259" w:lineRule="auto"/>
              <w:jc w:val="right"/>
              <w:rPr>
                <w:rFonts w:cs="Segoe UI"/>
                <w:sz w:val="16"/>
                <w:szCs w:val="16"/>
              </w:rPr>
            </w:pPr>
            <w:r w:rsidRPr="00466A26">
              <w:rPr>
                <w:rFonts w:cs="Segoe UI"/>
                <w:sz w:val="16"/>
                <w:szCs w:val="16"/>
              </w:rPr>
              <w:t>121,3%</w:t>
            </w:r>
          </w:p>
        </w:tc>
      </w:tr>
      <w:tr w:rsidR="0022613F" w:rsidRPr="00466A26" w14:paraId="725C7BEC" w14:textId="77777777" w:rsidTr="00B571E8">
        <w:trPr>
          <w:trHeight w:val="13"/>
        </w:trPr>
        <w:tc>
          <w:tcPr>
            <w:tcW w:w="1085" w:type="pct"/>
            <w:tcBorders>
              <w:bottom w:val="single" w:sz="4" w:space="0" w:color="314364" w:themeColor="text2"/>
            </w:tcBorders>
            <w:vAlign w:val="center"/>
          </w:tcPr>
          <w:p w14:paraId="1009F72C" w14:textId="77777777" w:rsidR="0022613F" w:rsidRPr="00466A26" w:rsidRDefault="0022613F" w:rsidP="00B571E8">
            <w:pPr>
              <w:spacing w:after="0" w:line="259" w:lineRule="auto"/>
              <w:jc w:val="left"/>
              <w:rPr>
                <w:rFonts w:cs="Segoe UI"/>
                <w:b/>
                <w:sz w:val="16"/>
                <w:szCs w:val="16"/>
              </w:rPr>
            </w:pPr>
            <w:r w:rsidRPr="00466A26">
              <w:rPr>
                <w:rFonts w:cs="Segoe UI"/>
                <w:b/>
                <w:sz w:val="16"/>
                <w:szCs w:val="16"/>
              </w:rPr>
              <w:t>Výdavky spolu</w:t>
            </w:r>
          </w:p>
        </w:tc>
        <w:tc>
          <w:tcPr>
            <w:tcW w:w="435" w:type="pct"/>
            <w:tcBorders>
              <w:bottom w:val="single" w:sz="4" w:space="0" w:color="314364" w:themeColor="text2"/>
            </w:tcBorders>
            <w:vAlign w:val="center"/>
          </w:tcPr>
          <w:p w14:paraId="695C0542" w14:textId="77777777" w:rsidR="0022613F" w:rsidRPr="00466A26" w:rsidRDefault="0022613F" w:rsidP="00B571E8">
            <w:pPr>
              <w:spacing w:after="0" w:line="259" w:lineRule="auto"/>
              <w:jc w:val="right"/>
              <w:rPr>
                <w:rFonts w:cs="Segoe UI"/>
                <w:b/>
                <w:sz w:val="16"/>
                <w:szCs w:val="16"/>
              </w:rPr>
            </w:pPr>
            <w:r w:rsidRPr="00466A26">
              <w:rPr>
                <w:rFonts w:cs="Segoe UI"/>
                <w:b/>
                <w:color w:val="000000"/>
                <w:sz w:val="16"/>
                <w:szCs w:val="16"/>
              </w:rPr>
              <w:t>3 142</w:t>
            </w:r>
          </w:p>
        </w:tc>
        <w:tc>
          <w:tcPr>
            <w:tcW w:w="434" w:type="pct"/>
            <w:tcBorders>
              <w:bottom w:val="single" w:sz="4" w:space="0" w:color="314364" w:themeColor="text2"/>
            </w:tcBorders>
            <w:shd w:val="clear" w:color="auto" w:fill="auto"/>
            <w:vAlign w:val="center"/>
          </w:tcPr>
          <w:p w14:paraId="0A42B09D" w14:textId="77777777" w:rsidR="0022613F" w:rsidRPr="00466A26" w:rsidRDefault="0022613F" w:rsidP="00B571E8">
            <w:pPr>
              <w:spacing w:after="0" w:line="259" w:lineRule="auto"/>
              <w:jc w:val="right"/>
              <w:rPr>
                <w:rFonts w:cs="Segoe UI"/>
                <w:b/>
                <w:sz w:val="16"/>
                <w:szCs w:val="16"/>
              </w:rPr>
            </w:pPr>
            <w:r w:rsidRPr="00466A26">
              <w:rPr>
                <w:rFonts w:cs="Segoe UI"/>
                <w:b/>
                <w:color w:val="000000"/>
                <w:sz w:val="16"/>
                <w:szCs w:val="16"/>
              </w:rPr>
              <w:t>3 418</w:t>
            </w:r>
          </w:p>
        </w:tc>
        <w:tc>
          <w:tcPr>
            <w:tcW w:w="435" w:type="pct"/>
            <w:tcBorders>
              <w:bottom w:val="single" w:sz="4" w:space="0" w:color="314364" w:themeColor="text2"/>
            </w:tcBorders>
            <w:vAlign w:val="center"/>
          </w:tcPr>
          <w:p w14:paraId="3B7E1F46" w14:textId="77777777" w:rsidR="0022613F" w:rsidRPr="00466A26" w:rsidRDefault="0022613F" w:rsidP="00B571E8">
            <w:pPr>
              <w:spacing w:after="0" w:line="259" w:lineRule="auto"/>
              <w:jc w:val="right"/>
              <w:rPr>
                <w:rFonts w:cs="Segoe UI"/>
                <w:b/>
                <w:sz w:val="16"/>
                <w:szCs w:val="16"/>
              </w:rPr>
            </w:pPr>
            <w:r w:rsidRPr="00466A26">
              <w:rPr>
                <w:rFonts w:cs="Segoe UI"/>
                <w:b/>
                <w:color w:val="000000"/>
                <w:sz w:val="16"/>
                <w:szCs w:val="16"/>
              </w:rPr>
              <w:t>6 868</w:t>
            </w:r>
          </w:p>
        </w:tc>
        <w:tc>
          <w:tcPr>
            <w:tcW w:w="435" w:type="pct"/>
            <w:tcBorders>
              <w:bottom w:val="single" w:sz="4" w:space="0" w:color="314364" w:themeColor="text2"/>
            </w:tcBorders>
            <w:vAlign w:val="center"/>
          </w:tcPr>
          <w:p w14:paraId="708288A8" w14:textId="77777777" w:rsidR="0022613F" w:rsidRPr="00466A26" w:rsidRDefault="0022613F" w:rsidP="00B571E8">
            <w:pPr>
              <w:spacing w:after="0" w:line="259" w:lineRule="auto"/>
              <w:jc w:val="right"/>
              <w:rPr>
                <w:rFonts w:cs="Segoe UI"/>
                <w:b/>
                <w:sz w:val="16"/>
                <w:szCs w:val="16"/>
              </w:rPr>
            </w:pPr>
            <w:r w:rsidRPr="00466A26">
              <w:rPr>
                <w:rFonts w:cs="Segoe UI"/>
                <w:b/>
                <w:color w:val="000000"/>
                <w:sz w:val="16"/>
                <w:szCs w:val="16"/>
              </w:rPr>
              <w:t>5 197</w:t>
            </w:r>
          </w:p>
        </w:tc>
        <w:tc>
          <w:tcPr>
            <w:tcW w:w="436" w:type="pct"/>
            <w:tcBorders>
              <w:bottom w:val="single" w:sz="4" w:space="0" w:color="314364" w:themeColor="text2"/>
            </w:tcBorders>
            <w:vAlign w:val="center"/>
          </w:tcPr>
          <w:p w14:paraId="5AC19921" w14:textId="77777777" w:rsidR="0022613F" w:rsidRPr="00466A26" w:rsidRDefault="0022613F" w:rsidP="00B571E8">
            <w:pPr>
              <w:spacing w:after="0" w:line="259" w:lineRule="auto"/>
              <w:jc w:val="right"/>
              <w:rPr>
                <w:rFonts w:cs="Segoe UI"/>
                <w:b/>
                <w:sz w:val="16"/>
                <w:szCs w:val="16"/>
              </w:rPr>
            </w:pPr>
            <w:r w:rsidRPr="00466A26">
              <w:rPr>
                <w:rFonts w:cs="Segoe UI"/>
                <w:b/>
                <w:color w:val="000000"/>
                <w:sz w:val="16"/>
                <w:szCs w:val="16"/>
              </w:rPr>
              <w:t>7 828</w:t>
            </w:r>
          </w:p>
        </w:tc>
        <w:tc>
          <w:tcPr>
            <w:tcW w:w="435" w:type="pct"/>
            <w:tcBorders>
              <w:bottom w:val="single" w:sz="4" w:space="0" w:color="314364" w:themeColor="text2"/>
            </w:tcBorders>
            <w:vAlign w:val="center"/>
          </w:tcPr>
          <w:p w14:paraId="501C69D1" w14:textId="77777777" w:rsidR="0022613F" w:rsidRPr="00466A26" w:rsidRDefault="0022613F" w:rsidP="00B571E8">
            <w:pPr>
              <w:spacing w:after="0" w:line="259" w:lineRule="auto"/>
              <w:jc w:val="right"/>
              <w:rPr>
                <w:rFonts w:cs="Segoe UI"/>
                <w:b/>
                <w:sz w:val="16"/>
                <w:szCs w:val="16"/>
              </w:rPr>
            </w:pPr>
            <w:r w:rsidRPr="00466A26">
              <w:rPr>
                <w:rFonts w:cs="Segoe UI"/>
                <w:b/>
                <w:color w:val="000000"/>
                <w:sz w:val="16"/>
                <w:szCs w:val="16"/>
              </w:rPr>
              <w:t>7 236</w:t>
            </w:r>
          </w:p>
        </w:tc>
        <w:tc>
          <w:tcPr>
            <w:tcW w:w="433" w:type="pct"/>
            <w:tcBorders>
              <w:bottom w:val="single" w:sz="4" w:space="0" w:color="314364" w:themeColor="text2"/>
            </w:tcBorders>
            <w:vAlign w:val="center"/>
          </w:tcPr>
          <w:p w14:paraId="6D14672A" w14:textId="77777777" w:rsidR="0022613F" w:rsidRPr="00466A26" w:rsidRDefault="0022613F" w:rsidP="00B571E8">
            <w:pPr>
              <w:spacing w:after="0" w:line="259" w:lineRule="auto"/>
              <w:jc w:val="right"/>
              <w:rPr>
                <w:rFonts w:cs="Segoe UI"/>
                <w:b/>
                <w:sz w:val="16"/>
                <w:szCs w:val="16"/>
              </w:rPr>
            </w:pPr>
            <w:r w:rsidRPr="00466A26">
              <w:rPr>
                <w:rFonts w:cs="Segoe UI"/>
                <w:b/>
                <w:color w:val="000000"/>
                <w:sz w:val="16"/>
                <w:szCs w:val="16"/>
              </w:rPr>
              <w:t>8 216</w:t>
            </w:r>
          </w:p>
        </w:tc>
        <w:tc>
          <w:tcPr>
            <w:tcW w:w="433" w:type="pct"/>
            <w:tcBorders>
              <w:bottom w:val="single" w:sz="4" w:space="0" w:color="314364" w:themeColor="text2"/>
            </w:tcBorders>
            <w:vAlign w:val="center"/>
          </w:tcPr>
          <w:p w14:paraId="42C6BA35" w14:textId="77777777" w:rsidR="0022613F" w:rsidRPr="00466A26" w:rsidRDefault="0022613F" w:rsidP="00B571E8">
            <w:pPr>
              <w:spacing w:after="0" w:line="259" w:lineRule="auto"/>
              <w:jc w:val="right"/>
              <w:rPr>
                <w:rFonts w:cs="Segoe UI"/>
                <w:b/>
                <w:sz w:val="16"/>
                <w:szCs w:val="16"/>
              </w:rPr>
            </w:pPr>
            <w:r w:rsidRPr="00466A26">
              <w:rPr>
                <w:rFonts w:cs="Segoe UI"/>
                <w:b/>
                <w:color w:val="000000"/>
                <w:sz w:val="16"/>
                <w:szCs w:val="16"/>
              </w:rPr>
              <w:t>960</w:t>
            </w:r>
          </w:p>
        </w:tc>
        <w:tc>
          <w:tcPr>
            <w:tcW w:w="439" w:type="pct"/>
            <w:tcBorders>
              <w:bottom w:val="single" w:sz="4" w:space="0" w:color="314364" w:themeColor="text2"/>
            </w:tcBorders>
            <w:vAlign w:val="center"/>
          </w:tcPr>
          <w:p w14:paraId="5CE25825" w14:textId="77777777" w:rsidR="0022613F" w:rsidRPr="00466A26" w:rsidRDefault="0022613F" w:rsidP="00B571E8">
            <w:pPr>
              <w:spacing w:after="0" w:line="259" w:lineRule="auto"/>
              <w:jc w:val="right"/>
              <w:rPr>
                <w:rFonts w:cs="Segoe UI"/>
                <w:b/>
                <w:sz w:val="16"/>
                <w:szCs w:val="16"/>
              </w:rPr>
            </w:pPr>
            <w:r w:rsidRPr="00466A26">
              <w:rPr>
                <w:rFonts w:cs="Segoe UI"/>
                <w:b/>
                <w:sz w:val="16"/>
                <w:szCs w:val="16"/>
              </w:rPr>
              <w:t>114,0%</w:t>
            </w:r>
          </w:p>
        </w:tc>
      </w:tr>
    </w:tbl>
    <w:p w14:paraId="610B0FEF" w14:textId="17FE0402" w:rsidR="0022613F" w:rsidRDefault="0022613F" w:rsidP="0022613F">
      <w:pPr>
        <w:pStyle w:val="Zdroj"/>
      </w:pPr>
      <w:r>
        <w:t>Zdroj: Návrh RVS 2025 až 2027.</w:t>
      </w:r>
    </w:p>
    <w:p w14:paraId="5D26AB55" w14:textId="5D1501E6" w:rsidR="00284D9F" w:rsidRDefault="00284D9F" w:rsidP="00284D9F">
      <w:r w:rsidRPr="004212FB">
        <w:rPr>
          <w:b/>
        </w:rPr>
        <w:t xml:space="preserve">Návrh rozpočtu výdavkov kapitoly VPS na rok 2025 </w:t>
      </w:r>
      <w:r w:rsidR="00CB6759">
        <w:rPr>
          <w:b/>
        </w:rPr>
        <w:t>vo výške 7 828 mil. eur predstavuje</w:t>
      </w:r>
      <w:r w:rsidRPr="004212FB">
        <w:rPr>
          <w:b/>
        </w:rPr>
        <w:t xml:space="preserve"> nárast o 960 mil. eur oproti rozpočtu na rok 2024 </w:t>
      </w:r>
      <w:r w:rsidR="00C67E18">
        <w:t xml:space="preserve">(tabuľka </w:t>
      </w:r>
      <w:r w:rsidR="008E65AC">
        <w:t>9</w:t>
      </w:r>
      <w:r w:rsidR="00C67E18">
        <w:t>)</w:t>
      </w:r>
      <w:r w:rsidRPr="004212FB">
        <w:rPr>
          <w:b/>
        </w:rPr>
        <w:t>.</w:t>
      </w:r>
      <w:r>
        <w:t xml:space="preserve"> Najväčší podiel na vyšších výdavkoch má položka správa ostatných výdavkov, kam sa pre</w:t>
      </w:r>
      <w:r w:rsidR="00CC22ED">
        <w:t>sunula časť pôvodných rezerv a </w:t>
      </w:r>
      <w:r>
        <w:t xml:space="preserve">rast transferu zo ŠR do </w:t>
      </w:r>
      <w:r>
        <w:lastRenderedPageBreak/>
        <w:t xml:space="preserve">SP. Tohto sa okrem položky finančné vzťahy k SP týkajú aj rozpočtové rezervy, keď v roku 2024 bola rozpočtovaná rezerva na legislatívne vplyvy v súvislosti s finančným krytím zavedenia 13. dôchodku, ktorá sa v priebehu roka presunula do samotného transferu </w:t>
      </w:r>
      <w:r w:rsidRPr="00CC22ED">
        <w:t>(</w:t>
      </w:r>
      <w:r w:rsidR="00926A63" w:rsidRPr="00CC22ED">
        <w:t xml:space="preserve">viac v kapitole </w:t>
      </w:r>
      <w:r w:rsidR="00CC22ED" w:rsidRPr="00CC22ED">
        <w:t>2.2.1</w:t>
      </w:r>
      <w:r w:rsidRPr="00CC22ED">
        <w:t>).</w:t>
      </w:r>
      <w:r>
        <w:t xml:space="preserve"> Rozpočet výdavkov vo vzťahu k EÚ medziročne stagnuje a výdavky na správu dlhu medziročne rastú cca o 21 %, ob</w:t>
      </w:r>
      <w:r w:rsidR="00CC4C44">
        <w:t>idve</w:t>
      </w:r>
      <w:r>
        <w:t xml:space="preserve"> položky sú podrobnejšie popísané v samostatných čas</w:t>
      </w:r>
      <w:r w:rsidR="00C67E18">
        <w:t>tiach v rámci tohto stanoviska.</w:t>
      </w:r>
    </w:p>
    <w:p w14:paraId="2F87B4BF" w14:textId="033E7435" w:rsidR="00284D9F" w:rsidRDefault="00284D9F" w:rsidP="00284D9F">
      <w:r>
        <w:t xml:space="preserve">Od </w:t>
      </w:r>
      <w:r w:rsidR="00CC4C44">
        <w:t>RVS</w:t>
      </w:r>
      <w:r>
        <w:t xml:space="preserve"> na 2025 sa v kapitole VPS alokujú tri rezervy: (1) rezerva vlády, (2) </w:t>
      </w:r>
      <w:r w:rsidRPr="008D1E6C">
        <w:t>rezerva na riešenie negatívnych vplyvov vývoja rozpočtového hospodárenia</w:t>
      </w:r>
      <w:r>
        <w:t xml:space="preserve"> a (3) rezerva na riešenie krízových situácií mimo času vojny a vojnového stavu a vykonávanie povodňových prác (tabuľka </w:t>
      </w:r>
      <w:r w:rsidR="00926A63">
        <w:t>1</w:t>
      </w:r>
      <w:r w:rsidR="008E65AC">
        <w:t>0</w:t>
      </w:r>
      <w:r>
        <w:t>). Štvrtou rezervou, taxatívne uvedenou v zákone, je rozpočtová rezerva predsedu vlády vo výške 1,5 mil. eur na rok 2025</w:t>
      </w:r>
      <w:r w:rsidRPr="00A27E50">
        <w:t xml:space="preserve"> </w:t>
      </w:r>
      <w:r w:rsidR="00514710">
        <w:t>v kapitole Úradu vlády.</w:t>
      </w:r>
    </w:p>
    <w:p w14:paraId="1CC69F57" w14:textId="77777777" w:rsidR="00764881" w:rsidRDefault="00764881" w:rsidP="00764881">
      <w:pPr>
        <w:pStyle w:val="Popis"/>
        <w:keepNext/>
      </w:pPr>
      <w:r>
        <w:t>Tabuľka 10: Rozpočtové rezervy a ostatné výdavky (v mil. eur)</w:t>
      </w:r>
    </w:p>
    <w:tbl>
      <w:tblPr>
        <w:tblStyle w:val="Mriekatabuky"/>
        <w:tblW w:w="0" w:type="auto"/>
        <w:tblBorders>
          <w:top w:val="none" w:sz="0" w:space="0" w:color="auto"/>
          <w:left w:val="none" w:sz="0" w:space="0" w:color="auto"/>
          <w:bottom w:val="single" w:sz="4" w:space="0" w:color="314364" w:themeColor="text2"/>
          <w:right w:val="none" w:sz="0" w:space="0" w:color="auto"/>
          <w:insideH w:val="single" w:sz="4" w:space="0" w:color="314364" w:themeColor="text2"/>
          <w:insideV w:val="none" w:sz="0" w:space="0" w:color="auto"/>
        </w:tblBorders>
        <w:tblLayout w:type="fixed"/>
        <w:tblLook w:val="04A0" w:firstRow="1" w:lastRow="0" w:firstColumn="1" w:lastColumn="0" w:noHBand="0" w:noVBand="1"/>
      </w:tblPr>
      <w:tblGrid>
        <w:gridCol w:w="4678"/>
        <w:gridCol w:w="709"/>
        <w:gridCol w:w="709"/>
        <w:gridCol w:w="845"/>
        <w:gridCol w:w="709"/>
        <w:gridCol w:w="709"/>
        <w:gridCol w:w="701"/>
      </w:tblGrid>
      <w:tr w:rsidR="00764881" w:rsidRPr="00B80F0F" w14:paraId="668B204A" w14:textId="77777777" w:rsidTr="00E7761D">
        <w:trPr>
          <w:trHeight w:val="283"/>
        </w:trPr>
        <w:tc>
          <w:tcPr>
            <w:tcW w:w="4678" w:type="dxa"/>
            <w:shd w:val="clear" w:color="auto" w:fill="314364" w:themeFill="text2"/>
            <w:vAlign w:val="center"/>
          </w:tcPr>
          <w:p w14:paraId="0ADB9943" w14:textId="77777777" w:rsidR="00764881" w:rsidRPr="000C6806" w:rsidRDefault="00764881" w:rsidP="00E7761D">
            <w:pPr>
              <w:spacing w:after="0"/>
              <w:jc w:val="left"/>
              <w:rPr>
                <w:rFonts w:cs="Segoe UI"/>
                <w:b/>
                <w:color w:val="FFFFFF" w:themeColor="background1"/>
                <w:sz w:val="16"/>
                <w:szCs w:val="16"/>
              </w:rPr>
            </w:pPr>
          </w:p>
        </w:tc>
        <w:tc>
          <w:tcPr>
            <w:tcW w:w="709" w:type="dxa"/>
            <w:shd w:val="clear" w:color="auto" w:fill="314364" w:themeFill="text2"/>
            <w:vAlign w:val="center"/>
          </w:tcPr>
          <w:p w14:paraId="25934BD9" w14:textId="77777777" w:rsidR="00764881" w:rsidRPr="000C6806" w:rsidRDefault="00764881" w:rsidP="00E7761D">
            <w:pPr>
              <w:spacing w:after="0"/>
              <w:jc w:val="right"/>
              <w:rPr>
                <w:rFonts w:cs="Segoe UI"/>
                <w:b/>
                <w:color w:val="FFFFFF" w:themeColor="background1"/>
                <w:sz w:val="16"/>
                <w:szCs w:val="16"/>
              </w:rPr>
            </w:pPr>
            <w:r w:rsidRPr="000C6806">
              <w:rPr>
                <w:rFonts w:cs="Segoe UI"/>
                <w:b/>
                <w:color w:val="FFFFFF" w:themeColor="background1"/>
                <w:sz w:val="16"/>
                <w:szCs w:val="16"/>
              </w:rPr>
              <w:t>2023</w:t>
            </w:r>
          </w:p>
        </w:tc>
        <w:tc>
          <w:tcPr>
            <w:tcW w:w="709" w:type="dxa"/>
            <w:shd w:val="clear" w:color="auto" w:fill="314364" w:themeFill="text2"/>
            <w:vAlign w:val="center"/>
          </w:tcPr>
          <w:p w14:paraId="1ED199A1" w14:textId="77777777" w:rsidR="00764881" w:rsidRPr="000C6806" w:rsidRDefault="00764881" w:rsidP="00E7761D">
            <w:pPr>
              <w:spacing w:after="0"/>
              <w:ind w:left="-96"/>
              <w:jc w:val="right"/>
              <w:rPr>
                <w:rFonts w:cs="Segoe UI"/>
                <w:b/>
                <w:color w:val="FFFFFF" w:themeColor="background1"/>
                <w:sz w:val="16"/>
                <w:szCs w:val="16"/>
              </w:rPr>
            </w:pPr>
            <w:r w:rsidRPr="000C6806">
              <w:rPr>
                <w:rFonts w:cs="Segoe UI"/>
                <w:b/>
                <w:color w:val="FFFFFF" w:themeColor="background1"/>
                <w:sz w:val="16"/>
                <w:szCs w:val="16"/>
              </w:rPr>
              <w:t>2024 R</w:t>
            </w:r>
          </w:p>
        </w:tc>
        <w:tc>
          <w:tcPr>
            <w:tcW w:w="845" w:type="dxa"/>
            <w:shd w:val="clear" w:color="auto" w:fill="314364" w:themeFill="text2"/>
            <w:vAlign w:val="center"/>
          </w:tcPr>
          <w:p w14:paraId="69FF6823" w14:textId="77777777" w:rsidR="00764881" w:rsidRPr="000C6806" w:rsidRDefault="00764881" w:rsidP="00E7761D">
            <w:pPr>
              <w:spacing w:after="0"/>
              <w:ind w:left="-108"/>
              <w:jc w:val="right"/>
              <w:rPr>
                <w:rFonts w:cs="Segoe UI"/>
                <w:b/>
                <w:color w:val="FFFFFF" w:themeColor="background1"/>
                <w:sz w:val="16"/>
                <w:szCs w:val="16"/>
              </w:rPr>
            </w:pPr>
            <w:r w:rsidRPr="000C6806">
              <w:rPr>
                <w:rFonts w:cs="Segoe UI"/>
                <w:b/>
                <w:color w:val="FFFFFF" w:themeColor="background1"/>
                <w:sz w:val="16"/>
                <w:szCs w:val="16"/>
              </w:rPr>
              <w:t>2024 OS</w:t>
            </w:r>
          </w:p>
        </w:tc>
        <w:tc>
          <w:tcPr>
            <w:tcW w:w="709" w:type="dxa"/>
            <w:shd w:val="clear" w:color="auto" w:fill="314364" w:themeFill="text2"/>
            <w:vAlign w:val="center"/>
          </w:tcPr>
          <w:p w14:paraId="064AFED4" w14:textId="77777777" w:rsidR="00764881" w:rsidRPr="000C6806" w:rsidRDefault="00764881" w:rsidP="00E7761D">
            <w:pPr>
              <w:spacing w:after="0"/>
              <w:ind w:left="-104"/>
              <w:jc w:val="right"/>
              <w:rPr>
                <w:rFonts w:cs="Segoe UI"/>
                <w:b/>
                <w:color w:val="FFFFFF" w:themeColor="background1"/>
                <w:sz w:val="16"/>
                <w:szCs w:val="16"/>
              </w:rPr>
            </w:pPr>
            <w:r w:rsidRPr="000C6806">
              <w:rPr>
                <w:rFonts w:cs="Segoe UI"/>
                <w:b/>
                <w:color w:val="FFFFFF" w:themeColor="background1"/>
                <w:sz w:val="16"/>
                <w:szCs w:val="16"/>
              </w:rPr>
              <w:t>2025 N</w:t>
            </w:r>
          </w:p>
        </w:tc>
        <w:tc>
          <w:tcPr>
            <w:tcW w:w="709" w:type="dxa"/>
            <w:shd w:val="clear" w:color="auto" w:fill="314364" w:themeFill="text2"/>
            <w:vAlign w:val="center"/>
          </w:tcPr>
          <w:p w14:paraId="061EC504" w14:textId="77777777" w:rsidR="00764881" w:rsidRPr="000C6806" w:rsidRDefault="00764881" w:rsidP="00E7761D">
            <w:pPr>
              <w:spacing w:after="0"/>
              <w:ind w:left="-100"/>
              <w:jc w:val="right"/>
              <w:rPr>
                <w:rFonts w:cs="Segoe UI"/>
                <w:b/>
                <w:color w:val="FFFFFF" w:themeColor="background1"/>
                <w:sz w:val="16"/>
                <w:szCs w:val="16"/>
              </w:rPr>
            </w:pPr>
            <w:r w:rsidRPr="000C6806">
              <w:rPr>
                <w:rFonts w:cs="Segoe UI"/>
                <w:b/>
                <w:color w:val="FFFFFF" w:themeColor="background1"/>
                <w:sz w:val="16"/>
                <w:szCs w:val="16"/>
              </w:rPr>
              <w:t>2026 N</w:t>
            </w:r>
          </w:p>
        </w:tc>
        <w:tc>
          <w:tcPr>
            <w:tcW w:w="701" w:type="dxa"/>
            <w:shd w:val="clear" w:color="auto" w:fill="314364" w:themeFill="text2"/>
            <w:vAlign w:val="center"/>
          </w:tcPr>
          <w:p w14:paraId="6578CE31" w14:textId="77777777" w:rsidR="00764881" w:rsidRPr="000C6806" w:rsidRDefault="00764881" w:rsidP="00E7761D">
            <w:pPr>
              <w:spacing w:after="0"/>
              <w:ind w:left="-96"/>
              <w:jc w:val="right"/>
              <w:rPr>
                <w:rFonts w:cs="Segoe UI"/>
                <w:b/>
                <w:color w:val="FFFFFF" w:themeColor="background1"/>
                <w:sz w:val="16"/>
                <w:szCs w:val="16"/>
              </w:rPr>
            </w:pPr>
            <w:r w:rsidRPr="000C6806">
              <w:rPr>
                <w:rFonts w:cs="Segoe UI"/>
                <w:b/>
                <w:color w:val="FFFFFF" w:themeColor="background1"/>
                <w:sz w:val="16"/>
                <w:szCs w:val="16"/>
              </w:rPr>
              <w:t>2027 N</w:t>
            </w:r>
          </w:p>
        </w:tc>
      </w:tr>
      <w:tr w:rsidR="00764881" w:rsidRPr="00B80F0F" w14:paraId="5CC3601D" w14:textId="77777777" w:rsidTr="00E7761D">
        <w:trPr>
          <w:trHeight w:val="283"/>
        </w:trPr>
        <w:tc>
          <w:tcPr>
            <w:tcW w:w="4678" w:type="dxa"/>
            <w:vAlign w:val="center"/>
          </w:tcPr>
          <w:p w14:paraId="0262A5B5" w14:textId="77777777" w:rsidR="00764881" w:rsidRPr="00D81E2E" w:rsidRDefault="00764881" w:rsidP="00E7761D">
            <w:pPr>
              <w:spacing w:after="0"/>
              <w:jc w:val="left"/>
              <w:rPr>
                <w:rFonts w:cs="Segoe UI"/>
                <w:sz w:val="16"/>
                <w:szCs w:val="16"/>
              </w:rPr>
            </w:pPr>
            <w:r w:rsidRPr="00B80F0F">
              <w:rPr>
                <w:rFonts w:cs="Segoe UI"/>
                <w:sz w:val="16"/>
                <w:szCs w:val="16"/>
              </w:rPr>
              <w:t>Rezerva vlády</w:t>
            </w:r>
          </w:p>
        </w:tc>
        <w:tc>
          <w:tcPr>
            <w:tcW w:w="709" w:type="dxa"/>
            <w:vAlign w:val="center"/>
          </w:tcPr>
          <w:p w14:paraId="1D7BB6AC" w14:textId="77777777" w:rsidR="00764881" w:rsidRPr="00D81E2E" w:rsidRDefault="00764881" w:rsidP="00E7761D">
            <w:pPr>
              <w:spacing w:after="0"/>
              <w:jc w:val="right"/>
              <w:rPr>
                <w:rFonts w:cs="Segoe UI"/>
                <w:sz w:val="16"/>
                <w:szCs w:val="16"/>
              </w:rPr>
            </w:pPr>
            <w:r>
              <w:rPr>
                <w:rFonts w:cs="Segoe UI"/>
                <w:sz w:val="16"/>
                <w:szCs w:val="16"/>
              </w:rPr>
              <w:t>4</w:t>
            </w:r>
          </w:p>
        </w:tc>
        <w:tc>
          <w:tcPr>
            <w:tcW w:w="709" w:type="dxa"/>
            <w:vAlign w:val="center"/>
          </w:tcPr>
          <w:p w14:paraId="2E1B9484" w14:textId="77777777" w:rsidR="00764881" w:rsidRPr="00D81E2E" w:rsidRDefault="00764881" w:rsidP="00E7761D">
            <w:pPr>
              <w:spacing w:after="0"/>
              <w:jc w:val="right"/>
              <w:rPr>
                <w:rFonts w:cs="Segoe UI"/>
                <w:sz w:val="16"/>
                <w:szCs w:val="16"/>
              </w:rPr>
            </w:pPr>
            <w:r>
              <w:rPr>
                <w:rFonts w:cs="Segoe UI"/>
                <w:sz w:val="16"/>
                <w:szCs w:val="16"/>
              </w:rPr>
              <w:t>5</w:t>
            </w:r>
          </w:p>
        </w:tc>
        <w:tc>
          <w:tcPr>
            <w:tcW w:w="845" w:type="dxa"/>
            <w:vAlign w:val="center"/>
          </w:tcPr>
          <w:p w14:paraId="731D66FD" w14:textId="77777777" w:rsidR="00764881" w:rsidRPr="00D81E2E" w:rsidRDefault="00764881" w:rsidP="00E7761D">
            <w:pPr>
              <w:spacing w:after="0"/>
              <w:jc w:val="right"/>
              <w:rPr>
                <w:rFonts w:cs="Segoe UI"/>
                <w:sz w:val="16"/>
                <w:szCs w:val="16"/>
              </w:rPr>
            </w:pPr>
            <w:r>
              <w:rPr>
                <w:rFonts w:cs="Segoe UI"/>
                <w:sz w:val="16"/>
                <w:szCs w:val="16"/>
              </w:rPr>
              <w:t>5</w:t>
            </w:r>
          </w:p>
        </w:tc>
        <w:tc>
          <w:tcPr>
            <w:tcW w:w="709" w:type="dxa"/>
            <w:vAlign w:val="center"/>
          </w:tcPr>
          <w:p w14:paraId="4A04EC59" w14:textId="77777777" w:rsidR="00764881" w:rsidRPr="00D81E2E" w:rsidRDefault="00764881" w:rsidP="00E7761D">
            <w:pPr>
              <w:spacing w:after="0"/>
              <w:jc w:val="right"/>
              <w:rPr>
                <w:rFonts w:cs="Segoe UI"/>
                <w:sz w:val="16"/>
                <w:szCs w:val="16"/>
              </w:rPr>
            </w:pPr>
            <w:r>
              <w:rPr>
                <w:rFonts w:cs="Segoe UI"/>
                <w:sz w:val="16"/>
                <w:szCs w:val="16"/>
              </w:rPr>
              <w:t>5</w:t>
            </w:r>
          </w:p>
        </w:tc>
        <w:tc>
          <w:tcPr>
            <w:tcW w:w="709" w:type="dxa"/>
            <w:vAlign w:val="center"/>
          </w:tcPr>
          <w:p w14:paraId="39EBF6A9" w14:textId="77777777" w:rsidR="00764881" w:rsidRPr="00D81E2E" w:rsidRDefault="00764881" w:rsidP="00E7761D">
            <w:pPr>
              <w:spacing w:after="0"/>
              <w:jc w:val="right"/>
              <w:rPr>
                <w:rFonts w:cs="Segoe UI"/>
                <w:sz w:val="16"/>
                <w:szCs w:val="16"/>
              </w:rPr>
            </w:pPr>
            <w:r>
              <w:rPr>
                <w:rFonts w:cs="Segoe UI"/>
                <w:sz w:val="16"/>
                <w:szCs w:val="16"/>
              </w:rPr>
              <w:t>5</w:t>
            </w:r>
          </w:p>
        </w:tc>
        <w:tc>
          <w:tcPr>
            <w:tcW w:w="701" w:type="dxa"/>
            <w:vAlign w:val="center"/>
          </w:tcPr>
          <w:p w14:paraId="2C62938D" w14:textId="77777777" w:rsidR="00764881" w:rsidRPr="00D81E2E" w:rsidRDefault="00764881" w:rsidP="00E7761D">
            <w:pPr>
              <w:spacing w:after="0"/>
              <w:jc w:val="right"/>
              <w:rPr>
                <w:rFonts w:cs="Segoe UI"/>
                <w:sz w:val="16"/>
                <w:szCs w:val="16"/>
              </w:rPr>
            </w:pPr>
            <w:r>
              <w:rPr>
                <w:rFonts w:cs="Segoe UI"/>
                <w:sz w:val="16"/>
                <w:szCs w:val="16"/>
              </w:rPr>
              <w:t>5</w:t>
            </w:r>
          </w:p>
        </w:tc>
      </w:tr>
      <w:tr w:rsidR="00764881" w:rsidRPr="00B80F0F" w14:paraId="2DC999BF" w14:textId="77777777" w:rsidTr="00E7761D">
        <w:trPr>
          <w:trHeight w:val="283"/>
        </w:trPr>
        <w:tc>
          <w:tcPr>
            <w:tcW w:w="4678" w:type="dxa"/>
            <w:vAlign w:val="center"/>
          </w:tcPr>
          <w:p w14:paraId="4E4B14D9" w14:textId="77777777" w:rsidR="00764881" w:rsidRPr="00D81E2E" w:rsidRDefault="00764881" w:rsidP="00E7761D">
            <w:pPr>
              <w:spacing w:after="0"/>
              <w:jc w:val="left"/>
              <w:rPr>
                <w:rFonts w:cs="Segoe UI"/>
                <w:sz w:val="16"/>
                <w:szCs w:val="16"/>
              </w:rPr>
            </w:pPr>
            <w:r w:rsidRPr="00B80F0F">
              <w:rPr>
                <w:rFonts w:cs="Segoe UI"/>
                <w:sz w:val="16"/>
                <w:szCs w:val="16"/>
              </w:rPr>
              <w:t>Rezerva na riešenie negatívnych vplyvov vývoja rozpočtového hospodárenia</w:t>
            </w:r>
          </w:p>
        </w:tc>
        <w:tc>
          <w:tcPr>
            <w:tcW w:w="709" w:type="dxa"/>
            <w:vAlign w:val="center"/>
          </w:tcPr>
          <w:p w14:paraId="316B9A48" w14:textId="77777777" w:rsidR="00764881" w:rsidRPr="00D81E2E" w:rsidRDefault="00764881" w:rsidP="00E7761D">
            <w:pPr>
              <w:spacing w:after="0"/>
              <w:jc w:val="right"/>
              <w:rPr>
                <w:rFonts w:cs="Segoe UI"/>
                <w:sz w:val="16"/>
                <w:szCs w:val="16"/>
              </w:rPr>
            </w:pPr>
            <w:r>
              <w:rPr>
                <w:rFonts w:cs="Segoe UI"/>
                <w:sz w:val="16"/>
                <w:szCs w:val="16"/>
              </w:rPr>
              <w:t>0</w:t>
            </w:r>
          </w:p>
        </w:tc>
        <w:tc>
          <w:tcPr>
            <w:tcW w:w="709" w:type="dxa"/>
            <w:vAlign w:val="center"/>
          </w:tcPr>
          <w:p w14:paraId="080A80A5" w14:textId="77777777" w:rsidR="00764881" w:rsidRPr="00D81E2E" w:rsidRDefault="00764881" w:rsidP="00E7761D">
            <w:pPr>
              <w:spacing w:after="0"/>
              <w:jc w:val="right"/>
              <w:rPr>
                <w:rFonts w:cs="Segoe UI"/>
                <w:sz w:val="16"/>
                <w:szCs w:val="16"/>
              </w:rPr>
            </w:pPr>
            <w:r>
              <w:rPr>
                <w:rFonts w:cs="Segoe UI"/>
                <w:sz w:val="16"/>
                <w:szCs w:val="16"/>
              </w:rPr>
              <w:t>0</w:t>
            </w:r>
          </w:p>
        </w:tc>
        <w:tc>
          <w:tcPr>
            <w:tcW w:w="845" w:type="dxa"/>
            <w:vAlign w:val="center"/>
          </w:tcPr>
          <w:p w14:paraId="15F5EE2B" w14:textId="77777777" w:rsidR="00764881" w:rsidRPr="00D81E2E" w:rsidRDefault="00764881" w:rsidP="00E7761D">
            <w:pPr>
              <w:spacing w:after="0"/>
              <w:jc w:val="right"/>
              <w:rPr>
                <w:rFonts w:cs="Segoe UI"/>
                <w:sz w:val="16"/>
                <w:szCs w:val="16"/>
              </w:rPr>
            </w:pPr>
            <w:r>
              <w:rPr>
                <w:rFonts w:cs="Segoe UI"/>
                <w:sz w:val="16"/>
                <w:szCs w:val="16"/>
              </w:rPr>
              <w:t>0</w:t>
            </w:r>
          </w:p>
        </w:tc>
        <w:tc>
          <w:tcPr>
            <w:tcW w:w="709" w:type="dxa"/>
            <w:vAlign w:val="center"/>
          </w:tcPr>
          <w:p w14:paraId="16BEB241" w14:textId="77777777" w:rsidR="00764881" w:rsidRPr="00D81E2E" w:rsidRDefault="00764881" w:rsidP="00E7761D">
            <w:pPr>
              <w:spacing w:after="0"/>
              <w:jc w:val="right"/>
              <w:rPr>
                <w:rFonts w:cs="Segoe UI"/>
                <w:sz w:val="16"/>
                <w:szCs w:val="16"/>
              </w:rPr>
            </w:pPr>
            <w:r>
              <w:rPr>
                <w:rFonts w:cs="Segoe UI"/>
                <w:sz w:val="16"/>
                <w:szCs w:val="16"/>
              </w:rPr>
              <w:t>421</w:t>
            </w:r>
          </w:p>
        </w:tc>
        <w:tc>
          <w:tcPr>
            <w:tcW w:w="709" w:type="dxa"/>
            <w:vAlign w:val="center"/>
          </w:tcPr>
          <w:p w14:paraId="2CC917CB" w14:textId="77777777" w:rsidR="00764881" w:rsidRPr="00D81E2E" w:rsidRDefault="00764881" w:rsidP="00E7761D">
            <w:pPr>
              <w:spacing w:after="0"/>
              <w:jc w:val="right"/>
              <w:rPr>
                <w:rFonts w:cs="Segoe UI"/>
                <w:sz w:val="16"/>
                <w:szCs w:val="16"/>
              </w:rPr>
            </w:pPr>
            <w:r>
              <w:rPr>
                <w:rFonts w:cs="Segoe UI"/>
                <w:sz w:val="16"/>
                <w:szCs w:val="16"/>
              </w:rPr>
              <w:t>441</w:t>
            </w:r>
          </w:p>
        </w:tc>
        <w:tc>
          <w:tcPr>
            <w:tcW w:w="701" w:type="dxa"/>
            <w:vAlign w:val="center"/>
          </w:tcPr>
          <w:p w14:paraId="39A298B8" w14:textId="77777777" w:rsidR="00764881" w:rsidRPr="00D81E2E" w:rsidRDefault="00764881" w:rsidP="00E7761D">
            <w:pPr>
              <w:spacing w:after="0"/>
              <w:jc w:val="right"/>
              <w:rPr>
                <w:rFonts w:cs="Segoe UI"/>
                <w:sz w:val="16"/>
                <w:szCs w:val="16"/>
              </w:rPr>
            </w:pPr>
            <w:r>
              <w:rPr>
                <w:rFonts w:cs="Segoe UI"/>
                <w:sz w:val="16"/>
                <w:szCs w:val="16"/>
              </w:rPr>
              <w:t>462</w:t>
            </w:r>
          </w:p>
        </w:tc>
      </w:tr>
      <w:tr w:rsidR="00764881" w:rsidRPr="00B80F0F" w14:paraId="69AAEFFF" w14:textId="77777777" w:rsidTr="00E7761D">
        <w:trPr>
          <w:trHeight w:val="283"/>
        </w:trPr>
        <w:tc>
          <w:tcPr>
            <w:tcW w:w="4678" w:type="dxa"/>
            <w:vAlign w:val="center"/>
          </w:tcPr>
          <w:p w14:paraId="2A1BF221" w14:textId="77777777" w:rsidR="00764881" w:rsidRPr="00D81E2E" w:rsidRDefault="00764881" w:rsidP="00E7761D">
            <w:pPr>
              <w:spacing w:after="0"/>
              <w:jc w:val="left"/>
              <w:rPr>
                <w:rFonts w:cs="Segoe UI"/>
                <w:sz w:val="16"/>
                <w:szCs w:val="16"/>
              </w:rPr>
            </w:pPr>
            <w:r w:rsidRPr="00B80F0F">
              <w:rPr>
                <w:rFonts w:cs="Segoe UI"/>
                <w:sz w:val="16"/>
                <w:szCs w:val="16"/>
              </w:rPr>
              <w:t>Rezerva na riešenie krízových situácií mimo času vojny a vojnového stavu a vykonávanie povodňových prác</w:t>
            </w:r>
          </w:p>
        </w:tc>
        <w:tc>
          <w:tcPr>
            <w:tcW w:w="709" w:type="dxa"/>
            <w:vAlign w:val="center"/>
          </w:tcPr>
          <w:p w14:paraId="0D24A93E" w14:textId="77777777" w:rsidR="00764881" w:rsidRPr="00D81E2E" w:rsidRDefault="00764881" w:rsidP="00E7761D">
            <w:pPr>
              <w:spacing w:after="0"/>
              <w:jc w:val="right"/>
              <w:rPr>
                <w:rFonts w:cs="Segoe UI"/>
                <w:sz w:val="16"/>
                <w:szCs w:val="16"/>
              </w:rPr>
            </w:pPr>
            <w:r>
              <w:rPr>
                <w:rFonts w:cs="Segoe UI"/>
                <w:sz w:val="16"/>
                <w:szCs w:val="16"/>
              </w:rPr>
              <w:t>0</w:t>
            </w:r>
          </w:p>
        </w:tc>
        <w:tc>
          <w:tcPr>
            <w:tcW w:w="709" w:type="dxa"/>
            <w:vAlign w:val="center"/>
          </w:tcPr>
          <w:p w14:paraId="527D6D6A" w14:textId="77777777" w:rsidR="00764881" w:rsidRPr="00D81E2E" w:rsidRDefault="00764881" w:rsidP="00E7761D">
            <w:pPr>
              <w:spacing w:after="0"/>
              <w:jc w:val="right"/>
              <w:rPr>
                <w:rFonts w:cs="Segoe UI"/>
                <w:sz w:val="16"/>
                <w:szCs w:val="16"/>
              </w:rPr>
            </w:pPr>
            <w:r>
              <w:rPr>
                <w:rFonts w:cs="Segoe UI"/>
                <w:sz w:val="16"/>
                <w:szCs w:val="16"/>
              </w:rPr>
              <w:t>21</w:t>
            </w:r>
          </w:p>
        </w:tc>
        <w:tc>
          <w:tcPr>
            <w:tcW w:w="845" w:type="dxa"/>
            <w:vAlign w:val="center"/>
          </w:tcPr>
          <w:p w14:paraId="30DB56B2" w14:textId="77777777" w:rsidR="00764881" w:rsidRPr="00D81E2E" w:rsidRDefault="00764881" w:rsidP="00E7761D">
            <w:pPr>
              <w:spacing w:after="0"/>
              <w:jc w:val="right"/>
              <w:rPr>
                <w:rFonts w:cs="Segoe UI"/>
                <w:sz w:val="16"/>
                <w:szCs w:val="16"/>
              </w:rPr>
            </w:pPr>
            <w:r>
              <w:rPr>
                <w:rFonts w:cs="Segoe UI"/>
                <w:sz w:val="16"/>
                <w:szCs w:val="16"/>
              </w:rPr>
              <w:t>16</w:t>
            </w:r>
          </w:p>
        </w:tc>
        <w:tc>
          <w:tcPr>
            <w:tcW w:w="709" w:type="dxa"/>
            <w:vAlign w:val="center"/>
          </w:tcPr>
          <w:p w14:paraId="6999C6AC" w14:textId="77777777" w:rsidR="00764881" w:rsidRPr="00D81E2E" w:rsidRDefault="00764881" w:rsidP="00E7761D">
            <w:pPr>
              <w:spacing w:after="0"/>
              <w:jc w:val="right"/>
              <w:rPr>
                <w:rFonts w:cs="Segoe UI"/>
                <w:sz w:val="16"/>
                <w:szCs w:val="16"/>
              </w:rPr>
            </w:pPr>
            <w:r>
              <w:rPr>
                <w:rFonts w:cs="Segoe UI"/>
                <w:sz w:val="16"/>
                <w:szCs w:val="16"/>
              </w:rPr>
              <w:t>30</w:t>
            </w:r>
          </w:p>
        </w:tc>
        <w:tc>
          <w:tcPr>
            <w:tcW w:w="709" w:type="dxa"/>
            <w:vAlign w:val="center"/>
          </w:tcPr>
          <w:p w14:paraId="4B67B6C9" w14:textId="77777777" w:rsidR="00764881" w:rsidRPr="00D81E2E" w:rsidRDefault="00764881" w:rsidP="00E7761D">
            <w:pPr>
              <w:spacing w:after="0"/>
              <w:jc w:val="right"/>
              <w:rPr>
                <w:rFonts w:cs="Segoe UI"/>
                <w:sz w:val="16"/>
                <w:szCs w:val="16"/>
              </w:rPr>
            </w:pPr>
            <w:r>
              <w:rPr>
                <w:rFonts w:cs="Segoe UI"/>
                <w:sz w:val="16"/>
                <w:szCs w:val="16"/>
              </w:rPr>
              <w:t>21</w:t>
            </w:r>
          </w:p>
        </w:tc>
        <w:tc>
          <w:tcPr>
            <w:tcW w:w="701" w:type="dxa"/>
            <w:vAlign w:val="center"/>
          </w:tcPr>
          <w:p w14:paraId="64DC11FC" w14:textId="77777777" w:rsidR="00764881" w:rsidRPr="00D81E2E" w:rsidRDefault="00764881" w:rsidP="00E7761D">
            <w:pPr>
              <w:spacing w:after="0"/>
              <w:jc w:val="right"/>
              <w:rPr>
                <w:rFonts w:cs="Segoe UI"/>
                <w:sz w:val="16"/>
                <w:szCs w:val="16"/>
              </w:rPr>
            </w:pPr>
            <w:r>
              <w:rPr>
                <w:rFonts w:cs="Segoe UI"/>
                <w:sz w:val="16"/>
                <w:szCs w:val="16"/>
              </w:rPr>
              <w:t>21</w:t>
            </w:r>
          </w:p>
        </w:tc>
      </w:tr>
      <w:tr w:rsidR="00764881" w:rsidRPr="00B80F0F" w14:paraId="1CCD3333" w14:textId="77777777" w:rsidTr="00E7761D">
        <w:trPr>
          <w:trHeight w:val="283"/>
        </w:trPr>
        <w:tc>
          <w:tcPr>
            <w:tcW w:w="4678" w:type="dxa"/>
            <w:vAlign w:val="center"/>
          </w:tcPr>
          <w:p w14:paraId="5DC608B7" w14:textId="77777777" w:rsidR="00764881" w:rsidRPr="00D81E2E" w:rsidRDefault="00764881" w:rsidP="00E7761D">
            <w:pPr>
              <w:spacing w:after="0"/>
              <w:jc w:val="left"/>
              <w:rPr>
                <w:rFonts w:cs="Segoe UI"/>
                <w:sz w:val="16"/>
                <w:szCs w:val="16"/>
              </w:rPr>
            </w:pPr>
            <w:r w:rsidRPr="00B80F0F">
              <w:rPr>
                <w:rFonts w:cs="Segoe UI"/>
                <w:sz w:val="16"/>
                <w:szCs w:val="16"/>
              </w:rPr>
              <w:t>Rezerva na prostriedky EÚ a odvody EÚ</w:t>
            </w:r>
          </w:p>
        </w:tc>
        <w:tc>
          <w:tcPr>
            <w:tcW w:w="709" w:type="dxa"/>
            <w:vAlign w:val="center"/>
          </w:tcPr>
          <w:p w14:paraId="114930B8" w14:textId="77777777" w:rsidR="00764881" w:rsidRPr="00D81E2E" w:rsidRDefault="00764881" w:rsidP="00E7761D">
            <w:pPr>
              <w:spacing w:after="0"/>
              <w:jc w:val="right"/>
              <w:rPr>
                <w:rFonts w:cs="Segoe UI"/>
                <w:sz w:val="16"/>
                <w:szCs w:val="16"/>
              </w:rPr>
            </w:pPr>
            <w:r>
              <w:rPr>
                <w:rFonts w:cs="Segoe UI"/>
                <w:sz w:val="16"/>
                <w:szCs w:val="16"/>
              </w:rPr>
              <w:t>12</w:t>
            </w:r>
          </w:p>
        </w:tc>
        <w:tc>
          <w:tcPr>
            <w:tcW w:w="709" w:type="dxa"/>
            <w:vAlign w:val="center"/>
          </w:tcPr>
          <w:p w14:paraId="3FDECD53" w14:textId="77777777" w:rsidR="00764881" w:rsidRPr="00D81E2E" w:rsidRDefault="00764881" w:rsidP="00E7761D">
            <w:pPr>
              <w:spacing w:after="0"/>
              <w:jc w:val="right"/>
              <w:rPr>
                <w:rFonts w:cs="Segoe UI"/>
                <w:sz w:val="16"/>
                <w:szCs w:val="16"/>
              </w:rPr>
            </w:pPr>
            <w:r>
              <w:rPr>
                <w:rFonts w:cs="Segoe UI"/>
                <w:sz w:val="16"/>
                <w:szCs w:val="16"/>
              </w:rPr>
              <w:t>249</w:t>
            </w:r>
          </w:p>
        </w:tc>
        <w:tc>
          <w:tcPr>
            <w:tcW w:w="845" w:type="dxa"/>
            <w:vAlign w:val="center"/>
          </w:tcPr>
          <w:p w14:paraId="6177B1C2" w14:textId="77777777" w:rsidR="00764881" w:rsidRPr="00D81E2E" w:rsidRDefault="00764881" w:rsidP="00E7761D">
            <w:pPr>
              <w:spacing w:after="0"/>
              <w:jc w:val="right"/>
              <w:rPr>
                <w:rFonts w:cs="Segoe UI"/>
                <w:sz w:val="16"/>
                <w:szCs w:val="16"/>
              </w:rPr>
            </w:pPr>
            <w:r>
              <w:rPr>
                <w:rFonts w:cs="Segoe UI"/>
                <w:sz w:val="16"/>
                <w:szCs w:val="16"/>
              </w:rPr>
              <w:t>0</w:t>
            </w:r>
          </w:p>
        </w:tc>
        <w:tc>
          <w:tcPr>
            <w:tcW w:w="709" w:type="dxa"/>
            <w:vAlign w:val="center"/>
          </w:tcPr>
          <w:p w14:paraId="47EB39B1" w14:textId="77777777" w:rsidR="00764881" w:rsidRPr="00D81E2E" w:rsidRDefault="00764881" w:rsidP="00E7761D">
            <w:pPr>
              <w:spacing w:after="0"/>
              <w:jc w:val="right"/>
              <w:rPr>
                <w:rFonts w:cs="Segoe UI"/>
                <w:sz w:val="16"/>
                <w:szCs w:val="16"/>
              </w:rPr>
            </w:pPr>
            <w:r>
              <w:rPr>
                <w:rFonts w:cs="Segoe UI"/>
                <w:sz w:val="16"/>
                <w:szCs w:val="16"/>
              </w:rPr>
              <w:t>0</w:t>
            </w:r>
          </w:p>
        </w:tc>
        <w:tc>
          <w:tcPr>
            <w:tcW w:w="709" w:type="dxa"/>
            <w:vAlign w:val="center"/>
          </w:tcPr>
          <w:p w14:paraId="26110974" w14:textId="77777777" w:rsidR="00764881" w:rsidRPr="00D81E2E" w:rsidRDefault="00764881" w:rsidP="00E7761D">
            <w:pPr>
              <w:spacing w:after="0"/>
              <w:jc w:val="right"/>
              <w:rPr>
                <w:rFonts w:cs="Segoe UI"/>
                <w:sz w:val="16"/>
                <w:szCs w:val="16"/>
              </w:rPr>
            </w:pPr>
            <w:r>
              <w:rPr>
                <w:rFonts w:cs="Segoe UI"/>
                <w:sz w:val="16"/>
                <w:szCs w:val="16"/>
              </w:rPr>
              <w:t>0</w:t>
            </w:r>
          </w:p>
        </w:tc>
        <w:tc>
          <w:tcPr>
            <w:tcW w:w="701" w:type="dxa"/>
            <w:vAlign w:val="center"/>
          </w:tcPr>
          <w:p w14:paraId="76A46BEC" w14:textId="77777777" w:rsidR="00764881" w:rsidRPr="00D81E2E" w:rsidRDefault="00764881" w:rsidP="00E7761D">
            <w:pPr>
              <w:spacing w:after="0"/>
              <w:jc w:val="right"/>
              <w:rPr>
                <w:rFonts w:cs="Segoe UI"/>
                <w:sz w:val="16"/>
                <w:szCs w:val="16"/>
              </w:rPr>
            </w:pPr>
            <w:r>
              <w:rPr>
                <w:rFonts w:cs="Segoe UI"/>
                <w:sz w:val="16"/>
                <w:szCs w:val="16"/>
              </w:rPr>
              <w:t>0</w:t>
            </w:r>
          </w:p>
        </w:tc>
      </w:tr>
      <w:tr w:rsidR="00764881" w:rsidRPr="00B80F0F" w14:paraId="32D72A9C" w14:textId="77777777" w:rsidTr="00E7761D">
        <w:trPr>
          <w:trHeight w:val="283"/>
        </w:trPr>
        <w:tc>
          <w:tcPr>
            <w:tcW w:w="4678" w:type="dxa"/>
            <w:vAlign w:val="center"/>
          </w:tcPr>
          <w:p w14:paraId="0731E5C0" w14:textId="77777777" w:rsidR="00764881" w:rsidRPr="00B80F0F" w:rsidRDefault="00764881" w:rsidP="00E7761D">
            <w:pPr>
              <w:spacing w:after="0" w:line="259" w:lineRule="auto"/>
              <w:ind w:right="-114"/>
              <w:jc w:val="left"/>
              <w:rPr>
                <w:rFonts w:cs="Segoe UI"/>
                <w:sz w:val="16"/>
                <w:szCs w:val="16"/>
              </w:rPr>
            </w:pPr>
            <w:r w:rsidRPr="00B80F0F">
              <w:rPr>
                <w:rFonts w:cs="Segoe UI"/>
                <w:sz w:val="16"/>
                <w:szCs w:val="16"/>
              </w:rPr>
              <w:t>Rezerva na riešenie vplyvov legislatívnych zmien (do 2024)</w:t>
            </w:r>
          </w:p>
          <w:p w14:paraId="2047AF66" w14:textId="77777777" w:rsidR="00764881" w:rsidRPr="00D81E2E" w:rsidRDefault="00764881" w:rsidP="00E7761D">
            <w:pPr>
              <w:spacing w:after="0"/>
              <w:jc w:val="left"/>
              <w:rPr>
                <w:rFonts w:cs="Segoe UI"/>
                <w:sz w:val="16"/>
                <w:szCs w:val="16"/>
              </w:rPr>
            </w:pPr>
            <w:r w:rsidRPr="00B80F0F">
              <w:rPr>
                <w:rFonts w:cs="Segoe UI"/>
                <w:i/>
                <w:sz w:val="16"/>
                <w:szCs w:val="16"/>
              </w:rPr>
              <w:t>Výdavky na riešenie vplyvov legislatívnych zmien (od 2025)</w:t>
            </w:r>
          </w:p>
        </w:tc>
        <w:tc>
          <w:tcPr>
            <w:tcW w:w="709" w:type="dxa"/>
            <w:vAlign w:val="center"/>
          </w:tcPr>
          <w:p w14:paraId="79209BD1" w14:textId="77777777" w:rsidR="00764881" w:rsidRDefault="00764881" w:rsidP="00E7761D">
            <w:pPr>
              <w:spacing w:after="0"/>
              <w:jc w:val="right"/>
              <w:rPr>
                <w:rFonts w:cs="Segoe UI"/>
                <w:sz w:val="16"/>
                <w:szCs w:val="16"/>
              </w:rPr>
            </w:pPr>
            <w:r>
              <w:rPr>
                <w:rFonts w:cs="Segoe UI"/>
                <w:sz w:val="16"/>
                <w:szCs w:val="16"/>
              </w:rPr>
              <w:t>0</w:t>
            </w:r>
          </w:p>
          <w:p w14:paraId="730690DE" w14:textId="77777777" w:rsidR="00764881" w:rsidRPr="00D81E2E" w:rsidRDefault="00764881" w:rsidP="00E7761D">
            <w:pPr>
              <w:spacing w:after="0"/>
              <w:jc w:val="right"/>
              <w:rPr>
                <w:rFonts w:cs="Segoe UI"/>
                <w:sz w:val="16"/>
                <w:szCs w:val="16"/>
              </w:rPr>
            </w:pPr>
          </w:p>
        </w:tc>
        <w:tc>
          <w:tcPr>
            <w:tcW w:w="709" w:type="dxa"/>
            <w:vAlign w:val="center"/>
          </w:tcPr>
          <w:p w14:paraId="5DF07CDF" w14:textId="77777777" w:rsidR="00764881" w:rsidRDefault="00764881" w:rsidP="00E7761D">
            <w:pPr>
              <w:spacing w:after="0"/>
              <w:jc w:val="right"/>
              <w:rPr>
                <w:rFonts w:cs="Segoe UI"/>
                <w:sz w:val="16"/>
                <w:szCs w:val="16"/>
              </w:rPr>
            </w:pPr>
            <w:r>
              <w:rPr>
                <w:rFonts w:cs="Segoe UI"/>
                <w:sz w:val="16"/>
                <w:szCs w:val="16"/>
              </w:rPr>
              <w:t>1 232</w:t>
            </w:r>
          </w:p>
          <w:p w14:paraId="6DF36A53" w14:textId="77777777" w:rsidR="00764881" w:rsidRPr="00D81E2E" w:rsidRDefault="00764881" w:rsidP="00E7761D">
            <w:pPr>
              <w:spacing w:after="0"/>
              <w:jc w:val="right"/>
              <w:rPr>
                <w:rFonts w:cs="Segoe UI"/>
                <w:sz w:val="16"/>
                <w:szCs w:val="16"/>
              </w:rPr>
            </w:pPr>
          </w:p>
        </w:tc>
        <w:tc>
          <w:tcPr>
            <w:tcW w:w="845" w:type="dxa"/>
            <w:vAlign w:val="center"/>
          </w:tcPr>
          <w:p w14:paraId="2E42E0E6" w14:textId="77777777" w:rsidR="00764881" w:rsidRDefault="00764881" w:rsidP="00E7761D">
            <w:pPr>
              <w:spacing w:after="0"/>
              <w:jc w:val="right"/>
              <w:rPr>
                <w:rFonts w:cs="Segoe UI"/>
                <w:sz w:val="16"/>
                <w:szCs w:val="16"/>
              </w:rPr>
            </w:pPr>
            <w:r>
              <w:rPr>
                <w:rFonts w:cs="Segoe UI"/>
                <w:sz w:val="16"/>
                <w:szCs w:val="16"/>
              </w:rPr>
              <w:t>17</w:t>
            </w:r>
          </w:p>
          <w:p w14:paraId="56BA9D03" w14:textId="77777777" w:rsidR="00764881" w:rsidRPr="00D81E2E" w:rsidRDefault="00764881" w:rsidP="00E7761D">
            <w:pPr>
              <w:spacing w:after="0"/>
              <w:jc w:val="right"/>
              <w:rPr>
                <w:rFonts w:cs="Segoe UI"/>
                <w:sz w:val="16"/>
                <w:szCs w:val="16"/>
              </w:rPr>
            </w:pPr>
          </w:p>
        </w:tc>
        <w:tc>
          <w:tcPr>
            <w:tcW w:w="709" w:type="dxa"/>
            <w:vAlign w:val="center"/>
          </w:tcPr>
          <w:p w14:paraId="5026648A" w14:textId="77777777" w:rsidR="00764881" w:rsidRDefault="00764881" w:rsidP="00E7761D">
            <w:pPr>
              <w:spacing w:after="0"/>
              <w:jc w:val="right"/>
              <w:rPr>
                <w:rFonts w:cs="Segoe UI"/>
                <w:i/>
                <w:sz w:val="16"/>
                <w:szCs w:val="16"/>
              </w:rPr>
            </w:pPr>
          </w:p>
          <w:p w14:paraId="6BEBE3E9" w14:textId="77777777" w:rsidR="00764881" w:rsidRPr="000C6806" w:rsidRDefault="00764881" w:rsidP="00E7761D">
            <w:pPr>
              <w:spacing w:after="0"/>
              <w:jc w:val="right"/>
              <w:rPr>
                <w:rFonts w:cs="Segoe UI"/>
                <w:i/>
                <w:sz w:val="16"/>
                <w:szCs w:val="16"/>
              </w:rPr>
            </w:pPr>
            <w:r w:rsidRPr="000C6806">
              <w:rPr>
                <w:rFonts w:cs="Segoe UI"/>
                <w:i/>
                <w:sz w:val="16"/>
                <w:szCs w:val="16"/>
              </w:rPr>
              <w:t>(53)</w:t>
            </w:r>
          </w:p>
        </w:tc>
        <w:tc>
          <w:tcPr>
            <w:tcW w:w="709" w:type="dxa"/>
            <w:vAlign w:val="center"/>
          </w:tcPr>
          <w:p w14:paraId="5393636B" w14:textId="77777777" w:rsidR="00764881" w:rsidRDefault="00764881" w:rsidP="00E7761D">
            <w:pPr>
              <w:spacing w:after="0"/>
              <w:jc w:val="right"/>
              <w:rPr>
                <w:rFonts w:cs="Segoe UI"/>
                <w:i/>
                <w:sz w:val="16"/>
                <w:szCs w:val="16"/>
              </w:rPr>
            </w:pPr>
          </w:p>
          <w:p w14:paraId="5859F0C9" w14:textId="77777777" w:rsidR="00764881" w:rsidRPr="000C6806" w:rsidRDefault="00764881" w:rsidP="00E7761D">
            <w:pPr>
              <w:spacing w:after="0"/>
              <w:jc w:val="right"/>
              <w:rPr>
                <w:rFonts w:cs="Segoe UI"/>
                <w:i/>
                <w:sz w:val="16"/>
                <w:szCs w:val="16"/>
              </w:rPr>
            </w:pPr>
            <w:r w:rsidRPr="000C6806">
              <w:rPr>
                <w:rFonts w:cs="Segoe UI"/>
                <w:i/>
                <w:sz w:val="16"/>
                <w:szCs w:val="16"/>
              </w:rPr>
              <w:t>(21)</w:t>
            </w:r>
          </w:p>
        </w:tc>
        <w:tc>
          <w:tcPr>
            <w:tcW w:w="701" w:type="dxa"/>
            <w:vAlign w:val="center"/>
          </w:tcPr>
          <w:p w14:paraId="0D7744F6" w14:textId="77777777" w:rsidR="00764881" w:rsidRDefault="00764881" w:rsidP="00E7761D">
            <w:pPr>
              <w:spacing w:after="0"/>
              <w:jc w:val="right"/>
              <w:rPr>
                <w:rFonts w:cs="Segoe UI"/>
                <w:i/>
                <w:sz w:val="16"/>
                <w:szCs w:val="16"/>
              </w:rPr>
            </w:pPr>
          </w:p>
          <w:p w14:paraId="339D4119" w14:textId="77777777" w:rsidR="00764881" w:rsidRPr="000C6806" w:rsidRDefault="00764881" w:rsidP="00E7761D">
            <w:pPr>
              <w:spacing w:after="0"/>
              <w:jc w:val="right"/>
              <w:rPr>
                <w:rFonts w:cs="Segoe UI"/>
                <w:i/>
                <w:sz w:val="16"/>
                <w:szCs w:val="16"/>
              </w:rPr>
            </w:pPr>
            <w:r w:rsidRPr="000C6806">
              <w:rPr>
                <w:rFonts w:cs="Segoe UI"/>
                <w:i/>
                <w:sz w:val="16"/>
                <w:szCs w:val="16"/>
              </w:rPr>
              <w:t>(29)</w:t>
            </w:r>
          </w:p>
        </w:tc>
      </w:tr>
      <w:tr w:rsidR="00764881" w:rsidRPr="00B80F0F" w14:paraId="11245078" w14:textId="77777777" w:rsidTr="00E7761D">
        <w:trPr>
          <w:trHeight w:val="283"/>
        </w:trPr>
        <w:tc>
          <w:tcPr>
            <w:tcW w:w="4678" w:type="dxa"/>
            <w:vAlign w:val="center"/>
          </w:tcPr>
          <w:p w14:paraId="038A63F0" w14:textId="77777777" w:rsidR="00764881" w:rsidRPr="00B80F0F" w:rsidRDefault="00764881" w:rsidP="00E7761D">
            <w:pPr>
              <w:spacing w:after="0" w:line="259" w:lineRule="auto"/>
              <w:ind w:right="-114"/>
              <w:jc w:val="left"/>
              <w:rPr>
                <w:rFonts w:cs="Segoe UI"/>
                <w:sz w:val="16"/>
                <w:szCs w:val="16"/>
              </w:rPr>
            </w:pPr>
            <w:r w:rsidRPr="00B80F0F">
              <w:rPr>
                <w:rFonts w:cs="Segoe UI"/>
                <w:sz w:val="16"/>
                <w:szCs w:val="16"/>
              </w:rPr>
              <w:t>Rezerva na realizáciu súdnych a exekučných rozhodnutí (do 2024)</w:t>
            </w:r>
          </w:p>
          <w:p w14:paraId="6F28A9AE" w14:textId="77777777" w:rsidR="00764881" w:rsidRPr="00D81E2E" w:rsidRDefault="00764881" w:rsidP="00E7761D">
            <w:pPr>
              <w:spacing w:after="0"/>
              <w:jc w:val="left"/>
              <w:rPr>
                <w:rFonts w:cs="Segoe UI"/>
                <w:sz w:val="16"/>
                <w:szCs w:val="16"/>
              </w:rPr>
            </w:pPr>
            <w:r w:rsidRPr="00B80F0F">
              <w:rPr>
                <w:rFonts w:cs="Segoe UI"/>
                <w:i/>
                <w:sz w:val="16"/>
                <w:szCs w:val="16"/>
              </w:rPr>
              <w:t>Výdavky na realizáciu súdnych a exekučných  rozhodnutí (od 2025)</w:t>
            </w:r>
          </w:p>
        </w:tc>
        <w:tc>
          <w:tcPr>
            <w:tcW w:w="709" w:type="dxa"/>
            <w:vAlign w:val="center"/>
          </w:tcPr>
          <w:p w14:paraId="06025A98" w14:textId="77777777" w:rsidR="00764881" w:rsidRDefault="00764881" w:rsidP="00E7761D">
            <w:pPr>
              <w:spacing w:after="0"/>
              <w:jc w:val="right"/>
              <w:rPr>
                <w:rFonts w:cs="Segoe UI"/>
                <w:sz w:val="16"/>
                <w:szCs w:val="16"/>
              </w:rPr>
            </w:pPr>
            <w:r>
              <w:rPr>
                <w:rFonts w:cs="Segoe UI"/>
                <w:sz w:val="16"/>
                <w:szCs w:val="16"/>
              </w:rPr>
              <w:t>0</w:t>
            </w:r>
          </w:p>
          <w:p w14:paraId="235A3FBA" w14:textId="77777777" w:rsidR="00764881" w:rsidRPr="00D81E2E" w:rsidRDefault="00764881" w:rsidP="00E7761D">
            <w:pPr>
              <w:spacing w:after="0"/>
              <w:jc w:val="right"/>
              <w:rPr>
                <w:rFonts w:cs="Segoe UI"/>
                <w:sz w:val="16"/>
                <w:szCs w:val="16"/>
              </w:rPr>
            </w:pPr>
          </w:p>
        </w:tc>
        <w:tc>
          <w:tcPr>
            <w:tcW w:w="709" w:type="dxa"/>
            <w:vAlign w:val="center"/>
          </w:tcPr>
          <w:p w14:paraId="584B997C" w14:textId="77777777" w:rsidR="00764881" w:rsidRDefault="00764881" w:rsidP="00E7761D">
            <w:pPr>
              <w:spacing w:after="0"/>
              <w:jc w:val="right"/>
              <w:rPr>
                <w:rFonts w:cs="Segoe UI"/>
                <w:sz w:val="16"/>
                <w:szCs w:val="16"/>
              </w:rPr>
            </w:pPr>
            <w:r>
              <w:rPr>
                <w:rFonts w:cs="Segoe UI"/>
                <w:sz w:val="16"/>
                <w:szCs w:val="16"/>
              </w:rPr>
              <w:t>10</w:t>
            </w:r>
          </w:p>
          <w:p w14:paraId="674C1EDC" w14:textId="77777777" w:rsidR="00764881" w:rsidRPr="00D81E2E" w:rsidRDefault="00764881" w:rsidP="00E7761D">
            <w:pPr>
              <w:spacing w:after="0"/>
              <w:jc w:val="right"/>
              <w:rPr>
                <w:rFonts w:cs="Segoe UI"/>
                <w:sz w:val="16"/>
                <w:szCs w:val="16"/>
              </w:rPr>
            </w:pPr>
          </w:p>
        </w:tc>
        <w:tc>
          <w:tcPr>
            <w:tcW w:w="845" w:type="dxa"/>
            <w:vAlign w:val="center"/>
          </w:tcPr>
          <w:p w14:paraId="6E48BE94" w14:textId="77777777" w:rsidR="00764881" w:rsidRDefault="00764881" w:rsidP="00E7761D">
            <w:pPr>
              <w:spacing w:after="0"/>
              <w:jc w:val="right"/>
              <w:rPr>
                <w:rFonts w:cs="Segoe UI"/>
                <w:sz w:val="16"/>
                <w:szCs w:val="16"/>
              </w:rPr>
            </w:pPr>
            <w:r>
              <w:rPr>
                <w:rFonts w:cs="Segoe UI"/>
                <w:sz w:val="16"/>
                <w:szCs w:val="16"/>
              </w:rPr>
              <w:t>8</w:t>
            </w:r>
          </w:p>
          <w:p w14:paraId="77C419BD" w14:textId="77777777" w:rsidR="00764881" w:rsidRPr="00D81E2E" w:rsidRDefault="00764881" w:rsidP="00E7761D">
            <w:pPr>
              <w:spacing w:after="0"/>
              <w:jc w:val="right"/>
              <w:rPr>
                <w:rFonts w:cs="Segoe UI"/>
                <w:sz w:val="16"/>
                <w:szCs w:val="16"/>
              </w:rPr>
            </w:pPr>
          </w:p>
        </w:tc>
        <w:tc>
          <w:tcPr>
            <w:tcW w:w="709" w:type="dxa"/>
            <w:vAlign w:val="center"/>
          </w:tcPr>
          <w:p w14:paraId="391C701B" w14:textId="77777777" w:rsidR="00764881" w:rsidRDefault="00764881" w:rsidP="00E7761D">
            <w:pPr>
              <w:spacing w:after="0"/>
              <w:jc w:val="right"/>
              <w:rPr>
                <w:rFonts w:cs="Segoe UI"/>
                <w:i/>
                <w:sz w:val="16"/>
                <w:szCs w:val="16"/>
              </w:rPr>
            </w:pPr>
          </w:p>
          <w:p w14:paraId="13058CCF" w14:textId="77777777" w:rsidR="00764881" w:rsidRPr="000C6806" w:rsidRDefault="00764881" w:rsidP="00E7761D">
            <w:pPr>
              <w:spacing w:after="0"/>
              <w:jc w:val="right"/>
              <w:rPr>
                <w:rFonts w:cs="Segoe UI"/>
                <w:i/>
                <w:sz w:val="16"/>
                <w:szCs w:val="16"/>
              </w:rPr>
            </w:pPr>
            <w:r w:rsidRPr="000C6806">
              <w:rPr>
                <w:rFonts w:cs="Segoe UI"/>
                <w:i/>
                <w:sz w:val="16"/>
                <w:szCs w:val="16"/>
              </w:rPr>
              <w:t>(10)</w:t>
            </w:r>
          </w:p>
        </w:tc>
        <w:tc>
          <w:tcPr>
            <w:tcW w:w="709" w:type="dxa"/>
            <w:vAlign w:val="center"/>
          </w:tcPr>
          <w:p w14:paraId="56F7A23C" w14:textId="77777777" w:rsidR="00764881" w:rsidRDefault="00764881" w:rsidP="00E7761D">
            <w:pPr>
              <w:spacing w:after="0"/>
              <w:jc w:val="right"/>
              <w:rPr>
                <w:rFonts w:cs="Segoe UI"/>
                <w:i/>
                <w:sz w:val="16"/>
                <w:szCs w:val="16"/>
              </w:rPr>
            </w:pPr>
          </w:p>
          <w:p w14:paraId="7517CB1C" w14:textId="77777777" w:rsidR="00764881" w:rsidRPr="000C6806" w:rsidRDefault="00764881" w:rsidP="00E7761D">
            <w:pPr>
              <w:spacing w:after="0"/>
              <w:jc w:val="right"/>
              <w:rPr>
                <w:rFonts w:cs="Segoe UI"/>
                <w:i/>
                <w:sz w:val="16"/>
                <w:szCs w:val="16"/>
              </w:rPr>
            </w:pPr>
            <w:r w:rsidRPr="000C6806">
              <w:rPr>
                <w:rFonts w:cs="Segoe UI"/>
                <w:i/>
                <w:sz w:val="16"/>
                <w:szCs w:val="16"/>
              </w:rPr>
              <w:t>(10)</w:t>
            </w:r>
          </w:p>
        </w:tc>
        <w:tc>
          <w:tcPr>
            <w:tcW w:w="701" w:type="dxa"/>
            <w:vAlign w:val="center"/>
          </w:tcPr>
          <w:p w14:paraId="2CD7DFEB" w14:textId="77777777" w:rsidR="00764881" w:rsidRDefault="00764881" w:rsidP="00E7761D">
            <w:pPr>
              <w:spacing w:after="0"/>
              <w:jc w:val="right"/>
              <w:rPr>
                <w:rFonts w:cs="Segoe UI"/>
                <w:i/>
                <w:sz w:val="16"/>
                <w:szCs w:val="16"/>
              </w:rPr>
            </w:pPr>
          </w:p>
          <w:p w14:paraId="70B5FFD4" w14:textId="77777777" w:rsidR="00764881" w:rsidRPr="000C6806" w:rsidRDefault="00764881" w:rsidP="00E7761D">
            <w:pPr>
              <w:spacing w:after="0"/>
              <w:jc w:val="right"/>
              <w:rPr>
                <w:rFonts w:cs="Segoe UI"/>
                <w:i/>
                <w:sz w:val="16"/>
                <w:szCs w:val="16"/>
              </w:rPr>
            </w:pPr>
            <w:r w:rsidRPr="000C6806">
              <w:rPr>
                <w:rFonts w:cs="Segoe UI"/>
                <w:i/>
                <w:sz w:val="16"/>
                <w:szCs w:val="16"/>
              </w:rPr>
              <w:t>(10)</w:t>
            </w:r>
          </w:p>
        </w:tc>
      </w:tr>
      <w:tr w:rsidR="00764881" w:rsidRPr="00B80F0F" w14:paraId="4E2798C2" w14:textId="77777777" w:rsidTr="00E7761D">
        <w:trPr>
          <w:trHeight w:val="283"/>
        </w:trPr>
        <w:tc>
          <w:tcPr>
            <w:tcW w:w="4678" w:type="dxa"/>
            <w:vAlign w:val="center"/>
          </w:tcPr>
          <w:p w14:paraId="392FC72A" w14:textId="77777777" w:rsidR="00764881" w:rsidRPr="00B80F0F" w:rsidRDefault="00764881" w:rsidP="00E7761D">
            <w:pPr>
              <w:spacing w:after="0" w:line="259" w:lineRule="auto"/>
              <w:ind w:right="-114"/>
              <w:jc w:val="left"/>
              <w:rPr>
                <w:rFonts w:cs="Segoe UI"/>
                <w:sz w:val="16"/>
                <w:szCs w:val="16"/>
              </w:rPr>
            </w:pPr>
            <w:r w:rsidRPr="00B80F0F">
              <w:rPr>
                <w:rFonts w:cs="Segoe UI"/>
                <w:sz w:val="16"/>
                <w:szCs w:val="16"/>
              </w:rPr>
              <w:t>Rezerva na mzdy a poistné (do 2024)</w:t>
            </w:r>
          </w:p>
          <w:p w14:paraId="78F8593E" w14:textId="77777777" w:rsidR="00764881" w:rsidRPr="00D81E2E" w:rsidRDefault="00764881" w:rsidP="00E7761D">
            <w:pPr>
              <w:spacing w:after="0"/>
              <w:jc w:val="left"/>
              <w:rPr>
                <w:rFonts w:cs="Segoe UI"/>
                <w:sz w:val="16"/>
                <w:szCs w:val="16"/>
              </w:rPr>
            </w:pPr>
            <w:r w:rsidRPr="00B80F0F">
              <w:rPr>
                <w:rFonts w:cs="Segoe UI"/>
                <w:i/>
                <w:sz w:val="16"/>
                <w:szCs w:val="16"/>
              </w:rPr>
              <w:t xml:space="preserve">Výdavky na mzdy a poistné (od 2025) </w:t>
            </w:r>
          </w:p>
        </w:tc>
        <w:tc>
          <w:tcPr>
            <w:tcW w:w="709" w:type="dxa"/>
            <w:vAlign w:val="center"/>
          </w:tcPr>
          <w:p w14:paraId="6A848832" w14:textId="77777777" w:rsidR="00764881" w:rsidRDefault="00764881" w:rsidP="00E7761D">
            <w:pPr>
              <w:spacing w:after="0"/>
              <w:jc w:val="right"/>
              <w:rPr>
                <w:rFonts w:cs="Segoe UI"/>
                <w:sz w:val="16"/>
                <w:szCs w:val="16"/>
              </w:rPr>
            </w:pPr>
            <w:r>
              <w:rPr>
                <w:rFonts w:cs="Segoe UI"/>
                <w:sz w:val="16"/>
                <w:szCs w:val="16"/>
              </w:rPr>
              <w:t>0</w:t>
            </w:r>
          </w:p>
          <w:p w14:paraId="7969DCEC" w14:textId="77777777" w:rsidR="00764881" w:rsidRPr="00D81E2E" w:rsidRDefault="00764881" w:rsidP="00E7761D">
            <w:pPr>
              <w:spacing w:after="0"/>
              <w:jc w:val="right"/>
              <w:rPr>
                <w:rFonts w:cs="Segoe UI"/>
                <w:sz w:val="16"/>
                <w:szCs w:val="16"/>
              </w:rPr>
            </w:pPr>
          </w:p>
        </w:tc>
        <w:tc>
          <w:tcPr>
            <w:tcW w:w="709" w:type="dxa"/>
            <w:vAlign w:val="center"/>
          </w:tcPr>
          <w:p w14:paraId="6D4D461D" w14:textId="77777777" w:rsidR="00764881" w:rsidRDefault="00764881" w:rsidP="00E7761D">
            <w:pPr>
              <w:spacing w:after="0"/>
              <w:jc w:val="right"/>
              <w:rPr>
                <w:rFonts w:cs="Segoe UI"/>
                <w:sz w:val="16"/>
                <w:szCs w:val="16"/>
              </w:rPr>
            </w:pPr>
            <w:r>
              <w:rPr>
                <w:rFonts w:cs="Segoe UI"/>
                <w:sz w:val="16"/>
                <w:szCs w:val="16"/>
              </w:rPr>
              <w:t>175</w:t>
            </w:r>
          </w:p>
          <w:p w14:paraId="4887B474" w14:textId="77777777" w:rsidR="00764881" w:rsidRPr="00D81E2E" w:rsidRDefault="00764881" w:rsidP="00E7761D">
            <w:pPr>
              <w:spacing w:after="0"/>
              <w:jc w:val="right"/>
              <w:rPr>
                <w:rFonts w:cs="Segoe UI"/>
                <w:sz w:val="16"/>
                <w:szCs w:val="16"/>
              </w:rPr>
            </w:pPr>
          </w:p>
        </w:tc>
        <w:tc>
          <w:tcPr>
            <w:tcW w:w="845" w:type="dxa"/>
            <w:vAlign w:val="center"/>
          </w:tcPr>
          <w:p w14:paraId="1922B1F7" w14:textId="77777777" w:rsidR="00764881" w:rsidRDefault="00764881" w:rsidP="00E7761D">
            <w:pPr>
              <w:spacing w:after="0"/>
              <w:jc w:val="right"/>
              <w:rPr>
                <w:rFonts w:cs="Segoe UI"/>
                <w:sz w:val="16"/>
                <w:szCs w:val="16"/>
              </w:rPr>
            </w:pPr>
            <w:r>
              <w:rPr>
                <w:rFonts w:cs="Segoe UI"/>
                <w:sz w:val="16"/>
                <w:szCs w:val="16"/>
              </w:rPr>
              <w:t>72</w:t>
            </w:r>
          </w:p>
          <w:p w14:paraId="631212D1" w14:textId="77777777" w:rsidR="00764881" w:rsidRPr="00D81E2E" w:rsidRDefault="00764881" w:rsidP="00E7761D">
            <w:pPr>
              <w:spacing w:after="0"/>
              <w:jc w:val="right"/>
              <w:rPr>
                <w:rFonts w:cs="Segoe UI"/>
                <w:sz w:val="16"/>
                <w:szCs w:val="16"/>
              </w:rPr>
            </w:pPr>
          </w:p>
        </w:tc>
        <w:tc>
          <w:tcPr>
            <w:tcW w:w="709" w:type="dxa"/>
            <w:vAlign w:val="center"/>
          </w:tcPr>
          <w:p w14:paraId="4768BDB5" w14:textId="77777777" w:rsidR="00764881" w:rsidRDefault="00764881" w:rsidP="00E7761D">
            <w:pPr>
              <w:spacing w:after="0"/>
              <w:jc w:val="right"/>
              <w:rPr>
                <w:rFonts w:cs="Segoe UI"/>
                <w:i/>
                <w:sz w:val="16"/>
                <w:szCs w:val="16"/>
              </w:rPr>
            </w:pPr>
          </w:p>
          <w:p w14:paraId="1842A42B" w14:textId="77777777" w:rsidR="00764881" w:rsidRPr="000C6806" w:rsidRDefault="00764881" w:rsidP="00E7761D">
            <w:pPr>
              <w:spacing w:after="0"/>
              <w:jc w:val="right"/>
              <w:rPr>
                <w:rFonts w:cs="Segoe UI"/>
                <w:i/>
                <w:sz w:val="16"/>
                <w:szCs w:val="16"/>
              </w:rPr>
            </w:pPr>
            <w:r w:rsidRPr="000C6806">
              <w:rPr>
                <w:rFonts w:cs="Segoe UI"/>
                <w:i/>
                <w:sz w:val="16"/>
                <w:szCs w:val="16"/>
              </w:rPr>
              <w:t>(525)</w:t>
            </w:r>
          </w:p>
        </w:tc>
        <w:tc>
          <w:tcPr>
            <w:tcW w:w="709" w:type="dxa"/>
            <w:vAlign w:val="center"/>
          </w:tcPr>
          <w:p w14:paraId="4FA0D02D" w14:textId="77777777" w:rsidR="00764881" w:rsidRDefault="00764881" w:rsidP="00E7761D">
            <w:pPr>
              <w:spacing w:after="0"/>
              <w:jc w:val="right"/>
              <w:rPr>
                <w:rFonts w:cs="Segoe UI"/>
                <w:i/>
                <w:sz w:val="16"/>
                <w:szCs w:val="16"/>
              </w:rPr>
            </w:pPr>
          </w:p>
          <w:p w14:paraId="675F1DEB" w14:textId="77777777" w:rsidR="00764881" w:rsidRPr="000C6806" w:rsidRDefault="00764881" w:rsidP="00E7761D">
            <w:pPr>
              <w:spacing w:after="0"/>
              <w:jc w:val="right"/>
              <w:rPr>
                <w:rFonts w:cs="Segoe UI"/>
                <w:i/>
                <w:sz w:val="16"/>
                <w:szCs w:val="16"/>
              </w:rPr>
            </w:pPr>
            <w:r w:rsidRPr="000C6806">
              <w:rPr>
                <w:rFonts w:cs="Segoe UI"/>
                <w:i/>
                <w:sz w:val="16"/>
                <w:szCs w:val="16"/>
              </w:rPr>
              <w:t>(515)</w:t>
            </w:r>
          </w:p>
        </w:tc>
        <w:tc>
          <w:tcPr>
            <w:tcW w:w="701" w:type="dxa"/>
            <w:vAlign w:val="center"/>
          </w:tcPr>
          <w:p w14:paraId="470BBCD4" w14:textId="77777777" w:rsidR="00764881" w:rsidRDefault="00764881" w:rsidP="00E7761D">
            <w:pPr>
              <w:spacing w:after="0"/>
              <w:jc w:val="right"/>
              <w:rPr>
                <w:rFonts w:cs="Segoe UI"/>
                <w:i/>
                <w:sz w:val="16"/>
                <w:szCs w:val="16"/>
              </w:rPr>
            </w:pPr>
          </w:p>
          <w:p w14:paraId="2857DF8B" w14:textId="77777777" w:rsidR="00764881" w:rsidRPr="000C6806" w:rsidRDefault="00764881" w:rsidP="00E7761D">
            <w:pPr>
              <w:spacing w:after="0"/>
              <w:jc w:val="right"/>
              <w:rPr>
                <w:rFonts w:cs="Segoe UI"/>
                <w:i/>
                <w:sz w:val="16"/>
                <w:szCs w:val="16"/>
              </w:rPr>
            </w:pPr>
            <w:r w:rsidRPr="000C6806">
              <w:rPr>
                <w:rFonts w:cs="Segoe UI"/>
                <w:i/>
                <w:sz w:val="16"/>
                <w:szCs w:val="16"/>
              </w:rPr>
              <w:t>(777)</w:t>
            </w:r>
          </w:p>
        </w:tc>
      </w:tr>
      <w:tr w:rsidR="00764881" w:rsidRPr="00B80F0F" w14:paraId="3C5561A6" w14:textId="77777777" w:rsidTr="00E7761D">
        <w:trPr>
          <w:trHeight w:val="283"/>
        </w:trPr>
        <w:tc>
          <w:tcPr>
            <w:tcW w:w="4678" w:type="dxa"/>
            <w:vAlign w:val="center"/>
          </w:tcPr>
          <w:p w14:paraId="601C2C55" w14:textId="77777777" w:rsidR="00764881" w:rsidRPr="00B80F0F" w:rsidRDefault="00764881" w:rsidP="00E7761D">
            <w:pPr>
              <w:spacing w:after="0" w:line="259" w:lineRule="auto"/>
              <w:ind w:right="-114"/>
              <w:jc w:val="left"/>
              <w:rPr>
                <w:rFonts w:cs="Segoe UI"/>
                <w:sz w:val="16"/>
                <w:szCs w:val="16"/>
              </w:rPr>
            </w:pPr>
            <w:r w:rsidRPr="00B80F0F">
              <w:rPr>
                <w:rFonts w:cs="Segoe UI"/>
                <w:sz w:val="16"/>
                <w:szCs w:val="16"/>
              </w:rPr>
              <w:t>Rezerva na kompenzačné opatrenia súvisiace s rastom cien energií (do 2024)</w:t>
            </w:r>
          </w:p>
          <w:p w14:paraId="33DD9B43" w14:textId="77777777" w:rsidR="00764881" w:rsidRPr="00D81E2E" w:rsidRDefault="00764881" w:rsidP="00E7761D">
            <w:pPr>
              <w:spacing w:after="0"/>
              <w:jc w:val="left"/>
              <w:rPr>
                <w:rFonts w:cs="Segoe UI"/>
                <w:sz w:val="16"/>
                <w:szCs w:val="16"/>
              </w:rPr>
            </w:pPr>
            <w:r w:rsidRPr="00B80F0F">
              <w:rPr>
                <w:rFonts w:cs="Segoe UI"/>
                <w:i/>
                <w:sz w:val="16"/>
                <w:szCs w:val="16"/>
              </w:rPr>
              <w:t xml:space="preserve">Výdavky na kompenzačné opatrenia súvisiace s rastom cien energií (od 2025) </w:t>
            </w:r>
          </w:p>
        </w:tc>
        <w:tc>
          <w:tcPr>
            <w:tcW w:w="709" w:type="dxa"/>
            <w:vAlign w:val="center"/>
          </w:tcPr>
          <w:p w14:paraId="579A1FC5" w14:textId="77777777" w:rsidR="00764881" w:rsidRDefault="00764881" w:rsidP="00E7761D">
            <w:pPr>
              <w:spacing w:after="0"/>
              <w:jc w:val="right"/>
              <w:rPr>
                <w:rFonts w:cs="Segoe UI"/>
                <w:sz w:val="16"/>
                <w:szCs w:val="16"/>
              </w:rPr>
            </w:pPr>
            <w:r>
              <w:rPr>
                <w:rFonts w:cs="Segoe UI"/>
                <w:sz w:val="16"/>
                <w:szCs w:val="16"/>
              </w:rPr>
              <w:t>0</w:t>
            </w:r>
          </w:p>
          <w:p w14:paraId="4EC1BEE1" w14:textId="77777777" w:rsidR="00764881" w:rsidRPr="00D81E2E" w:rsidRDefault="00764881" w:rsidP="00E7761D">
            <w:pPr>
              <w:spacing w:after="0"/>
              <w:jc w:val="right"/>
              <w:rPr>
                <w:rFonts w:cs="Segoe UI"/>
                <w:sz w:val="16"/>
                <w:szCs w:val="16"/>
              </w:rPr>
            </w:pPr>
          </w:p>
        </w:tc>
        <w:tc>
          <w:tcPr>
            <w:tcW w:w="709" w:type="dxa"/>
            <w:vAlign w:val="center"/>
          </w:tcPr>
          <w:p w14:paraId="79C4904E" w14:textId="77777777" w:rsidR="00764881" w:rsidRDefault="00764881" w:rsidP="00E7761D">
            <w:pPr>
              <w:spacing w:after="0"/>
              <w:jc w:val="right"/>
              <w:rPr>
                <w:rFonts w:cs="Segoe UI"/>
                <w:sz w:val="16"/>
                <w:szCs w:val="16"/>
              </w:rPr>
            </w:pPr>
            <w:r>
              <w:rPr>
                <w:rFonts w:cs="Segoe UI"/>
                <w:sz w:val="16"/>
                <w:szCs w:val="16"/>
              </w:rPr>
              <w:t>800</w:t>
            </w:r>
          </w:p>
          <w:p w14:paraId="04E106FC" w14:textId="77777777" w:rsidR="00764881" w:rsidRPr="00D81E2E" w:rsidRDefault="00764881" w:rsidP="00E7761D">
            <w:pPr>
              <w:spacing w:after="0"/>
              <w:jc w:val="right"/>
              <w:rPr>
                <w:rFonts w:cs="Segoe UI"/>
                <w:sz w:val="16"/>
                <w:szCs w:val="16"/>
              </w:rPr>
            </w:pPr>
          </w:p>
        </w:tc>
        <w:tc>
          <w:tcPr>
            <w:tcW w:w="845" w:type="dxa"/>
            <w:vAlign w:val="center"/>
          </w:tcPr>
          <w:p w14:paraId="47D5B4C2" w14:textId="77777777" w:rsidR="00764881" w:rsidRDefault="00764881" w:rsidP="00E7761D">
            <w:pPr>
              <w:spacing w:after="0"/>
              <w:jc w:val="right"/>
              <w:rPr>
                <w:rFonts w:cs="Segoe UI"/>
                <w:sz w:val="16"/>
                <w:szCs w:val="16"/>
              </w:rPr>
            </w:pPr>
            <w:r>
              <w:rPr>
                <w:rFonts w:cs="Segoe UI"/>
                <w:sz w:val="16"/>
                <w:szCs w:val="16"/>
              </w:rPr>
              <w:t>0</w:t>
            </w:r>
          </w:p>
          <w:p w14:paraId="6C844DB1" w14:textId="77777777" w:rsidR="00764881" w:rsidRPr="00D81E2E" w:rsidRDefault="00764881" w:rsidP="00E7761D">
            <w:pPr>
              <w:spacing w:after="0"/>
              <w:jc w:val="right"/>
              <w:rPr>
                <w:rFonts w:cs="Segoe UI"/>
                <w:sz w:val="16"/>
                <w:szCs w:val="16"/>
              </w:rPr>
            </w:pPr>
          </w:p>
        </w:tc>
        <w:tc>
          <w:tcPr>
            <w:tcW w:w="709" w:type="dxa"/>
            <w:vAlign w:val="center"/>
          </w:tcPr>
          <w:p w14:paraId="2AA569A0" w14:textId="77777777" w:rsidR="00764881" w:rsidRDefault="00764881" w:rsidP="00E7761D">
            <w:pPr>
              <w:spacing w:after="0"/>
              <w:jc w:val="right"/>
              <w:rPr>
                <w:rFonts w:cs="Segoe UI"/>
                <w:i/>
                <w:sz w:val="16"/>
                <w:szCs w:val="16"/>
              </w:rPr>
            </w:pPr>
          </w:p>
          <w:p w14:paraId="26D1EF60" w14:textId="77777777" w:rsidR="00764881" w:rsidRPr="000C6806" w:rsidRDefault="00764881" w:rsidP="00E7761D">
            <w:pPr>
              <w:spacing w:after="0"/>
              <w:jc w:val="right"/>
              <w:rPr>
                <w:rFonts w:cs="Segoe UI"/>
                <w:i/>
                <w:sz w:val="16"/>
                <w:szCs w:val="16"/>
              </w:rPr>
            </w:pPr>
            <w:r w:rsidRPr="000C6806">
              <w:rPr>
                <w:rFonts w:cs="Segoe UI"/>
                <w:i/>
                <w:sz w:val="16"/>
                <w:szCs w:val="16"/>
              </w:rPr>
              <w:t>(235)</w:t>
            </w:r>
          </w:p>
        </w:tc>
        <w:tc>
          <w:tcPr>
            <w:tcW w:w="709" w:type="dxa"/>
            <w:vAlign w:val="center"/>
          </w:tcPr>
          <w:p w14:paraId="5ED8FDF4" w14:textId="77777777" w:rsidR="00764881" w:rsidRDefault="00764881" w:rsidP="00E7761D">
            <w:pPr>
              <w:spacing w:after="0"/>
              <w:jc w:val="right"/>
              <w:rPr>
                <w:rFonts w:cs="Segoe UI"/>
                <w:sz w:val="16"/>
                <w:szCs w:val="16"/>
              </w:rPr>
            </w:pPr>
          </w:p>
          <w:p w14:paraId="45936FCD" w14:textId="77777777" w:rsidR="00764881" w:rsidRPr="00D81E2E" w:rsidRDefault="00764881" w:rsidP="00E7761D">
            <w:pPr>
              <w:spacing w:after="0"/>
              <w:jc w:val="right"/>
              <w:rPr>
                <w:rFonts w:cs="Segoe UI"/>
                <w:sz w:val="16"/>
                <w:szCs w:val="16"/>
              </w:rPr>
            </w:pPr>
            <w:r>
              <w:rPr>
                <w:rFonts w:cs="Segoe UI"/>
                <w:sz w:val="16"/>
                <w:szCs w:val="16"/>
              </w:rPr>
              <w:t>0</w:t>
            </w:r>
          </w:p>
        </w:tc>
        <w:tc>
          <w:tcPr>
            <w:tcW w:w="701" w:type="dxa"/>
            <w:vAlign w:val="center"/>
          </w:tcPr>
          <w:p w14:paraId="4434F678" w14:textId="77777777" w:rsidR="00764881" w:rsidRDefault="00764881" w:rsidP="00E7761D">
            <w:pPr>
              <w:spacing w:after="0"/>
              <w:jc w:val="right"/>
              <w:rPr>
                <w:rFonts w:cs="Segoe UI"/>
                <w:sz w:val="16"/>
                <w:szCs w:val="16"/>
              </w:rPr>
            </w:pPr>
          </w:p>
          <w:p w14:paraId="3EE0421E" w14:textId="77777777" w:rsidR="00764881" w:rsidRPr="00D81E2E" w:rsidRDefault="00764881" w:rsidP="00E7761D">
            <w:pPr>
              <w:spacing w:after="0"/>
              <w:jc w:val="right"/>
              <w:rPr>
                <w:rFonts w:cs="Segoe UI"/>
                <w:sz w:val="16"/>
                <w:szCs w:val="16"/>
              </w:rPr>
            </w:pPr>
            <w:r>
              <w:rPr>
                <w:rFonts w:cs="Segoe UI"/>
                <w:sz w:val="16"/>
                <w:szCs w:val="16"/>
              </w:rPr>
              <w:t>0</w:t>
            </w:r>
          </w:p>
        </w:tc>
      </w:tr>
      <w:tr w:rsidR="00764881" w:rsidRPr="00B80F0F" w14:paraId="1FD7170E" w14:textId="77777777" w:rsidTr="00E7761D">
        <w:trPr>
          <w:trHeight w:val="283"/>
        </w:trPr>
        <w:tc>
          <w:tcPr>
            <w:tcW w:w="4678" w:type="dxa"/>
            <w:vAlign w:val="center"/>
          </w:tcPr>
          <w:p w14:paraId="328FF499" w14:textId="77777777" w:rsidR="00764881" w:rsidRPr="00B80F0F" w:rsidRDefault="00764881" w:rsidP="00E7761D">
            <w:pPr>
              <w:spacing w:after="0" w:line="259" w:lineRule="auto"/>
              <w:ind w:right="-114"/>
              <w:jc w:val="left"/>
              <w:rPr>
                <w:rFonts w:cs="Segoe UI"/>
                <w:b/>
                <w:sz w:val="16"/>
                <w:szCs w:val="16"/>
              </w:rPr>
            </w:pPr>
            <w:r w:rsidRPr="00B80F0F">
              <w:rPr>
                <w:rFonts w:cs="Segoe UI"/>
                <w:b/>
                <w:sz w:val="16"/>
                <w:szCs w:val="16"/>
              </w:rPr>
              <w:t>Spolu</w:t>
            </w:r>
          </w:p>
          <w:p w14:paraId="57A75C82" w14:textId="77777777" w:rsidR="00764881" w:rsidRPr="00D81E2E" w:rsidRDefault="00764881" w:rsidP="00E7761D">
            <w:pPr>
              <w:spacing w:after="0"/>
              <w:jc w:val="left"/>
              <w:rPr>
                <w:rFonts w:cs="Segoe UI"/>
                <w:sz w:val="16"/>
                <w:szCs w:val="16"/>
              </w:rPr>
            </w:pPr>
            <w:r w:rsidRPr="00B80F0F">
              <w:rPr>
                <w:rFonts w:cs="Segoe UI"/>
                <w:b/>
                <w:i/>
                <w:sz w:val="16"/>
                <w:szCs w:val="16"/>
              </w:rPr>
              <w:t>Spolu rezervy a príslušné ostatné výdavky</w:t>
            </w:r>
          </w:p>
        </w:tc>
        <w:tc>
          <w:tcPr>
            <w:tcW w:w="709" w:type="dxa"/>
            <w:vAlign w:val="center"/>
          </w:tcPr>
          <w:p w14:paraId="4A94D9A4" w14:textId="77777777" w:rsidR="00764881" w:rsidRDefault="00764881" w:rsidP="00E7761D">
            <w:pPr>
              <w:spacing w:after="0"/>
              <w:jc w:val="right"/>
              <w:rPr>
                <w:rFonts w:cs="Segoe UI"/>
                <w:sz w:val="16"/>
                <w:szCs w:val="16"/>
              </w:rPr>
            </w:pPr>
            <w:r>
              <w:rPr>
                <w:rFonts w:cs="Segoe UI"/>
                <w:sz w:val="16"/>
                <w:szCs w:val="16"/>
              </w:rPr>
              <w:t>16</w:t>
            </w:r>
          </w:p>
          <w:p w14:paraId="4B6E506E" w14:textId="77777777" w:rsidR="00764881" w:rsidRPr="00D81E2E" w:rsidRDefault="00764881" w:rsidP="00E7761D">
            <w:pPr>
              <w:spacing w:after="0"/>
              <w:jc w:val="right"/>
              <w:rPr>
                <w:rFonts w:cs="Segoe UI"/>
                <w:sz w:val="16"/>
                <w:szCs w:val="16"/>
              </w:rPr>
            </w:pPr>
          </w:p>
        </w:tc>
        <w:tc>
          <w:tcPr>
            <w:tcW w:w="709" w:type="dxa"/>
            <w:vAlign w:val="center"/>
          </w:tcPr>
          <w:p w14:paraId="62105C5B" w14:textId="77777777" w:rsidR="00764881" w:rsidRDefault="00764881" w:rsidP="00E7761D">
            <w:pPr>
              <w:spacing w:after="0"/>
              <w:jc w:val="right"/>
              <w:rPr>
                <w:rFonts w:cs="Segoe UI"/>
                <w:sz w:val="16"/>
                <w:szCs w:val="16"/>
              </w:rPr>
            </w:pPr>
            <w:r>
              <w:rPr>
                <w:rFonts w:cs="Segoe UI"/>
                <w:sz w:val="16"/>
                <w:szCs w:val="16"/>
              </w:rPr>
              <w:t>2 493</w:t>
            </w:r>
          </w:p>
          <w:p w14:paraId="28B40B71" w14:textId="77777777" w:rsidR="00764881" w:rsidRPr="00D81E2E" w:rsidRDefault="00764881" w:rsidP="00E7761D">
            <w:pPr>
              <w:spacing w:after="0"/>
              <w:jc w:val="right"/>
              <w:rPr>
                <w:rFonts w:cs="Segoe UI"/>
                <w:sz w:val="16"/>
                <w:szCs w:val="16"/>
              </w:rPr>
            </w:pPr>
          </w:p>
        </w:tc>
        <w:tc>
          <w:tcPr>
            <w:tcW w:w="845" w:type="dxa"/>
            <w:vAlign w:val="center"/>
          </w:tcPr>
          <w:p w14:paraId="1E27B59C" w14:textId="77777777" w:rsidR="00764881" w:rsidRDefault="00764881" w:rsidP="00E7761D">
            <w:pPr>
              <w:spacing w:after="0"/>
              <w:jc w:val="right"/>
              <w:rPr>
                <w:rFonts w:cs="Segoe UI"/>
                <w:sz w:val="16"/>
                <w:szCs w:val="16"/>
              </w:rPr>
            </w:pPr>
            <w:r>
              <w:rPr>
                <w:rFonts w:cs="Segoe UI"/>
                <w:sz w:val="16"/>
                <w:szCs w:val="16"/>
              </w:rPr>
              <w:t>118</w:t>
            </w:r>
          </w:p>
          <w:p w14:paraId="746EE70D" w14:textId="77777777" w:rsidR="00764881" w:rsidRPr="00D81E2E" w:rsidRDefault="00764881" w:rsidP="00E7761D">
            <w:pPr>
              <w:spacing w:after="0"/>
              <w:jc w:val="right"/>
              <w:rPr>
                <w:rFonts w:cs="Segoe UI"/>
                <w:sz w:val="16"/>
                <w:szCs w:val="16"/>
              </w:rPr>
            </w:pPr>
          </w:p>
        </w:tc>
        <w:tc>
          <w:tcPr>
            <w:tcW w:w="709" w:type="dxa"/>
            <w:vAlign w:val="center"/>
          </w:tcPr>
          <w:p w14:paraId="5DA2E591" w14:textId="77777777" w:rsidR="00764881" w:rsidRDefault="00764881" w:rsidP="00E7761D">
            <w:pPr>
              <w:spacing w:after="0"/>
              <w:jc w:val="right"/>
              <w:rPr>
                <w:rFonts w:cs="Segoe UI"/>
                <w:sz w:val="16"/>
                <w:szCs w:val="16"/>
              </w:rPr>
            </w:pPr>
            <w:r>
              <w:rPr>
                <w:rFonts w:cs="Segoe UI"/>
                <w:sz w:val="16"/>
                <w:szCs w:val="16"/>
              </w:rPr>
              <w:t>456</w:t>
            </w:r>
          </w:p>
          <w:p w14:paraId="4D4DD1A7" w14:textId="77777777" w:rsidR="00764881" w:rsidRPr="000C6806" w:rsidRDefault="00764881" w:rsidP="00E7761D">
            <w:pPr>
              <w:spacing w:after="0"/>
              <w:jc w:val="right"/>
              <w:rPr>
                <w:rFonts w:cs="Segoe UI"/>
                <w:i/>
                <w:sz w:val="16"/>
                <w:szCs w:val="16"/>
              </w:rPr>
            </w:pPr>
            <w:r w:rsidRPr="000C6806">
              <w:rPr>
                <w:rFonts w:cs="Segoe UI"/>
                <w:i/>
                <w:sz w:val="16"/>
                <w:szCs w:val="16"/>
              </w:rPr>
              <w:t>(1 280)</w:t>
            </w:r>
          </w:p>
        </w:tc>
        <w:tc>
          <w:tcPr>
            <w:tcW w:w="709" w:type="dxa"/>
            <w:vAlign w:val="center"/>
          </w:tcPr>
          <w:p w14:paraId="3D70D5AD" w14:textId="77777777" w:rsidR="00764881" w:rsidRDefault="00764881" w:rsidP="00E7761D">
            <w:pPr>
              <w:spacing w:after="0"/>
              <w:jc w:val="right"/>
              <w:rPr>
                <w:rFonts w:cs="Segoe UI"/>
                <w:sz w:val="16"/>
                <w:szCs w:val="16"/>
              </w:rPr>
            </w:pPr>
            <w:r>
              <w:rPr>
                <w:rFonts w:cs="Segoe UI"/>
                <w:sz w:val="16"/>
                <w:szCs w:val="16"/>
              </w:rPr>
              <w:t>467</w:t>
            </w:r>
          </w:p>
          <w:p w14:paraId="2CC217CE" w14:textId="77777777" w:rsidR="00764881" w:rsidRPr="000C6806" w:rsidRDefault="00764881" w:rsidP="00E7761D">
            <w:pPr>
              <w:spacing w:after="0"/>
              <w:jc w:val="right"/>
              <w:rPr>
                <w:rFonts w:cs="Segoe UI"/>
                <w:i/>
                <w:sz w:val="16"/>
                <w:szCs w:val="16"/>
              </w:rPr>
            </w:pPr>
            <w:r w:rsidRPr="000C6806">
              <w:rPr>
                <w:rFonts w:cs="Segoe UI"/>
                <w:i/>
                <w:sz w:val="16"/>
                <w:szCs w:val="16"/>
              </w:rPr>
              <w:t>(1 014)</w:t>
            </w:r>
          </w:p>
        </w:tc>
        <w:tc>
          <w:tcPr>
            <w:tcW w:w="701" w:type="dxa"/>
            <w:vAlign w:val="center"/>
          </w:tcPr>
          <w:p w14:paraId="2D17F807" w14:textId="77777777" w:rsidR="00764881" w:rsidRDefault="00764881" w:rsidP="00E7761D">
            <w:pPr>
              <w:spacing w:after="0"/>
              <w:jc w:val="right"/>
              <w:rPr>
                <w:rFonts w:cs="Segoe UI"/>
                <w:sz w:val="16"/>
                <w:szCs w:val="16"/>
              </w:rPr>
            </w:pPr>
            <w:r>
              <w:rPr>
                <w:rFonts w:cs="Segoe UI"/>
                <w:sz w:val="16"/>
                <w:szCs w:val="16"/>
              </w:rPr>
              <w:t>488</w:t>
            </w:r>
          </w:p>
          <w:p w14:paraId="0B92F53F" w14:textId="77777777" w:rsidR="00764881" w:rsidRPr="000C6806" w:rsidRDefault="00764881" w:rsidP="00E7761D">
            <w:pPr>
              <w:spacing w:after="0"/>
              <w:ind w:left="-96"/>
              <w:jc w:val="right"/>
              <w:rPr>
                <w:rFonts w:cs="Segoe UI"/>
                <w:i/>
                <w:sz w:val="16"/>
                <w:szCs w:val="16"/>
              </w:rPr>
            </w:pPr>
            <w:r w:rsidRPr="000C6806">
              <w:rPr>
                <w:rFonts w:cs="Segoe UI"/>
                <w:i/>
                <w:sz w:val="16"/>
                <w:szCs w:val="16"/>
              </w:rPr>
              <w:t>(1 304)</w:t>
            </w:r>
          </w:p>
        </w:tc>
      </w:tr>
    </w:tbl>
    <w:p w14:paraId="199C2B29" w14:textId="77777777" w:rsidR="00764881" w:rsidRDefault="00764881" w:rsidP="00764881">
      <w:pPr>
        <w:pStyle w:val="Zdroj"/>
      </w:pPr>
      <w:r>
        <w:t>Zdroj: Návrh RVS 2025 až 2027.</w:t>
      </w:r>
      <w:r>
        <w:br/>
        <w:t>Poznámka: Kurzívou časť za ostatné výdavky.</w:t>
      </w:r>
    </w:p>
    <w:p w14:paraId="5DBAEFA6" w14:textId="1CB94C8F" w:rsidR="00926A63" w:rsidRDefault="00284D9F" w:rsidP="00284D9F">
      <w:r w:rsidRPr="00546531">
        <w:rPr>
          <w:b/>
        </w:rPr>
        <w:t>Finančne najvýznamnejšou položkou je nová rezerva na riešenie negatívnych vplyvov vývoja rozpočtového hospodárenia vo výške 421 mil. eur</w:t>
      </w:r>
      <w:r>
        <w:rPr>
          <w:b/>
        </w:rPr>
        <w:t xml:space="preserve"> v 2025</w:t>
      </w:r>
      <w:r w:rsidRPr="00546531">
        <w:rPr>
          <w:b/>
        </w:rPr>
        <w:t>.</w:t>
      </w:r>
      <w:r>
        <w:t xml:space="preserve"> </w:t>
      </w:r>
      <w:r w:rsidR="00CC4C44">
        <w:t>M</w:t>
      </w:r>
      <w:r>
        <w:t xml:space="preserve">ala </w:t>
      </w:r>
      <w:r w:rsidR="00CC4C44">
        <w:t xml:space="preserve">by </w:t>
      </w:r>
      <w:r>
        <w:t xml:space="preserve">slúžiť na krytie výdavkov spojených s makroekonomickým vývojom, </w:t>
      </w:r>
      <w:r w:rsidRPr="00546531">
        <w:t xml:space="preserve">opatreniami na zabezpečenie plnenia </w:t>
      </w:r>
      <w:r w:rsidR="00CB6759">
        <w:t>MTP</w:t>
      </w:r>
      <w:r w:rsidRPr="00546531">
        <w:t xml:space="preserve"> </w:t>
      </w:r>
      <w:r>
        <w:t>a implementáciou LVV. Rezerva na riešenie krízových situácií a rezerva vlády sa na horizonte RVS 2025</w:t>
      </w:r>
      <w:r w:rsidR="00854747">
        <w:t xml:space="preserve"> – </w:t>
      </w:r>
      <w:r>
        <w:t xml:space="preserve">2027 rozpočtujú na približne rovnakej úrovni ako predchádzajúce roky. </w:t>
      </w:r>
      <w:r w:rsidRPr="00884088">
        <w:rPr>
          <w:b/>
        </w:rPr>
        <w:t xml:space="preserve">NKÚ SR bude pozorne </w:t>
      </w:r>
      <w:r w:rsidR="00854747">
        <w:rPr>
          <w:b/>
        </w:rPr>
        <w:t xml:space="preserve">sledovať a </w:t>
      </w:r>
      <w:r>
        <w:rPr>
          <w:b/>
        </w:rPr>
        <w:t>analyzovať</w:t>
      </w:r>
      <w:r w:rsidRPr="00884088">
        <w:rPr>
          <w:b/>
        </w:rPr>
        <w:t xml:space="preserve"> využívanie novej štruktúry rezerv a ich účelné vynakladanie v súlade </w:t>
      </w:r>
      <w:r w:rsidR="00926A63">
        <w:rPr>
          <w:b/>
        </w:rPr>
        <w:t xml:space="preserve">so </w:t>
      </w:r>
      <w:r w:rsidR="00926A63" w:rsidRPr="00884088">
        <w:rPr>
          <w:b/>
        </w:rPr>
        <w:t xml:space="preserve">zákonom. </w:t>
      </w:r>
      <w:r w:rsidR="00514710" w:rsidRPr="00514710">
        <w:rPr>
          <w:b/>
        </w:rPr>
        <w:t>V prípade priaznivého ekonomického vývoja odporúča využ</w:t>
      </w:r>
      <w:r w:rsidR="00514710">
        <w:rPr>
          <w:b/>
        </w:rPr>
        <w:t>iť rezervu na zníženie deficitu.</w:t>
      </w:r>
    </w:p>
    <w:p w14:paraId="28AC1D18" w14:textId="3EEDF187" w:rsidR="00284D9F" w:rsidRPr="00587D42" w:rsidRDefault="00926A63" w:rsidP="00284D9F">
      <w:pPr>
        <w:rPr>
          <w:b/>
        </w:rPr>
      </w:pPr>
      <w:r>
        <w:t>Ď</w:t>
      </w:r>
      <w:r w:rsidR="00284D9F" w:rsidRPr="003741E1">
        <w:t>alšie položky rozpočtované medzi rezervami v predchádzajúcich rokoch sa presunuli a boli premenované v rámci VPS, najmä medzi ostatné výdavky. Rezerva na prostriedky EÚ bola presun</w:t>
      </w:r>
      <w:r w:rsidR="00284D9F">
        <w:t xml:space="preserve">utá pod samostatnú časť rozpočtu VPS </w:t>
      </w:r>
      <w:r w:rsidR="00854747">
        <w:t>určenú na v</w:t>
      </w:r>
      <w:r w:rsidR="00284D9F">
        <w:t xml:space="preserve">ýdavky vo vzťahu k EÚ. </w:t>
      </w:r>
      <w:r w:rsidR="00284D9F" w:rsidRPr="003741E1">
        <w:t>Rezerva na riešenie vplyvov legislatívnych zmien bola premenovaná na výdavky</w:t>
      </w:r>
      <w:r w:rsidR="00284D9F">
        <w:t xml:space="preserve"> a oproti rozpočtu na rok 2024 vo výške 1 232 mil. eur klesla o vyše 95 % na rozpočtovaných 53 mil. eur v roku 2025. </w:t>
      </w:r>
      <w:r w:rsidR="00284D9F" w:rsidRPr="00587D42">
        <w:rPr>
          <w:b/>
        </w:rPr>
        <w:t xml:space="preserve">NKÚ SR pozitívne hodnotí, že podľa nových rozpočtových pravidiel táto rezerva (rovnako ako všetky ostatné) spadá pod LVV, čo znamená, že v roku 2025 </w:t>
      </w:r>
      <w:r w:rsidR="00284D9F">
        <w:rPr>
          <w:b/>
        </w:rPr>
        <w:t>nie je vytvorený rozpočtový</w:t>
      </w:r>
      <w:r w:rsidR="00284D9F" w:rsidRPr="00587D42">
        <w:rPr>
          <w:b/>
        </w:rPr>
        <w:t xml:space="preserve"> priestor na legislatívnu smršť, </w:t>
      </w:r>
      <w:r w:rsidR="00854747">
        <w:rPr>
          <w:b/>
        </w:rPr>
        <w:t>ak neberieme do úvahy iné</w:t>
      </w:r>
      <w:r w:rsidR="00284D9F" w:rsidRPr="00587D42">
        <w:rPr>
          <w:b/>
        </w:rPr>
        <w:t xml:space="preserve"> zdroje. </w:t>
      </w:r>
    </w:p>
    <w:p w14:paraId="6DE4F14A" w14:textId="513FF140" w:rsidR="00284D9F" w:rsidRDefault="00934E0A" w:rsidP="00284D9F">
      <w:r w:rsidRPr="00934E0A">
        <w:rPr>
          <w:b/>
        </w:rPr>
        <w:lastRenderedPageBreak/>
        <w:t>Rozpočtovanie rezerv prešlo aj ďalšími zmenami.</w:t>
      </w:r>
      <w:r>
        <w:t xml:space="preserve"> </w:t>
      </w:r>
      <w:r w:rsidR="00284D9F">
        <w:t>R</w:t>
      </w:r>
      <w:r w:rsidR="00284D9F" w:rsidRPr="003741E1">
        <w:t>ezerva na realizáciu s</w:t>
      </w:r>
      <w:r w:rsidR="00284D9F">
        <w:t>údnych a exekučných rozhodnutí sa zmenila na výdavky s rovnakou rozpočtovanou sumou 10 mil. eur. Rezerva na mzdy a poistné sa tiež premenovala na výdavky a oproti rozpočtovanej rezerve (175 mil. eur) na rok 2024 sú rozpočtované výdavky (525 mil. eur) na rok 2025 trojnásobné. Tieto výdavky sú určené na plnenie kolektívnych zmlúv vyššieho stupňa (800 eur v 2025 a 5 % v 2026), odchodné a odstupné v rámci konsolidácie, ale aj krytie zvýšených platov ústavných činiteľov či ozbrojených zložiek. R</w:t>
      </w:r>
      <w:r w:rsidR="00284D9F" w:rsidRPr="003741E1">
        <w:t>ezerva na kompenzačné opatrenia s</w:t>
      </w:r>
      <w:r w:rsidR="00284D9F">
        <w:t xml:space="preserve">úvisiace s rastom cien energií bola v roku 2024 rozpočtovaná vo výške 800 mil. eur a v plnej výške sa uvoľnila kapitole MH SR. V roku 2025 majú obdobný účel výdavky </w:t>
      </w:r>
      <w:r w:rsidR="00284D9F" w:rsidRPr="001905C6">
        <w:t>na kompenzačné opatrenia súvisiace s rastom cien energií</w:t>
      </w:r>
      <w:r w:rsidR="00284D9F">
        <w:t xml:space="preserve"> vo výške 235 mil. eur, ktoré by mali byť využité na zúčtovanie schém za rok 2024 a pokračovanie vyplá</w:t>
      </w:r>
      <w:r w:rsidR="00CC4C44">
        <w:t>cania energopomoci v roku 2025.</w:t>
      </w:r>
    </w:p>
    <w:p w14:paraId="43E5E71E" w14:textId="31F0ACF9" w:rsidR="00D36B99" w:rsidRPr="007E630A" w:rsidRDefault="00D36B99" w:rsidP="00D36B99">
      <w:pPr>
        <w:pStyle w:val="Nadpis1"/>
        <w:pageBreakBefore/>
        <w:ind w:left="360" w:hanging="360"/>
        <w:jc w:val="left"/>
      </w:pPr>
      <w:bookmarkStart w:id="37" w:name="_Toc86396378"/>
      <w:bookmarkStart w:id="38" w:name="_Toc119482910"/>
      <w:bookmarkStart w:id="39" w:name="_Toc182559191"/>
      <w:r w:rsidRPr="007E630A">
        <w:lastRenderedPageBreak/>
        <w:t xml:space="preserve">Riziká </w:t>
      </w:r>
      <w:r>
        <w:t>rozpočtovania pri dosahovaní najvýznamnejších cieľov</w:t>
      </w:r>
      <w:bookmarkEnd w:id="37"/>
      <w:bookmarkEnd w:id="38"/>
      <w:bookmarkEnd w:id="39"/>
    </w:p>
    <w:p w14:paraId="7825D5E8" w14:textId="634BF381" w:rsidR="00D36B99" w:rsidRPr="000C763A" w:rsidRDefault="00D36B99" w:rsidP="00D36B99">
      <w:r w:rsidRPr="000C763A">
        <w:t>Rok 202</w:t>
      </w:r>
      <w:r w:rsidR="005D0892">
        <w:t>5</w:t>
      </w:r>
      <w:r w:rsidRPr="000C763A">
        <w:t xml:space="preserve"> je </w:t>
      </w:r>
      <w:r w:rsidR="005D0892">
        <w:t>druh</w:t>
      </w:r>
      <w:r w:rsidRPr="000C763A">
        <w:t>ým rokom, v ktorom bude nová vláda SR napĺňať svoje programové vyhlásenie na roky 2023 – 2027.</w:t>
      </w:r>
      <w:r w:rsidRPr="000C763A">
        <w:rPr>
          <w:rStyle w:val="Odkaznapoznmkupodiarou"/>
        </w:rPr>
        <w:footnoteReference w:id="72"/>
      </w:r>
      <w:r w:rsidRPr="000C763A">
        <w:t xml:space="preserve"> </w:t>
      </w:r>
      <w:r w:rsidR="005D0892">
        <w:t>Z</w:t>
      </w:r>
      <w:r w:rsidRPr="000C763A">
        <w:t xml:space="preserve">amerali </w:t>
      </w:r>
      <w:r w:rsidR="005D0892">
        <w:t xml:space="preserve">sme sa preto </w:t>
      </w:r>
      <w:r w:rsidRPr="000C763A">
        <w:t xml:space="preserve">na to, či sú programy financované zo ŠR naviazané na plnenie </w:t>
      </w:r>
      <w:r w:rsidR="005D0892">
        <w:t xml:space="preserve">najvýznamnejších </w:t>
      </w:r>
      <w:r w:rsidRPr="000C763A">
        <w:t>cieľov PVV vo vybraných oblastiach</w:t>
      </w:r>
      <w:r w:rsidR="00FA3668" w:rsidRPr="000C763A">
        <w:t xml:space="preserve"> verejných politík</w:t>
      </w:r>
      <w:r w:rsidRPr="000C763A">
        <w:t>. Identifikovali sme tak riziká, ktoré súvisia s reálnosťou splnenia jednotlivých cieľov v kontexte navrhnutého rozpočtu na rok 202</w:t>
      </w:r>
      <w:r w:rsidR="000C763A" w:rsidRPr="000C763A">
        <w:t>5</w:t>
      </w:r>
      <w:r w:rsidRPr="000C763A">
        <w:t>.</w:t>
      </w:r>
    </w:p>
    <w:p w14:paraId="09C7B47D" w14:textId="4D63C8B2" w:rsidR="00AC1187" w:rsidRDefault="00D36B99" w:rsidP="00AC1187">
      <w:pPr>
        <w:spacing w:before="60" w:after="60"/>
      </w:pPr>
      <w:r w:rsidRPr="000C763A">
        <w:t xml:space="preserve">Bližšie sme sa venovali </w:t>
      </w:r>
      <w:r w:rsidR="00342619" w:rsidRPr="000C763A">
        <w:t xml:space="preserve">tým </w:t>
      </w:r>
      <w:r w:rsidRPr="000C763A">
        <w:t xml:space="preserve">oblastiam verejných politík, ktoré sú </w:t>
      </w:r>
      <w:r w:rsidR="005D0892">
        <w:t>aj strategickými</w:t>
      </w:r>
      <w:r w:rsidR="007A35C9" w:rsidRPr="000C763A">
        <w:t xml:space="preserve"> </w:t>
      </w:r>
      <w:r w:rsidRPr="000C763A">
        <w:t>prioritami kontrolnej činnosti NKÚ SR</w:t>
      </w:r>
      <w:r w:rsidR="001F78F5" w:rsidRPr="000C763A">
        <w:t xml:space="preserve"> a v ktorých identifikujeme dlhodobé zaostávanie Slovenska resp. systémové problémy</w:t>
      </w:r>
      <w:r w:rsidRPr="000C763A">
        <w:t xml:space="preserve"> – zdravotníctvo, </w:t>
      </w:r>
      <w:r w:rsidR="000D631B" w:rsidRPr="000C763A">
        <w:t>vzdelávanie</w:t>
      </w:r>
      <w:r w:rsidR="00342619" w:rsidRPr="000C763A">
        <w:t xml:space="preserve"> a životné prostredie</w:t>
      </w:r>
      <w:r w:rsidRPr="000C763A">
        <w:t>.</w:t>
      </w:r>
      <w:r w:rsidR="00AC1187" w:rsidRPr="00AC1187">
        <w:t xml:space="preserve"> </w:t>
      </w:r>
      <w:r w:rsidR="00AC1187">
        <w:t>Na tieto tri oblasti sú v návrhu rozpočtu vyčlenené prostriedky v celkovom objeme 16,8 mld. eur, čo predstavuje viac ako štvrtinu celkových verejných výdavkov rozpočtovaných na rok 2025.</w:t>
      </w:r>
    </w:p>
    <w:p w14:paraId="41925747" w14:textId="1A592418" w:rsidR="00D36B99" w:rsidRDefault="00D36B99" w:rsidP="000D631B">
      <w:pPr>
        <w:pStyle w:val="Nadpis2"/>
      </w:pPr>
      <w:bookmarkStart w:id="40" w:name="_Toc86396380"/>
      <w:bookmarkStart w:id="41" w:name="_Toc119482911"/>
      <w:bookmarkStart w:id="42" w:name="_Toc182559192"/>
      <w:r w:rsidRPr="000D631B">
        <w:t>Zdravotníctvo</w:t>
      </w:r>
      <w:bookmarkEnd w:id="40"/>
      <w:bookmarkEnd w:id="41"/>
      <w:bookmarkEnd w:id="42"/>
    </w:p>
    <w:p w14:paraId="2C8FDF44" w14:textId="5AE8FB7A" w:rsidR="00AC1187" w:rsidRDefault="00AC1187" w:rsidP="00AC1187">
      <w:r w:rsidRPr="0087188A">
        <w:rPr>
          <w:b/>
        </w:rPr>
        <w:t xml:space="preserve">Pre oblasť zdravotníctva je </w:t>
      </w:r>
      <w:r>
        <w:rPr>
          <w:b/>
        </w:rPr>
        <w:t>na</w:t>
      </w:r>
      <w:r w:rsidRPr="0087188A">
        <w:rPr>
          <w:b/>
        </w:rPr>
        <w:t xml:space="preserve"> rok 2025 v rozpočte navrhovaný celkový objem verejných výdavkov vo výške takmer 9,6 mld. eur, čo oproti rozpočtu na rok 2024 predstavuje nárast o 7,8 %</w:t>
      </w:r>
      <w:r>
        <w:t xml:space="preserve"> a oproti očakávanej skutočnosti roku 2024 je tento objem v</w:t>
      </w:r>
      <w:r w:rsidR="002353EE">
        <w:t>zrastie</w:t>
      </w:r>
      <w:r>
        <w:t xml:space="preserve"> o 6,7 %. Tento rast </w:t>
      </w:r>
      <w:r w:rsidR="002353EE">
        <w:t>prekoná</w:t>
      </w:r>
      <w:r>
        <w:t xml:space="preserve"> prognózovan</w:t>
      </w:r>
      <w:r w:rsidR="002353EE">
        <w:t>ú</w:t>
      </w:r>
      <w:r>
        <w:t xml:space="preserve"> infláci</w:t>
      </w:r>
      <w:r w:rsidR="002353EE">
        <w:t>u</w:t>
      </w:r>
      <w:r>
        <w:t>, takže zdravotníctvo by malo v budúcom roku disponovať reálne v</w:t>
      </w:r>
      <w:r w:rsidR="002353EE">
        <w:t>äč</w:t>
      </w:r>
      <w:r>
        <w:t>ším objemom zdrojov ako v tomto roku. V slovenskom zdravotníctve sú ale systémové a dlhodobo kumulovan</w:t>
      </w:r>
      <w:r w:rsidR="002353EE">
        <w:t>é problémy, k riešeniu ktorých samotné n</w:t>
      </w:r>
      <w:r>
        <w:t xml:space="preserve">avyšovanie zdrojov nestačí a vyžadujú si dlhodobé systémové riešenia. </w:t>
      </w:r>
    </w:p>
    <w:p w14:paraId="4CA63B4B" w14:textId="17CBA592" w:rsidR="000C2883" w:rsidRDefault="00AC1187" w:rsidP="000C2883">
      <w:r>
        <w:t>V tejto podkapitole sa NKÚ SR venuje niektorým z dlhodob</w:t>
      </w:r>
      <w:r w:rsidR="002353EE">
        <w:t>ých</w:t>
      </w:r>
      <w:r>
        <w:t xml:space="preserve"> problémov a opakovane upozorňuje na súvisiace riziká. Vysoko citlivou a rizikovou je téma personálnej stabilizácie v zdravotníctve,  pričom na jednej strane je problém s nedostatkom zdravotníckych pracovníkov, no na druhej strane sú rozpočty zdravotníckych zariadení pod tlakom zvyšujúceho sa podielu osobných výdavkov. Zdravotnícke zariadenia pritom kumulujú dlh, ktorého výška </w:t>
      </w:r>
      <w:r w:rsidR="003D01FD">
        <w:t xml:space="preserve">k augustu 2024 </w:t>
      </w:r>
      <w:r>
        <w:t>len za 13 najväčších nemocníc presahuje miliardu eur. Toto zadlžovanie viedlo až k rozhodnutiu Súdneho dvora EÚ, podľa ktorého SR musí pristúpiť k vyrovnaniu záväzkov</w:t>
      </w:r>
      <w:r w:rsidR="003D01FD">
        <w:t xml:space="preserve"> po lehote splatnosti</w:t>
      </w:r>
      <w:r>
        <w:t xml:space="preserve">, no z navrhovaného rozpočtu nie je jasné, akými prostriedkami to bude kryté. </w:t>
      </w:r>
      <w:r w:rsidR="000C2883">
        <w:t xml:space="preserve">Deficitné hospodárenie nemocníc sa podpisuje aj na stave ich majetku a kumulovaní investičného dlhu. </w:t>
      </w:r>
      <w:r>
        <w:t xml:space="preserve">Ďalší balík rizík predstavuje lieková politika, kde upozorňujeme na </w:t>
      </w:r>
      <w:r w:rsidR="000C2883">
        <w:t>výrazný</w:t>
      </w:r>
      <w:r>
        <w:t xml:space="preserve"> nárast výdavkov na </w:t>
      </w:r>
      <w:r w:rsidRPr="00B47D8D">
        <w:t xml:space="preserve">lieky </w:t>
      </w:r>
      <w:r>
        <w:t xml:space="preserve">novo </w:t>
      </w:r>
      <w:r w:rsidRPr="00B47D8D">
        <w:t xml:space="preserve">zaradené </w:t>
      </w:r>
      <w:r>
        <w:t>do kategorizačného zoznamu. Patria sem aj ďalšie faktory negatívne vplývajúce na rozpočet zdravotníctva, ako</w:t>
      </w:r>
      <w:r w:rsidRPr="00B47D8D">
        <w:t xml:space="preserve"> </w:t>
      </w:r>
      <w:r>
        <w:t xml:space="preserve">je </w:t>
      </w:r>
      <w:r w:rsidRPr="00B47D8D">
        <w:t>prekračovanie výdavkov na lieky na výnimky a tiež nerealizovanie úsporných opatrení v rámci liekovej politiky</w:t>
      </w:r>
      <w:r>
        <w:t>.</w:t>
      </w:r>
    </w:p>
    <w:p w14:paraId="06CDE1DF" w14:textId="1892A3E5" w:rsidR="00052F8F" w:rsidRDefault="00052F8F" w:rsidP="000C2883">
      <w:pPr>
        <w:pStyle w:val="Nadpis3"/>
      </w:pPr>
      <w:bookmarkStart w:id="43" w:name="_Toc182559193"/>
      <w:r>
        <w:t>Vznik rady pre tvorbu rozpočtu v zdravotníctve</w:t>
      </w:r>
      <w:bookmarkEnd w:id="43"/>
    </w:p>
    <w:p w14:paraId="235ECC5B" w14:textId="48C07101" w:rsidR="00052F8F" w:rsidRPr="000C763A" w:rsidRDefault="00052F8F" w:rsidP="00052F8F">
      <w:r w:rsidRPr="00361673">
        <w:rPr>
          <w:b/>
        </w:rPr>
        <w:t xml:space="preserve">V roku 2024 začala fungovať </w:t>
      </w:r>
      <w:r>
        <w:rPr>
          <w:b/>
        </w:rPr>
        <w:t>r</w:t>
      </w:r>
      <w:r w:rsidRPr="00361673">
        <w:rPr>
          <w:b/>
        </w:rPr>
        <w:t>ada pre tvorbu rozpočtu v zdravotníctve, čo je pozitívnou zmenou v rozpočtovom procese.</w:t>
      </w:r>
      <w:r>
        <w:t xml:space="preserve"> NKÚ SR opakovane upozorňoval na skutočnosť, že do procesu tvorby rozpočtu v zdravotníctve neboli dostatočne zapojené všetky kľúčové zainteresované strany. Zriadením tejto rady sa vytvoril priestor na diskusiu o dôležitých aspektoch rozpočtu VZP, ako aj o potenciálnych problémoch v tomto rozpočte. Na rokovaniach tejto rady sa v roku 2024 zúčastňovali zástupcovia MZ SR, MF SR, ZP a ďalších inštitúcií. V apríli tohto roku mal podľa navrhovaného štatútu novovznikajúcej rady mať aj NKÚ SR štatút pozorovateľa a nominoval aj svojho zástupcu na zasadnutia rady. Napriek tomu MZ SR už ďalej NKÚ SR o zasadnutiach rady neinformovalo a nominovaný zástupca na rokovania </w:t>
      </w:r>
      <w:r>
        <w:lastRenderedPageBreak/>
        <w:t>rady prizývaný nebol. Štatút pozorovateľa mali mať podľa pôvodného návrhu viaceré inštitúcie, okrem NKÚ SR aj RRZ či výbor NR</w:t>
      </w:r>
      <w:r w:rsidR="00AC1187">
        <w:t xml:space="preserve"> </w:t>
      </w:r>
      <w:r>
        <w:t xml:space="preserve">SR pre zdravotníctvo. </w:t>
      </w:r>
      <w:r w:rsidRPr="00945801">
        <w:rPr>
          <w:b/>
        </w:rPr>
        <w:t xml:space="preserve">NKÚ </w:t>
      </w:r>
      <w:r>
        <w:rPr>
          <w:b/>
        </w:rPr>
        <w:t xml:space="preserve">SR </w:t>
      </w:r>
      <w:r w:rsidRPr="00945801">
        <w:rPr>
          <w:b/>
        </w:rPr>
        <w:t>odporúča v záujme zvýšenia transparentnosti prizývať na rokovania rady aj členov so štatútom pozorovateľa, tak ako to bolo plánované v pôvodných návrhoch.</w:t>
      </w:r>
    </w:p>
    <w:p w14:paraId="659AEF1B" w14:textId="255B752D" w:rsidR="00272470" w:rsidRDefault="00052F8F" w:rsidP="00A9155E">
      <w:pPr>
        <w:pStyle w:val="Nadpis3"/>
      </w:pPr>
      <w:bookmarkStart w:id="44" w:name="_Toc178580581"/>
      <w:r>
        <w:t xml:space="preserve"> </w:t>
      </w:r>
      <w:bookmarkStart w:id="45" w:name="_Toc182559194"/>
      <w:r w:rsidR="00272470">
        <w:t>Riziká neplnenia cieľov vlády</w:t>
      </w:r>
      <w:bookmarkEnd w:id="44"/>
      <w:bookmarkEnd w:id="45"/>
    </w:p>
    <w:p w14:paraId="61F06BA0" w14:textId="399A4DB1" w:rsidR="00DB793A" w:rsidRDefault="00DB793A" w:rsidP="00DB793A">
      <w:r w:rsidRPr="00BD69AD">
        <w:rPr>
          <w:b/>
        </w:rPr>
        <w:t>Rozpočet pre oblasť zdravotníctva nevychádza z jasnej dlhodobej stratégie pre túto oblasť</w:t>
      </w:r>
      <w:r>
        <w:rPr>
          <w:b/>
        </w:rPr>
        <w:t>, napriek záväzku v PVV</w:t>
      </w:r>
      <w:r w:rsidRPr="00BD69AD">
        <w:rPr>
          <w:b/>
        </w:rPr>
        <w:t>.</w:t>
      </w:r>
      <w:r>
        <w:t xml:space="preserve"> Jednou z kľúčových ambícií vlády pomenovaných v PVV pre oblasť zdravotníctva bolo, že vláda „</w:t>
      </w:r>
      <w:r w:rsidRPr="008377BD">
        <w:rPr>
          <w:i/>
        </w:rPr>
        <w:t xml:space="preserve">pripraví dlhodobú stratégiu rozvoja zdravotníctva, ktorá bude výsledkom konštruktívneho dialógu o plánovaných krokoch s celým politickým a odborným spektrom a každým z </w:t>
      </w:r>
      <w:r w:rsidR="003769F2">
        <w:rPr>
          <w:i/>
        </w:rPr>
        <w:t> </w:t>
      </w:r>
      <w:r w:rsidRPr="008377BD">
        <w:rPr>
          <w:i/>
        </w:rPr>
        <w:t>relevantných subjektov, ktoré v zdravotníctve pôsobia</w:t>
      </w:r>
      <w:r>
        <w:t>“</w:t>
      </w:r>
      <w:r>
        <w:rPr>
          <w:rStyle w:val="Odkaznapoznmkupodiarou"/>
        </w:rPr>
        <w:footnoteReference w:id="73"/>
      </w:r>
      <w:r>
        <w:t>. Na absenciu a potrebu takejto stratégie upozornil aj NKÚ SR vo svojej nedávnej analýze</w:t>
      </w:r>
      <w:r>
        <w:rPr>
          <w:rStyle w:val="Odkaznapoznmkupodiarou"/>
        </w:rPr>
        <w:footnoteReference w:id="74"/>
      </w:r>
      <w:r>
        <w:t>. Pozitívnym krokom v tomto smere je skutočnosť, že MZ SR publikovalo aktuálne vyhodnotenie Strategického rámca starostlivosti o zdravie</w:t>
      </w:r>
      <w:r>
        <w:rPr>
          <w:rStyle w:val="Odkaznapoznmkupodiarou"/>
        </w:rPr>
        <w:footnoteReference w:id="75"/>
      </w:r>
      <w:r>
        <w:t>, no absentuje prepojenie tvorby, implementácie a vyhodnocovania dlhodobej stratégie s tvorbou rozpočtu pre zdravotníctvo. Práve potreba konsolidácie verejných financií mohla byť príležitosťou na presadenie systémových strategických zmien v zdravotníctve, a zároveň konsolidačné opatrenia by boli sektorom ľahšie akceptované, ak by boli súčasťou jasného strategického smerovania tohto sektora. Vypracovanie národnej zdravotníckej stratégie je pritom v PVV uvedené medzi krátkodobými prioritami vlády.</w:t>
      </w:r>
    </w:p>
    <w:p w14:paraId="10B6A458" w14:textId="26AD9808" w:rsidR="003E5DEC" w:rsidRDefault="003E5DEC" w:rsidP="003E5DEC">
      <w:r w:rsidRPr="00CF376B">
        <w:rPr>
          <w:b/>
        </w:rPr>
        <w:t>Personálna stabilizácia v zdravotníctve, ako cieľ na ktorý je v PVV kladený prioritný dôraz už v krátkodobom horizonte, v rozpočte ako priorita nevyznieva.</w:t>
      </w:r>
      <w:r>
        <w:t xml:space="preserve"> Rozpočet počítal s tým, že najväčšou časťou sa na konsolidácii v zdravotníctve mala podieľať úprava platového automatu, teda zníženie rastu miezd lekárov a sestier. V sektore to vyvolalo vlnu nespokojnosti, čo napokon viedlo k tomu, že bola v skrátenom legislatívnom konaní prijatá úprava</w:t>
      </w:r>
      <w:r>
        <w:rPr>
          <w:rStyle w:val="Odkaznapoznmkupodiarou"/>
        </w:rPr>
        <w:footnoteReference w:id="76"/>
      </w:r>
      <w:r>
        <w:t xml:space="preserve"> na zachovanie rastu miezd vybraných zdravotníckych pracovníkov. Na druhej strane pravidelný nárast osobných výdavkov garantovaný platovým automatom spôsobuje tlak na napäté rozpočty zdravotníckych zariadení. Podiel osobných nákladov na celkových nákladoch v zdravotníckych zariadeniach v poslednom období narastá, a kým v roku 2018 bol na úrovni 48,4 %, rozpočet na rok 2025 už počíta s jeho hodnotou necelých 6</w:t>
      </w:r>
      <w:r w:rsidR="000C2883">
        <w:t>1,78</w:t>
      </w:r>
      <w:r>
        <w:t xml:space="preserve"> % (graf 2</w:t>
      </w:r>
      <w:r w:rsidR="008E65AC">
        <w:t>2</w:t>
      </w:r>
      <w:r>
        <w:t xml:space="preserve">). Takýto vývoj môže znamenať znižovanie možností zdravotníckych zariadení financovať ostatné aspekty svojej prevádzky a rozvoja a nabaľovanie problému ich zadlžovania. </w:t>
      </w:r>
    </w:p>
    <w:p w14:paraId="7FB7BAF2" w14:textId="5E784D13" w:rsidR="00276F44" w:rsidRPr="00BC3CA3" w:rsidRDefault="00276F44" w:rsidP="00276F44">
      <w:pPr>
        <w:pStyle w:val="Popis"/>
        <w:keepNext/>
        <w:rPr>
          <w:color w:val="314364"/>
        </w:rPr>
      </w:pPr>
      <w:r w:rsidRPr="00BC3CA3">
        <w:rPr>
          <w:color w:val="314364"/>
        </w:rPr>
        <w:t>Graf</w:t>
      </w:r>
      <w:r>
        <w:rPr>
          <w:color w:val="314364"/>
        </w:rPr>
        <w:t xml:space="preserve"> 2</w:t>
      </w:r>
      <w:r w:rsidR="008E65AC">
        <w:rPr>
          <w:color w:val="314364"/>
        </w:rPr>
        <w:t>2</w:t>
      </w:r>
      <w:r w:rsidRPr="00BC3CA3">
        <w:rPr>
          <w:color w:val="314364"/>
        </w:rPr>
        <w:t>:</w:t>
      </w:r>
      <w:r>
        <w:rPr>
          <w:color w:val="314364"/>
        </w:rPr>
        <w:t xml:space="preserve"> Podiel osobných výdavkov na celkových výdavkoch v zdravotníckych zariadeniach (v %)</w:t>
      </w:r>
    </w:p>
    <w:tbl>
      <w:tblPr>
        <w:tblStyle w:val="Mriekatabuky"/>
        <w:tblW w:w="511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70"/>
      </w:tblGrid>
      <w:tr w:rsidR="00276F44" w:rsidRPr="00C75134" w14:paraId="7CEFD6A9" w14:textId="77777777" w:rsidTr="00276F44">
        <w:trPr>
          <w:trHeight w:val="3118"/>
        </w:trPr>
        <w:tc>
          <w:tcPr>
            <w:tcW w:w="9270" w:type="dxa"/>
            <w:tcBorders>
              <w:top w:val="single" w:sz="4" w:space="0" w:color="314364"/>
              <w:bottom w:val="single" w:sz="4" w:space="0" w:color="314364"/>
            </w:tcBorders>
            <w:vAlign w:val="center"/>
          </w:tcPr>
          <w:p w14:paraId="468BD179" w14:textId="77777777" w:rsidR="00276F44" w:rsidRPr="00C75134" w:rsidRDefault="00276F44" w:rsidP="00276F44">
            <w:pPr>
              <w:spacing w:after="0"/>
              <w:rPr>
                <w:b/>
                <w:color w:val="576431"/>
              </w:rPr>
            </w:pPr>
            <w:r>
              <w:rPr>
                <w:noProof/>
                <w:lang w:eastAsia="sk-SK"/>
              </w:rPr>
              <w:drawing>
                <wp:inline distT="0" distB="0" distL="0" distR="0" wp14:anchorId="06BC5685" wp14:editId="4C5298E5">
                  <wp:extent cx="5759450" cy="1971675"/>
                  <wp:effectExtent l="0" t="0" r="0" b="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14:paraId="7AB4D781" w14:textId="4E898E4E" w:rsidR="00276F44" w:rsidRDefault="00276F44" w:rsidP="003E5DEC">
      <w:pPr>
        <w:pStyle w:val="Zdroj"/>
        <w:spacing w:after="0"/>
      </w:pPr>
      <w:r w:rsidRPr="00627D87">
        <w:t xml:space="preserve">Zdroj: </w:t>
      </w:r>
      <w:r w:rsidRPr="00AC02EC">
        <w:t xml:space="preserve"> </w:t>
      </w:r>
      <w:r>
        <w:t xml:space="preserve">Návrhy </w:t>
      </w:r>
      <w:r w:rsidR="003E5DEC">
        <w:t>RVS</w:t>
      </w:r>
      <w:r>
        <w:t>, prílohová časť; spracovanie NKÚ SR.</w:t>
      </w:r>
      <w:r w:rsidR="003E5DEC">
        <w:t xml:space="preserve"> </w:t>
      </w:r>
      <w:r>
        <w:t xml:space="preserve">Dáta sú za množinu zdravotníckych zariadení zaradených do sektora </w:t>
      </w:r>
      <w:r w:rsidR="003E5DEC">
        <w:t>VS</w:t>
      </w:r>
      <w:r>
        <w:t>.</w:t>
      </w:r>
    </w:p>
    <w:p w14:paraId="1AFDA706" w14:textId="44818DAA" w:rsidR="00AC1187" w:rsidRDefault="00AC1187" w:rsidP="00AC1187">
      <w:r w:rsidRPr="00CC5659">
        <w:rPr>
          <w:b/>
        </w:rPr>
        <w:lastRenderedPageBreak/>
        <w:t>Rozpočet nenaznačuje riešenia ohľadom kritickej situácie s nedostatkom všeobecných lekárov tak pre dospelých, ako a</w:t>
      </w:r>
      <w:r w:rsidR="003769F2">
        <w:rPr>
          <w:b/>
        </w:rPr>
        <w:t>j</w:t>
      </w:r>
      <w:r w:rsidRPr="00CC5659">
        <w:rPr>
          <w:b/>
        </w:rPr>
        <w:t xml:space="preserve"> pre deti.</w:t>
      </w:r>
      <w:r>
        <w:t xml:space="preserve"> Jedným z chronických problémov slovenského zdravotníctva je nedostatok všeobecných lekárov. NKÚ SR sa tejto oblasti venoval už vo viacerých svojich výstupoch</w:t>
      </w:r>
      <w:r>
        <w:rPr>
          <w:rStyle w:val="Odkaznapoznmkupodiarou"/>
        </w:rPr>
        <w:footnoteReference w:id="77"/>
      </w:r>
      <w:r>
        <w:t xml:space="preserve">. Keďže primárny kontakt je </w:t>
      </w:r>
      <w:r w:rsidR="003769F2">
        <w:t>dôležitým</w:t>
      </w:r>
      <w:r>
        <w:t xml:space="preserve"> bodom procesu manažovania pacienta, kvalita a dostupnosť všeobecnej zdravotnej starostlivosti má podstatný dopad na celkovú spotrebu zdravotníckych služieb. Práve dostupnosť tohto druhu zdravotnej starostlivosti je v kritickom stave, čo je zrejmé aj zo správy ÚDZS</w:t>
      </w:r>
      <w:r>
        <w:rPr>
          <w:rStyle w:val="Odkaznapoznmkupodiarou"/>
        </w:rPr>
        <w:footnoteReference w:id="78"/>
      </w:r>
      <w:r>
        <w:t>, podľa ktorej k začiatku roka 2023 na Slovensku chýbalo 713 všeobecných lekárov, konkrétne 484 pre dospelých (VLD) (graf 2</w:t>
      </w:r>
      <w:r w:rsidR="00794092">
        <w:t>3</w:t>
      </w:r>
      <w:r>
        <w:t>) a 229 pre deti a dorast (VLDD) (graf 2</w:t>
      </w:r>
      <w:r w:rsidR="00794092">
        <w:t>4</w:t>
      </w:r>
      <w:r>
        <w:t>). Podľa najaktuálnejších dostupných údajov chýbalo ku k</w:t>
      </w:r>
      <w:r w:rsidRPr="004757FB">
        <w:t>oncu septembra 202</w:t>
      </w:r>
      <w:r>
        <w:t>4</w:t>
      </w:r>
      <w:r w:rsidRPr="004757FB">
        <w:t xml:space="preserve"> </w:t>
      </w:r>
      <w:r>
        <w:t>u</w:t>
      </w:r>
      <w:r w:rsidRPr="004757FB">
        <w:t>ž 557 VLD a 287 VLDD.</w:t>
      </w:r>
    </w:p>
    <w:p w14:paraId="2DEEA42F" w14:textId="77777777" w:rsidR="00987EB8" w:rsidRPr="00BC3CA3" w:rsidRDefault="00987EB8" w:rsidP="00987EB8">
      <w:pPr>
        <w:pStyle w:val="Popis"/>
        <w:keepNext/>
        <w:rPr>
          <w:color w:val="314364"/>
        </w:rPr>
      </w:pPr>
      <w:r w:rsidRPr="00BC3CA3">
        <w:rPr>
          <w:color w:val="314364"/>
        </w:rPr>
        <w:t>Graf</w:t>
      </w:r>
      <w:r>
        <w:rPr>
          <w:color w:val="314364"/>
        </w:rPr>
        <w:t xml:space="preserve"> 23</w:t>
      </w:r>
      <w:r w:rsidRPr="00BC3CA3">
        <w:rPr>
          <w:color w:val="314364"/>
        </w:rPr>
        <w:t>:</w:t>
      </w:r>
      <w:r>
        <w:rPr>
          <w:color w:val="314364"/>
        </w:rPr>
        <w:t xml:space="preserve"> Vývoj počtu chýbajúcich VLD za január 2023 až september 2024</w:t>
      </w: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70"/>
      </w:tblGrid>
      <w:tr w:rsidR="00987EB8" w:rsidRPr="00C75134" w14:paraId="00D13964" w14:textId="77777777" w:rsidTr="00E7761D">
        <w:trPr>
          <w:trHeight w:val="3118"/>
        </w:trPr>
        <w:tc>
          <w:tcPr>
            <w:tcW w:w="9070" w:type="dxa"/>
            <w:tcBorders>
              <w:top w:val="single" w:sz="4" w:space="0" w:color="314364"/>
              <w:bottom w:val="single" w:sz="4" w:space="0" w:color="314364"/>
            </w:tcBorders>
            <w:vAlign w:val="center"/>
          </w:tcPr>
          <w:p w14:paraId="371D79AA" w14:textId="77777777" w:rsidR="00987EB8" w:rsidRPr="00C75134" w:rsidRDefault="00987EB8" w:rsidP="00E7761D">
            <w:pPr>
              <w:spacing w:after="0"/>
              <w:rPr>
                <w:b/>
                <w:color w:val="576431"/>
              </w:rPr>
            </w:pPr>
            <w:r>
              <w:rPr>
                <w:noProof/>
                <w:lang w:eastAsia="sk-SK"/>
              </w:rPr>
              <w:drawing>
                <wp:inline distT="0" distB="0" distL="0" distR="0" wp14:anchorId="32108A33" wp14:editId="3F92A0F7">
                  <wp:extent cx="5759450" cy="1962150"/>
                  <wp:effectExtent l="0" t="0" r="0" b="0"/>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14:paraId="75936181" w14:textId="77777777" w:rsidR="00987EB8" w:rsidRDefault="00987EB8" w:rsidP="00987EB8">
      <w:pPr>
        <w:pStyle w:val="Zdroj"/>
      </w:pPr>
      <w:r w:rsidRPr="00627D87">
        <w:t xml:space="preserve">Zdroj: </w:t>
      </w:r>
      <w:r w:rsidRPr="00AC02EC">
        <w:t xml:space="preserve"> </w:t>
      </w:r>
      <w:r>
        <w:t>ÚDZS, spracovanie NKÚ SR</w:t>
      </w:r>
    </w:p>
    <w:p w14:paraId="0D711334" w14:textId="1CEC6118" w:rsidR="001D3C4E" w:rsidRDefault="001D3C4E" w:rsidP="001D3C4E">
      <w:r w:rsidRPr="00CF788C">
        <w:rPr>
          <w:b/>
        </w:rPr>
        <w:t>NKÚ SR pozitívne hodnotí, že MZ SR prijalo začiatkom roka 2023 v tejto oblasti strategický dokument</w:t>
      </w:r>
      <w:r>
        <w:rPr>
          <w:rStyle w:val="Odkaznapoznmkupodiarou"/>
        </w:rPr>
        <w:footnoteReference w:id="79"/>
      </w:r>
      <w:r>
        <w:t>, ku ktorého realizácii sa vláda prihlásila v PVV. Taktiež veľmi pozitívnou skutočnosťou je spustenie pravidelného monitoringu</w:t>
      </w:r>
      <w:r>
        <w:rPr>
          <w:rStyle w:val="Odkaznapoznmkupodiarou"/>
        </w:rPr>
        <w:footnoteReference w:id="80"/>
      </w:r>
      <w:r>
        <w:t xml:space="preserve"> stavu všeobecnej ambulantnej starostlivosti. Aj vďaka týmto údajom je evidentný kritický stav, keď k 1. 1. 2024 boli na Slovensku len tri okresy s pokrytou potrebnou kapacitou VLD a 10 okresov v prípade VLDD. Vo všetkých ostatných okresoch Slovenska platí stav nedostatočného pokrytia siete všeobecnej ambulantnej starostlivosti. </w:t>
      </w:r>
    </w:p>
    <w:p w14:paraId="7D651E06" w14:textId="74478291" w:rsidR="00276F44" w:rsidRPr="00BC3CA3" w:rsidRDefault="00276F44" w:rsidP="00276F44">
      <w:pPr>
        <w:pStyle w:val="Popis"/>
        <w:keepNext/>
        <w:rPr>
          <w:color w:val="314364"/>
        </w:rPr>
      </w:pPr>
      <w:r w:rsidRPr="00BC3CA3">
        <w:rPr>
          <w:color w:val="314364"/>
        </w:rPr>
        <w:t>Graf</w:t>
      </w:r>
      <w:r>
        <w:rPr>
          <w:color w:val="314364"/>
        </w:rPr>
        <w:t xml:space="preserve"> 2</w:t>
      </w:r>
      <w:r w:rsidR="00794092">
        <w:rPr>
          <w:color w:val="314364"/>
        </w:rPr>
        <w:t>4</w:t>
      </w:r>
      <w:r w:rsidRPr="00BC3CA3">
        <w:rPr>
          <w:color w:val="314364"/>
        </w:rPr>
        <w:t>:</w:t>
      </w:r>
      <w:r>
        <w:rPr>
          <w:color w:val="314364"/>
        </w:rPr>
        <w:t xml:space="preserve"> Vývoj počtu chýbajúcich VLDD</w:t>
      </w: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70"/>
      </w:tblGrid>
      <w:tr w:rsidR="00276F44" w:rsidRPr="00C75134" w14:paraId="79B7814C" w14:textId="77777777" w:rsidTr="00276F44">
        <w:trPr>
          <w:trHeight w:val="3118"/>
        </w:trPr>
        <w:tc>
          <w:tcPr>
            <w:tcW w:w="9070" w:type="dxa"/>
            <w:tcBorders>
              <w:top w:val="single" w:sz="4" w:space="0" w:color="314364"/>
              <w:bottom w:val="single" w:sz="4" w:space="0" w:color="314364"/>
            </w:tcBorders>
            <w:vAlign w:val="center"/>
          </w:tcPr>
          <w:p w14:paraId="2B3DB78E" w14:textId="77777777" w:rsidR="00276F44" w:rsidRPr="00C75134" w:rsidRDefault="00276F44" w:rsidP="00276F44">
            <w:pPr>
              <w:spacing w:after="0"/>
              <w:rPr>
                <w:b/>
                <w:color w:val="576431"/>
              </w:rPr>
            </w:pPr>
            <w:r>
              <w:rPr>
                <w:noProof/>
                <w:lang w:eastAsia="sk-SK"/>
              </w:rPr>
              <w:drawing>
                <wp:inline distT="0" distB="0" distL="0" distR="0" wp14:anchorId="5C3C1B09" wp14:editId="08E60855">
                  <wp:extent cx="5759450" cy="1962150"/>
                  <wp:effectExtent l="0" t="0" r="0" b="0"/>
                  <wp:docPr id="3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14:paraId="0FE84217" w14:textId="77777777" w:rsidR="00276F44" w:rsidRDefault="00276F44" w:rsidP="00276F44">
      <w:pPr>
        <w:pStyle w:val="Zdroj"/>
      </w:pPr>
      <w:r w:rsidRPr="00627D87">
        <w:t xml:space="preserve">Zdroj: </w:t>
      </w:r>
      <w:r w:rsidRPr="00AC02EC">
        <w:t xml:space="preserve"> </w:t>
      </w:r>
      <w:r>
        <w:t>ÚDZS, spracovanie NKÚ SR</w:t>
      </w:r>
    </w:p>
    <w:p w14:paraId="49C00886" w14:textId="6C6FD0DF" w:rsidR="00272470" w:rsidRDefault="00007F18" w:rsidP="00272470">
      <w:r>
        <w:rPr>
          <w:b/>
        </w:rPr>
        <w:lastRenderedPageBreak/>
        <w:t>NKÚ SR upozorňuje, že k</w:t>
      </w:r>
      <w:r w:rsidR="00272470" w:rsidRPr="003770FB">
        <w:rPr>
          <w:b/>
        </w:rPr>
        <w:t>ritický stav VLD a VLDD je vážnym problémom a jeho riešeniu a realizácii Stratégie všeobecnej ambulantnej starostlivosti do roku 2030 by pomohlo jasnejšie naviazanie rozpočtu na túto stratégiu</w:t>
      </w:r>
      <w:r w:rsidR="00272470" w:rsidRPr="004B306F">
        <w:rPr>
          <w:rStyle w:val="Odkaznapoznmkupodiarou"/>
        </w:rPr>
        <w:footnoteReference w:id="81"/>
      </w:r>
      <w:r w:rsidR="00272470">
        <w:t xml:space="preserve">. </w:t>
      </w:r>
    </w:p>
    <w:p w14:paraId="0B581A7B" w14:textId="1A7C9581" w:rsidR="00290A9E" w:rsidRDefault="0093110C" w:rsidP="00395E3E">
      <w:pPr>
        <w:pStyle w:val="Nadpis3"/>
      </w:pPr>
      <w:bookmarkStart w:id="46" w:name="_Toc182559195"/>
      <w:r>
        <w:t>Rast</w:t>
      </w:r>
      <w:r w:rsidR="00290A9E">
        <w:t xml:space="preserve"> záväzkov najväčších štátnych zdravotníckych zariadení</w:t>
      </w:r>
      <w:bookmarkEnd w:id="46"/>
    </w:p>
    <w:p w14:paraId="5CADB6D5" w14:textId="4AEA26F7" w:rsidR="00DF11BE" w:rsidRDefault="00DF11BE" w:rsidP="00DF11BE">
      <w:pPr>
        <w:rPr>
          <w:rFonts w:cs="Segoe UI"/>
        </w:rPr>
      </w:pPr>
      <w:r w:rsidRPr="00A2428D">
        <w:rPr>
          <w:rFonts w:cs="Segoe UI"/>
          <w:b/>
        </w:rPr>
        <w:t>Rast záväzkov v lehote splatnosti a po lehote splatnosti sa ZZ v roku 2024 nepodarilo zastaviť.</w:t>
      </w:r>
      <w:r w:rsidRPr="00A2428D">
        <w:rPr>
          <w:rFonts w:cs="Segoe UI"/>
        </w:rPr>
        <w:t xml:space="preserve"> Na vážny stav narastajúceho zadlženia najväčších univerzitných nemocníc (UN) a fakultných nemocníc (FN) upozornil NKÚ SR už v </w:t>
      </w:r>
      <w:r w:rsidR="00052F8F">
        <w:rPr>
          <w:rFonts w:cs="Segoe UI"/>
        </w:rPr>
        <w:t>s</w:t>
      </w:r>
      <w:r w:rsidRPr="00A2428D">
        <w:rPr>
          <w:rFonts w:cs="Segoe UI"/>
        </w:rPr>
        <w:t>tanovisku k návrhu ŠZÚ</w:t>
      </w:r>
      <w:r w:rsidR="00052F8F">
        <w:rPr>
          <w:rFonts w:cs="Segoe UI"/>
        </w:rPr>
        <w:t xml:space="preserve"> za rok 2023</w:t>
      </w:r>
      <w:r w:rsidRPr="00A2428D">
        <w:rPr>
          <w:rStyle w:val="Odkaznapoznmkupodiarou"/>
          <w:rFonts w:cs="Segoe UI"/>
        </w:rPr>
        <w:footnoteReference w:id="82"/>
      </w:r>
      <w:r w:rsidRPr="00A2428D">
        <w:rPr>
          <w:rFonts w:cs="Segoe UI"/>
        </w:rPr>
        <w:t xml:space="preserve">. Závažnosť tohto problému znásobuje fakt, že úroveň záväzkov 13 najväčších UN a FN presiahla </w:t>
      </w:r>
      <w:r>
        <w:rPr>
          <w:rFonts w:cs="Segoe UI"/>
        </w:rPr>
        <w:t>v roku 2024 úroveň 1,19</w:t>
      </w:r>
      <w:r w:rsidRPr="00A2004A">
        <w:rPr>
          <w:rFonts w:cs="Segoe UI"/>
        </w:rPr>
        <w:t xml:space="preserve"> mld. eur.</w:t>
      </w:r>
      <w:r w:rsidRPr="00A2428D">
        <w:rPr>
          <w:rFonts w:cs="Segoe UI"/>
        </w:rPr>
        <w:t xml:space="preserve"> </w:t>
      </w:r>
      <w:r>
        <w:rPr>
          <w:rFonts w:cs="Segoe UI"/>
        </w:rPr>
        <w:t xml:space="preserve">Aktuálna úroveň dlhu k augustu 2024 sa však mierne znížila na 1,06 mld. eur, vzhľadom na úbytok záväzkov po lehote splatnosti </w:t>
      </w:r>
      <w:r w:rsidR="00052F8F">
        <w:rPr>
          <w:rFonts w:cs="Segoe UI"/>
        </w:rPr>
        <w:t>troch</w:t>
      </w:r>
      <w:r>
        <w:rPr>
          <w:rFonts w:cs="Segoe UI"/>
        </w:rPr>
        <w:t xml:space="preserve"> nemocníc</w:t>
      </w:r>
      <w:r>
        <w:rPr>
          <w:rStyle w:val="Odkaznapoznmkupodiarou"/>
          <w:rFonts w:cs="Segoe UI"/>
        </w:rPr>
        <w:footnoteReference w:id="83"/>
      </w:r>
      <w:r>
        <w:rPr>
          <w:rFonts w:cs="Segoe UI"/>
        </w:rPr>
        <w:t xml:space="preserve">. </w:t>
      </w:r>
    </w:p>
    <w:p w14:paraId="4647E36D" w14:textId="17871821" w:rsidR="008E22D6" w:rsidRDefault="00DF11BE" w:rsidP="008E22D6">
      <w:pPr>
        <w:rPr>
          <w:rFonts w:cs="Segoe UI"/>
        </w:rPr>
      </w:pPr>
      <w:r w:rsidRPr="00E610A7">
        <w:rPr>
          <w:rFonts w:cs="Segoe UI"/>
          <w:b/>
        </w:rPr>
        <w:t xml:space="preserve">UN a FN neplatia dlhodobo za tovary a služby svojim dodávateľom, a rovnako neplatia ani povinné </w:t>
      </w:r>
      <w:r>
        <w:rPr>
          <w:rFonts w:cs="Segoe UI"/>
          <w:b/>
        </w:rPr>
        <w:t>odvody do S</w:t>
      </w:r>
      <w:r w:rsidR="00052F8F">
        <w:rPr>
          <w:rFonts w:cs="Segoe UI"/>
          <w:b/>
        </w:rPr>
        <w:t>P</w:t>
      </w:r>
      <w:r w:rsidRPr="00E610A7">
        <w:rPr>
          <w:rFonts w:cs="Segoe UI"/>
          <w:b/>
        </w:rPr>
        <w:t>.</w:t>
      </w:r>
      <w:r w:rsidRPr="00A2428D">
        <w:rPr>
          <w:rFonts w:cs="Segoe UI"/>
        </w:rPr>
        <w:t xml:space="preserve"> Tento problém si všimla EK a z dôvodu porušovania smerníc EÚ</w:t>
      </w:r>
      <w:r>
        <w:rPr>
          <w:rFonts w:cs="Segoe UI"/>
        </w:rPr>
        <w:t xml:space="preserve"> podala voči SR žalobu na S</w:t>
      </w:r>
      <w:r w:rsidRPr="00A2428D">
        <w:rPr>
          <w:rFonts w:cs="Segoe UI"/>
        </w:rPr>
        <w:t>údnom dvore</w:t>
      </w:r>
      <w:r>
        <w:rPr>
          <w:rFonts w:cs="Segoe UI"/>
        </w:rPr>
        <w:t xml:space="preserve"> EÚ</w:t>
      </w:r>
      <w:r>
        <w:rPr>
          <w:rStyle w:val="Odkaznapoznmkupodiarou"/>
          <w:rFonts w:cs="Segoe UI"/>
        </w:rPr>
        <w:footnoteReference w:id="84"/>
      </w:r>
      <w:r w:rsidRPr="00A2428D">
        <w:rPr>
          <w:rFonts w:cs="Segoe UI"/>
        </w:rPr>
        <w:t>.</w:t>
      </w:r>
      <w:r>
        <w:rPr>
          <w:rFonts w:cs="Segoe UI"/>
        </w:rPr>
        <w:t xml:space="preserve"> Súdny dvor EÚ rozhodol vo veci, že SR si neplnila povinnosti od roku 2015, a tak musí zabezpečiť, aby UN a FN platili všetky svoje záväzky najneskôr do 60 dní</w:t>
      </w:r>
      <w:r w:rsidRPr="00A2428D">
        <w:rPr>
          <w:rStyle w:val="Odkaznapoznmkupodiarou"/>
          <w:rFonts w:cs="Segoe UI"/>
        </w:rPr>
        <w:footnoteReference w:id="85"/>
      </w:r>
      <w:r>
        <w:rPr>
          <w:rFonts w:cs="Segoe UI"/>
        </w:rPr>
        <w:t xml:space="preserve">. </w:t>
      </w:r>
      <w:r w:rsidR="008E22D6">
        <w:rPr>
          <w:rFonts w:cs="Segoe UI"/>
        </w:rPr>
        <w:t>Zároveň SR musí pristúpiť k vyrovnaniu všetkých záväzkov po lehote splatnosti, ale</w:t>
      </w:r>
      <w:r w:rsidR="008E22D6" w:rsidRPr="008E22D6">
        <w:rPr>
          <w:rFonts w:cs="Segoe UI"/>
        </w:rPr>
        <w:t xml:space="preserve"> </w:t>
      </w:r>
      <w:r w:rsidR="008E22D6">
        <w:rPr>
          <w:rFonts w:cs="Segoe UI"/>
        </w:rPr>
        <w:t>zatiaľ EK pre SR nestanovila v akom termíne a akým spôsobom.</w:t>
      </w:r>
    </w:p>
    <w:p w14:paraId="526A9FE6" w14:textId="0E14D900" w:rsidR="00711374" w:rsidRDefault="00052F8F" w:rsidP="00711374">
      <w:pPr>
        <w:rPr>
          <w:rFonts w:cs="Segoe UI"/>
          <w:b/>
        </w:rPr>
      </w:pPr>
      <w:r w:rsidRPr="00052F8F">
        <w:rPr>
          <w:rFonts w:cs="Segoe UI"/>
          <w:b/>
        </w:rPr>
        <w:t>O</w:t>
      </w:r>
      <w:r w:rsidR="00DF11BE" w:rsidRPr="00052F8F">
        <w:rPr>
          <w:rFonts w:cs="Segoe UI"/>
          <w:b/>
        </w:rPr>
        <w:t xml:space="preserve">tázne </w:t>
      </w:r>
      <w:r w:rsidRPr="00052F8F">
        <w:rPr>
          <w:rFonts w:cs="Segoe UI"/>
          <w:b/>
        </w:rPr>
        <w:t>z</w:t>
      </w:r>
      <w:r w:rsidR="00DF11BE" w:rsidRPr="00052F8F">
        <w:rPr>
          <w:rFonts w:cs="Segoe UI"/>
          <w:b/>
        </w:rPr>
        <w:t>ostáva, kde sú uvedené prostriedky na oddlženie rozpočtované v </w:t>
      </w:r>
      <w:r w:rsidRPr="00052F8F">
        <w:rPr>
          <w:rFonts w:cs="Segoe UI"/>
          <w:b/>
        </w:rPr>
        <w:t>n</w:t>
      </w:r>
      <w:r w:rsidR="00DF11BE" w:rsidRPr="00052F8F">
        <w:rPr>
          <w:rFonts w:cs="Segoe UI"/>
          <w:b/>
        </w:rPr>
        <w:t>ávrhu RVS na roky 2025 – 2027</w:t>
      </w:r>
      <w:r w:rsidR="00DF11BE" w:rsidRPr="006665B6">
        <w:rPr>
          <w:rFonts w:cs="Segoe UI"/>
        </w:rPr>
        <w:t xml:space="preserve">. Vzhľadom na nedefinované prostriedky môže ísť o 750 mil. eur rozpočtovaných v rámci kategórie – Výdavky na transfer do </w:t>
      </w:r>
      <w:r>
        <w:rPr>
          <w:rFonts w:cs="Segoe UI"/>
        </w:rPr>
        <w:t>ŠFA</w:t>
      </w:r>
      <w:r w:rsidR="00DF11BE" w:rsidRPr="006665B6">
        <w:rPr>
          <w:rFonts w:cs="Segoe UI"/>
        </w:rPr>
        <w:t>. Podľa informácií</w:t>
      </w:r>
      <w:r w:rsidR="00DF11BE" w:rsidRPr="00CF700C">
        <w:rPr>
          <w:rFonts w:cs="Segoe UI"/>
        </w:rPr>
        <w:t xml:space="preserve"> od </w:t>
      </w:r>
      <w:r w:rsidR="00DF11BE">
        <w:rPr>
          <w:rFonts w:cs="Segoe UI"/>
        </w:rPr>
        <w:t>MF</w:t>
      </w:r>
      <w:r w:rsidR="00DF11BE" w:rsidRPr="00CF700C">
        <w:rPr>
          <w:rFonts w:cs="Segoe UI"/>
        </w:rPr>
        <w:t xml:space="preserve"> SR vznikol v rámci RVS legislatívno-technický priestor na zabezpečenie likvidných zdrojov v </w:t>
      </w:r>
      <w:r>
        <w:rPr>
          <w:rFonts w:cs="Segoe UI"/>
        </w:rPr>
        <w:t>ŠFA</w:t>
      </w:r>
      <w:r w:rsidR="00DF11BE" w:rsidRPr="00CF700C">
        <w:rPr>
          <w:rFonts w:cs="Segoe UI"/>
        </w:rPr>
        <w:t xml:space="preserve">. Ak by v roku 2025 došlo k transformácii štátnych nemocníc na akciové spoločnosti, splnili by sa kritériá na faktické oddlženie </w:t>
      </w:r>
      <w:r>
        <w:rPr>
          <w:rFonts w:cs="Segoe UI"/>
        </w:rPr>
        <w:t>ZZ</w:t>
      </w:r>
      <w:r w:rsidR="00DF11BE" w:rsidRPr="00CF700C">
        <w:rPr>
          <w:rFonts w:cs="Segoe UI"/>
        </w:rPr>
        <w:t>. Tým by došlo k vloženiu finančných prostriedkov do základného imania pretransformovaných nemocníc. Nešlo by pritom o priame oddlženie, ale o skrytú formu, ktorou by sa mohol vykrývať dlh štátnych nemocníc.</w:t>
      </w:r>
      <w:r w:rsidR="00DF11BE">
        <w:rPr>
          <w:rFonts w:cs="Segoe UI"/>
        </w:rPr>
        <w:t xml:space="preserve">  V </w:t>
      </w:r>
      <w:r>
        <w:rPr>
          <w:rFonts w:cs="Segoe UI"/>
        </w:rPr>
        <w:t>n</w:t>
      </w:r>
      <w:r w:rsidR="00DF11BE">
        <w:rPr>
          <w:rFonts w:cs="Segoe UI"/>
        </w:rPr>
        <w:t>ávrhu RVS na roky 202</w:t>
      </w:r>
      <w:r>
        <w:rPr>
          <w:rFonts w:cs="Segoe UI"/>
        </w:rPr>
        <w:t>5</w:t>
      </w:r>
      <w:r w:rsidR="00DF11BE">
        <w:rPr>
          <w:rFonts w:cs="Segoe UI"/>
        </w:rPr>
        <w:t xml:space="preserve"> – 202</w:t>
      </w:r>
      <w:r>
        <w:rPr>
          <w:rFonts w:cs="Segoe UI"/>
        </w:rPr>
        <w:t>7</w:t>
      </w:r>
      <w:r w:rsidR="00DF11BE">
        <w:rPr>
          <w:rFonts w:cs="Segoe UI"/>
        </w:rPr>
        <w:t xml:space="preserve"> však chýba k tejto položke detailný popis. </w:t>
      </w:r>
      <w:r w:rsidR="00DF11BE" w:rsidRPr="00052F8F">
        <w:rPr>
          <w:rFonts w:cs="Segoe UI"/>
          <w:b/>
        </w:rPr>
        <w:t>NKÚ SR vidí riziko v potenciálne alokovanej sume na oddlženie ZZ, keďže rozpočtované prostriedky nie sú dostačujúce na to, aby pokryli celú sumu dlhu ZZ.</w:t>
      </w:r>
      <w:r w:rsidR="00711374" w:rsidRPr="00711374">
        <w:rPr>
          <w:rFonts w:cs="Segoe UI"/>
          <w:b/>
        </w:rPr>
        <w:t xml:space="preserve"> </w:t>
      </w:r>
      <w:r w:rsidR="00711374">
        <w:rPr>
          <w:rFonts w:cs="Segoe UI"/>
          <w:b/>
        </w:rPr>
        <w:t>Zároveň odporúča MZ SR vypracovať dlhodobý ozdravný plán, aby hospodárenie nemocníc nevytváralo ďalší dlh.</w:t>
      </w:r>
    </w:p>
    <w:p w14:paraId="351B1D8F" w14:textId="3E6473AE" w:rsidR="00052F8F" w:rsidRDefault="00052F8F" w:rsidP="00052F8F">
      <w:pPr>
        <w:rPr>
          <w:rFonts w:cs="Segoe UI"/>
        </w:rPr>
      </w:pPr>
      <w:r w:rsidRPr="009F1754">
        <w:rPr>
          <w:rFonts w:cs="Segoe UI"/>
          <w:b/>
        </w:rPr>
        <w:t xml:space="preserve">Najviac dlžia UN a FN voči Sociálnej poisťovni, a to viac ako 451 mil. </w:t>
      </w:r>
      <w:r w:rsidRPr="00052F8F">
        <w:rPr>
          <w:rFonts w:cs="Segoe UI"/>
          <w:b/>
        </w:rPr>
        <w:t>eur</w:t>
      </w:r>
      <w:r w:rsidR="008C738B">
        <w:rPr>
          <w:rFonts w:cs="Segoe UI"/>
          <w:b/>
        </w:rPr>
        <w:t xml:space="preserve"> vrátane istiny a príslušenstva</w:t>
      </w:r>
      <w:r w:rsidRPr="00052F8F">
        <w:rPr>
          <w:rFonts w:cs="Segoe UI"/>
          <w:b/>
        </w:rPr>
        <w:t xml:space="preserve"> </w:t>
      </w:r>
      <w:r w:rsidRPr="00052F8F">
        <w:rPr>
          <w:rFonts w:cs="Segoe UI"/>
        </w:rPr>
        <w:t>(graf 2</w:t>
      </w:r>
      <w:r w:rsidR="00794092">
        <w:rPr>
          <w:rFonts w:cs="Segoe UI"/>
        </w:rPr>
        <w:t>5</w:t>
      </w:r>
      <w:r w:rsidRPr="00052F8F">
        <w:rPr>
          <w:rFonts w:cs="Segoe UI"/>
        </w:rPr>
        <w:t>)</w:t>
      </w:r>
      <w:r w:rsidRPr="00052F8F">
        <w:rPr>
          <w:rFonts w:cs="Segoe UI"/>
          <w:b/>
        </w:rPr>
        <w:t>.</w:t>
      </w:r>
      <w:r w:rsidRPr="00052F8F">
        <w:rPr>
          <w:rFonts w:cs="Segoe UI"/>
        </w:rPr>
        <w:t xml:space="preserve"> Druhé</w:t>
      </w:r>
      <w:r w:rsidRPr="009F1754">
        <w:rPr>
          <w:rFonts w:cs="Segoe UI"/>
        </w:rPr>
        <w:t xml:space="preserve"> najvyššie sú záväzky voči </w:t>
      </w:r>
      <w:r w:rsidR="0093110C">
        <w:rPr>
          <w:rFonts w:cs="Segoe UI"/>
        </w:rPr>
        <w:t>vlastným</w:t>
      </w:r>
      <w:r w:rsidRPr="009F1754">
        <w:rPr>
          <w:rFonts w:cs="Segoe UI"/>
        </w:rPr>
        <w:t xml:space="preserve"> dodávateľom vo výške 384,4 mil. eur za dodané tovary a služby, ale aj krv a krvné produkty. Záväzky </w:t>
      </w:r>
      <w:r w:rsidR="0093110C">
        <w:rPr>
          <w:rFonts w:cs="Segoe UI"/>
        </w:rPr>
        <w:t>voči Národnej transfúznej službe</w:t>
      </w:r>
      <w:r w:rsidRPr="009F1754">
        <w:rPr>
          <w:rFonts w:cs="Segoe UI"/>
        </w:rPr>
        <w:t xml:space="preserve"> dosahujú viac ako 31 mil. eur. Tretie najvyššie sú iné záväzky, ktoré zároveň v sume 255 mil. eur zahŕňajú rezervy, zábezpeky, prijaté NFV a ostatné záväzky postúpené tretím stranám, tieto záväzky sú však očistené o transfery.</w:t>
      </w:r>
    </w:p>
    <w:p w14:paraId="5743C46F" w14:textId="0A56C614" w:rsidR="00A156B7" w:rsidRDefault="00A156B7" w:rsidP="00A156B7">
      <w:pPr>
        <w:rPr>
          <w:rFonts w:cs="Segoe UI"/>
        </w:rPr>
      </w:pPr>
      <w:r w:rsidRPr="00A156B7">
        <w:rPr>
          <w:rFonts w:cs="Segoe UI"/>
          <w:b/>
        </w:rPr>
        <w:lastRenderedPageBreak/>
        <w:t xml:space="preserve">NKÚ SR počas roka 2024 vykonáva kontrolu vo vybraných ZZ so zameraním na </w:t>
      </w:r>
      <w:r w:rsidR="00F471DB">
        <w:rPr>
          <w:rFonts w:cs="Segoe UI"/>
          <w:b/>
        </w:rPr>
        <w:t>riade</w:t>
      </w:r>
      <w:r w:rsidRPr="00A156B7">
        <w:rPr>
          <w:rFonts w:cs="Segoe UI"/>
          <w:b/>
        </w:rPr>
        <w:t>nie záväzkov.</w:t>
      </w:r>
      <w:r>
        <w:rPr>
          <w:rFonts w:cs="Segoe UI"/>
        </w:rPr>
        <w:t xml:space="preserve"> Výsledky kontroly </w:t>
      </w:r>
      <w:r w:rsidR="00F471DB">
        <w:rPr>
          <w:rFonts w:cs="Segoe UI"/>
        </w:rPr>
        <w:t>možno očakávať v 1. štvrťroku 2025</w:t>
      </w:r>
      <w:r>
        <w:rPr>
          <w:rFonts w:cs="Segoe UI"/>
        </w:rPr>
        <w:t xml:space="preserve">. </w:t>
      </w:r>
    </w:p>
    <w:p w14:paraId="6F04F9BE" w14:textId="3D7593DB" w:rsidR="00DF11BE" w:rsidRPr="001469EA" w:rsidRDefault="00DF11BE" w:rsidP="00DF11BE">
      <w:pPr>
        <w:pBdr>
          <w:bottom w:val="single" w:sz="4" w:space="1" w:color="auto"/>
        </w:pBdr>
        <w:spacing w:after="0"/>
        <w:rPr>
          <w:rFonts w:cs="Segoe UI"/>
          <w:b/>
          <w:color w:val="314364"/>
          <w:szCs w:val="20"/>
        </w:rPr>
      </w:pPr>
      <w:r w:rsidRPr="001469EA">
        <w:rPr>
          <w:rFonts w:cs="Segoe UI"/>
          <w:b/>
          <w:color w:val="314364"/>
          <w:szCs w:val="20"/>
        </w:rPr>
        <w:t xml:space="preserve">Graf </w:t>
      </w:r>
      <w:r w:rsidR="00052F8F">
        <w:rPr>
          <w:rFonts w:cs="Segoe UI"/>
          <w:b/>
          <w:color w:val="314364"/>
          <w:szCs w:val="20"/>
        </w:rPr>
        <w:t>2</w:t>
      </w:r>
      <w:r w:rsidR="00794092">
        <w:rPr>
          <w:rFonts w:cs="Segoe UI"/>
          <w:b/>
          <w:color w:val="314364"/>
          <w:szCs w:val="20"/>
        </w:rPr>
        <w:t>5</w:t>
      </w:r>
      <w:r w:rsidR="00052F8F">
        <w:rPr>
          <w:rFonts w:cs="Segoe UI"/>
          <w:b/>
          <w:color w:val="314364"/>
          <w:szCs w:val="20"/>
        </w:rPr>
        <w:t>:</w:t>
      </w:r>
      <w:r w:rsidRPr="001469EA">
        <w:rPr>
          <w:rFonts w:cs="Segoe UI"/>
          <w:b/>
          <w:color w:val="314364"/>
          <w:szCs w:val="20"/>
        </w:rPr>
        <w:t xml:space="preserve"> Štruktúra záväzkov </w:t>
      </w:r>
      <w:r w:rsidR="004A5989">
        <w:rPr>
          <w:rFonts w:cs="Segoe UI"/>
          <w:b/>
          <w:color w:val="314364"/>
          <w:szCs w:val="20"/>
        </w:rPr>
        <w:t xml:space="preserve">v lehote a po lehote splatnosti </w:t>
      </w:r>
      <w:r w:rsidRPr="001469EA">
        <w:rPr>
          <w:rFonts w:cs="Segoe UI"/>
          <w:b/>
          <w:color w:val="314364"/>
          <w:szCs w:val="20"/>
        </w:rPr>
        <w:t>13 najväčších UN a</w:t>
      </w:r>
      <w:r w:rsidR="004A5989">
        <w:rPr>
          <w:rFonts w:cs="Segoe UI"/>
          <w:b/>
          <w:color w:val="314364"/>
          <w:szCs w:val="20"/>
        </w:rPr>
        <w:t> </w:t>
      </w:r>
      <w:r w:rsidRPr="001469EA">
        <w:rPr>
          <w:rFonts w:cs="Segoe UI"/>
          <w:b/>
          <w:color w:val="314364"/>
          <w:szCs w:val="20"/>
        </w:rPr>
        <w:t>FN</w:t>
      </w:r>
      <w:r w:rsidR="004A5989">
        <w:rPr>
          <w:rFonts w:cs="Segoe UI"/>
          <w:b/>
          <w:color w:val="314364"/>
          <w:szCs w:val="20"/>
        </w:rPr>
        <w:t xml:space="preserve"> k augustu 2024</w:t>
      </w:r>
      <w:r w:rsidR="00C338CD">
        <w:rPr>
          <w:rFonts w:cs="Segoe UI"/>
          <w:b/>
          <w:color w:val="314364"/>
          <w:szCs w:val="20"/>
        </w:rPr>
        <w:t xml:space="preserve"> (v mil. eur)</w:t>
      </w:r>
    </w:p>
    <w:p w14:paraId="2CEDED8E" w14:textId="77777777" w:rsidR="00DF11BE" w:rsidRDefault="00DF11BE" w:rsidP="00DF11BE">
      <w:pPr>
        <w:spacing w:after="0" w:line="240" w:lineRule="auto"/>
        <w:rPr>
          <w:rFonts w:cs="Segoe UI"/>
        </w:rPr>
      </w:pPr>
      <w:r>
        <w:rPr>
          <w:noProof/>
          <w:lang w:eastAsia="sk-SK"/>
        </w:rPr>
        <w:drawing>
          <wp:inline distT="0" distB="0" distL="0" distR="0" wp14:anchorId="57A96D47" wp14:editId="19D23056">
            <wp:extent cx="5760720" cy="2188028"/>
            <wp:effectExtent l="0" t="0" r="0" b="3175"/>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EBF1A0E" w14:textId="75237FB3" w:rsidR="00DF11BE" w:rsidRDefault="00DF11BE" w:rsidP="00DF11BE">
      <w:pPr>
        <w:pStyle w:val="Zdroj"/>
        <w:pBdr>
          <w:top w:val="single" w:sz="4" w:space="1" w:color="auto"/>
        </w:pBdr>
      </w:pPr>
      <w:r w:rsidRPr="00834E54">
        <w:t>Zdroj: MZ SR a MO SR, spracovanie NKÚ SR</w:t>
      </w:r>
      <w:r w:rsidR="0022613F">
        <w:t>.</w:t>
      </w:r>
    </w:p>
    <w:p w14:paraId="67F27CA1" w14:textId="1C2666E1" w:rsidR="00290A9E" w:rsidRPr="00290A9E" w:rsidRDefault="00290A9E" w:rsidP="00052F8F">
      <w:pPr>
        <w:pStyle w:val="Nadpis3"/>
      </w:pPr>
      <w:bookmarkStart w:id="47" w:name="_Toc182559196"/>
      <w:r w:rsidRPr="00290A9E">
        <w:t xml:space="preserve">Investičný dlh </w:t>
      </w:r>
      <w:r w:rsidR="008C738B">
        <w:t xml:space="preserve">budov </w:t>
      </w:r>
      <w:r w:rsidRPr="00290A9E">
        <w:t>najväčších štátnych zdravotníckych zariadení</w:t>
      </w:r>
      <w:bookmarkEnd w:id="47"/>
    </w:p>
    <w:p w14:paraId="5CA42AD1" w14:textId="3DD59665" w:rsidR="00290A9E" w:rsidRDefault="00290A9E" w:rsidP="00290A9E">
      <w:pPr>
        <w:rPr>
          <w:rFonts w:cs="Segoe UI"/>
        </w:rPr>
      </w:pPr>
      <w:r w:rsidRPr="00290A9E">
        <w:rPr>
          <w:rFonts w:cs="Segoe UI"/>
          <w:b/>
        </w:rPr>
        <w:t xml:space="preserve">Najväčšie štátne zdravotnícke zariadenia </w:t>
      </w:r>
      <w:r>
        <w:rPr>
          <w:rFonts w:cs="Segoe UI"/>
          <w:b/>
        </w:rPr>
        <w:t>sú zaťažené nie len dlhodo</w:t>
      </w:r>
      <w:r w:rsidR="00052F8F">
        <w:rPr>
          <w:rFonts w:cs="Segoe UI"/>
          <w:b/>
        </w:rPr>
        <w:t>bo</w:t>
      </w:r>
      <w:r w:rsidRPr="00290A9E">
        <w:rPr>
          <w:rFonts w:cs="Segoe UI"/>
          <w:b/>
        </w:rPr>
        <w:t xml:space="preserve"> pretrvávajúcim finančným dlhom voči verejným financiám a sv</w:t>
      </w:r>
      <w:r>
        <w:rPr>
          <w:rFonts w:cs="Segoe UI"/>
          <w:b/>
        </w:rPr>
        <w:t>ojim dodávateľom, ale tiež</w:t>
      </w:r>
      <w:r w:rsidRPr="00290A9E">
        <w:rPr>
          <w:rFonts w:cs="Segoe UI"/>
          <w:b/>
        </w:rPr>
        <w:t xml:space="preserve"> investičným dlhom</w:t>
      </w:r>
      <w:r>
        <w:rPr>
          <w:rFonts w:cs="Segoe UI"/>
          <w:b/>
        </w:rPr>
        <w:t>.</w:t>
      </w:r>
      <w:r w:rsidRPr="00290A9E">
        <w:rPr>
          <w:rFonts w:cs="Segoe UI"/>
        </w:rPr>
        <w:t xml:space="preserve"> </w:t>
      </w:r>
      <w:r>
        <w:rPr>
          <w:rFonts w:cs="Segoe UI"/>
        </w:rPr>
        <w:t xml:space="preserve">Na tento dlh </w:t>
      </w:r>
      <w:r w:rsidR="00FD5A3F">
        <w:rPr>
          <w:rFonts w:cs="Segoe UI"/>
        </w:rPr>
        <w:t xml:space="preserve">poukazuje NKÚ SR dlhodobo, pričom </w:t>
      </w:r>
      <w:r w:rsidRPr="002C22EF">
        <w:rPr>
          <w:rFonts w:cs="Segoe UI"/>
        </w:rPr>
        <w:t>MZ SR prostredníctvom podrobnej metodiky už v roku 2013 priznalo investičný dlh ZZ na úrovni 3,9 mld. eur</w:t>
      </w:r>
      <w:r w:rsidRPr="002C22EF">
        <w:rPr>
          <w:rStyle w:val="Odkaznapoznmkupodiarou"/>
          <w:rFonts w:cs="Segoe UI"/>
        </w:rPr>
        <w:footnoteReference w:id="86"/>
      </w:r>
      <w:r w:rsidRPr="002C22EF">
        <w:rPr>
          <w:rFonts w:cs="Segoe UI"/>
        </w:rPr>
        <w:t xml:space="preserve">. Pod investičný dlh </w:t>
      </w:r>
      <w:r w:rsidR="008C738B">
        <w:rPr>
          <w:rFonts w:cs="Segoe UI"/>
        </w:rPr>
        <w:t xml:space="preserve">budov </w:t>
      </w:r>
      <w:r w:rsidRPr="002C22EF">
        <w:rPr>
          <w:rFonts w:cs="Segoe UI"/>
        </w:rPr>
        <w:t xml:space="preserve">štátnych ZZ sa podpisuje dlhodobé podfinancovanie rezortu zdravotníctva, </w:t>
      </w:r>
      <w:r w:rsidR="003D01FD">
        <w:rPr>
          <w:rFonts w:cs="Segoe UI"/>
        </w:rPr>
        <w:t xml:space="preserve">dôsledok alokácie zdrojov, </w:t>
      </w:r>
      <w:r w:rsidRPr="002C22EF">
        <w:rPr>
          <w:rFonts w:cs="Segoe UI"/>
        </w:rPr>
        <w:t xml:space="preserve">nekoordinované rozhodovanie nemocníc a dlhodobé hospodárenie generujúce straty. Tieto javy negatívne ovplyvňujú možnosť riaditeľov ZZ investovať potrebné prostriedky na rekonštrukciu </w:t>
      </w:r>
      <w:r>
        <w:rPr>
          <w:rFonts w:cs="Segoe UI"/>
        </w:rPr>
        <w:t xml:space="preserve">a modernizáciu </w:t>
      </w:r>
      <w:r w:rsidRPr="002C22EF">
        <w:rPr>
          <w:rFonts w:cs="Segoe UI"/>
        </w:rPr>
        <w:t>budov, čo sa odzrkadľuje v</w:t>
      </w:r>
      <w:r w:rsidR="00052F8F">
        <w:rPr>
          <w:rFonts w:cs="Segoe UI"/>
        </w:rPr>
        <w:t xml:space="preserve"> ich</w:t>
      </w:r>
      <w:r>
        <w:rPr>
          <w:rFonts w:cs="Segoe UI"/>
        </w:rPr>
        <w:t xml:space="preserve"> narastajúcom </w:t>
      </w:r>
      <w:r w:rsidRPr="002C22EF">
        <w:rPr>
          <w:rFonts w:cs="Segoe UI"/>
        </w:rPr>
        <w:t>investičnom dlhu.</w:t>
      </w:r>
    </w:p>
    <w:p w14:paraId="2528A5B1" w14:textId="7105EBC9" w:rsidR="001E0D59" w:rsidRPr="001469EA" w:rsidRDefault="001E0D59" w:rsidP="001E0D59">
      <w:pPr>
        <w:pBdr>
          <w:bottom w:val="single" w:sz="4" w:space="1" w:color="auto"/>
        </w:pBdr>
        <w:spacing w:after="0"/>
        <w:rPr>
          <w:rFonts w:cs="Segoe UI"/>
          <w:b/>
          <w:color w:val="314364"/>
          <w:szCs w:val="20"/>
        </w:rPr>
      </w:pPr>
      <w:r w:rsidRPr="001469EA">
        <w:rPr>
          <w:rFonts w:cs="Segoe UI"/>
          <w:b/>
          <w:color w:val="314364"/>
          <w:szCs w:val="20"/>
        </w:rPr>
        <w:t xml:space="preserve">Graf </w:t>
      </w:r>
      <w:r>
        <w:rPr>
          <w:rFonts w:cs="Segoe UI"/>
          <w:b/>
          <w:color w:val="314364"/>
          <w:szCs w:val="20"/>
        </w:rPr>
        <w:t>2</w:t>
      </w:r>
      <w:r w:rsidR="00794092">
        <w:rPr>
          <w:rFonts w:cs="Segoe UI"/>
          <w:b/>
          <w:color w:val="314364"/>
          <w:szCs w:val="20"/>
        </w:rPr>
        <w:t>6</w:t>
      </w:r>
      <w:r w:rsidRPr="001469EA">
        <w:rPr>
          <w:rFonts w:cs="Segoe UI"/>
          <w:b/>
          <w:color w:val="314364"/>
          <w:szCs w:val="20"/>
        </w:rPr>
        <w:t>: Miera opotrebenia stavieb 13 najväčších štátnych UN a FN za roky 2019 - 2023 (v %)</w:t>
      </w:r>
    </w:p>
    <w:p w14:paraId="236932F2" w14:textId="77777777" w:rsidR="001E0D59" w:rsidRDefault="001E0D59" w:rsidP="001E0D59">
      <w:pPr>
        <w:spacing w:after="0" w:line="240" w:lineRule="auto"/>
        <w:rPr>
          <w:rFonts w:cs="Segoe UI"/>
        </w:rPr>
      </w:pPr>
      <w:r>
        <w:rPr>
          <w:noProof/>
          <w:lang w:eastAsia="sk-SK"/>
        </w:rPr>
        <w:drawing>
          <wp:inline distT="0" distB="0" distL="0" distR="0" wp14:anchorId="2E29AF97" wp14:editId="1041FF63">
            <wp:extent cx="5760720" cy="2126673"/>
            <wp:effectExtent l="0" t="0" r="0" b="6985"/>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5D437DF" w14:textId="55E1BDCE" w:rsidR="001E0D59" w:rsidRDefault="001E0D59" w:rsidP="001E0D59">
      <w:pPr>
        <w:pStyle w:val="Zdroj"/>
        <w:pBdr>
          <w:top w:val="single" w:sz="4" w:space="1" w:color="auto"/>
        </w:pBdr>
      </w:pPr>
      <w:r w:rsidRPr="00290A9E">
        <w:t>Zdroj: Register účtovných závierok, spracovanie NKÚ SR</w:t>
      </w:r>
      <w:r w:rsidR="0022613F">
        <w:t>.</w:t>
      </w:r>
    </w:p>
    <w:p w14:paraId="3A400507" w14:textId="493BF327" w:rsidR="00E25133" w:rsidRPr="00DD57E1" w:rsidRDefault="00E25133" w:rsidP="00E25133">
      <w:pPr>
        <w:rPr>
          <w:rFonts w:cs="Segoe UI"/>
          <w:sz w:val="22"/>
        </w:rPr>
      </w:pPr>
      <w:r w:rsidRPr="009E4BE6">
        <w:rPr>
          <w:rFonts w:cs="Segoe UI"/>
          <w:b/>
        </w:rPr>
        <w:t>Miera opotrebenia budov vybraných 13 najväčších nemocníc má veľké rozpätie, najhoršie na tom je UN v Bratislave, ktorá má mieru opotrebenia budov na úrovni takmer 84 %</w:t>
      </w:r>
      <w:r>
        <w:rPr>
          <w:rFonts w:cs="Segoe UI"/>
        </w:rPr>
        <w:t xml:space="preserve"> </w:t>
      </w:r>
      <w:r w:rsidRPr="001E0D59">
        <w:rPr>
          <w:rFonts w:cs="Segoe UI"/>
        </w:rPr>
        <w:t xml:space="preserve">(graf </w:t>
      </w:r>
      <w:r>
        <w:rPr>
          <w:rFonts w:cs="Segoe UI"/>
        </w:rPr>
        <w:t>2</w:t>
      </w:r>
      <w:r w:rsidR="00794092">
        <w:rPr>
          <w:rFonts w:cs="Segoe UI"/>
        </w:rPr>
        <w:t>6</w:t>
      </w:r>
      <w:r>
        <w:rPr>
          <w:rFonts w:cs="Segoe UI"/>
        </w:rPr>
        <w:t xml:space="preserve">, box 4). Naopak, z najväčších štátnych nemocníc je na tom najlepšie FN Nové Zámky, ktorá dosahuje mieru </w:t>
      </w:r>
      <w:r>
        <w:rPr>
          <w:rFonts w:cs="Segoe UI"/>
        </w:rPr>
        <w:lastRenderedPageBreak/>
        <w:t>opotrebenia na úrovni približne 26 %. Mediánová hodnota miery opotrebenia vybraných ZZ je na úrovni 57,3 %. Priemerná hodnota opotrebenia budov 13 najväčších českých FN je pritom na úrovni 64 %.</w:t>
      </w:r>
    </w:p>
    <w:p w14:paraId="6239AEA8" w14:textId="24843306" w:rsidR="001E0D59" w:rsidRDefault="001E0D59" w:rsidP="001E0D59">
      <w:pPr>
        <w:rPr>
          <w:rFonts w:cs="Segoe UI"/>
        </w:rPr>
      </w:pPr>
      <w:r w:rsidRPr="001E0D59">
        <w:rPr>
          <w:rFonts w:cs="Segoe UI"/>
        </w:rPr>
        <w:t xml:space="preserve">Odhad investičného dlhu </w:t>
      </w:r>
      <w:r w:rsidR="008C738B">
        <w:rPr>
          <w:rFonts w:cs="Segoe UI"/>
        </w:rPr>
        <w:t xml:space="preserve">budov </w:t>
      </w:r>
      <w:r w:rsidR="008E22D6">
        <w:rPr>
          <w:rFonts w:cs="Segoe UI"/>
        </w:rPr>
        <w:t>vyplýva</w:t>
      </w:r>
      <w:r w:rsidRPr="001E0D59">
        <w:rPr>
          <w:rFonts w:cs="Segoe UI"/>
        </w:rPr>
        <w:t xml:space="preserve"> z výpočtu </w:t>
      </w:r>
      <w:r w:rsidR="008E22D6">
        <w:rPr>
          <w:rFonts w:cs="Segoe UI"/>
        </w:rPr>
        <w:t xml:space="preserve">podľa </w:t>
      </w:r>
      <w:r w:rsidRPr="001E0D59">
        <w:rPr>
          <w:rFonts w:cs="Segoe UI"/>
        </w:rPr>
        <w:t>scenárov, ktorých metodika je podrobne popísaná v boxe 4. Investičný dlh je počítaný ako pomer päťročného priemeru stavu budov vybraných ZZ na „Netto“ a</w:t>
      </w:r>
      <w:r>
        <w:rPr>
          <w:rFonts w:cs="Segoe UI"/>
        </w:rPr>
        <w:t xml:space="preserve"> „Brutto“ položkách Stavby v rámci účtovných závierok ZZ.</w:t>
      </w:r>
    </w:p>
    <w:tbl>
      <w:tblPr>
        <w:tblStyle w:val="Mriekatabuky1"/>
        <w:tblW w:w="0" w:type="auto"/>
        <w:tblBorders>
          <w:top w:val="single" w:sz="4" w:space="0" w:color="314364"/>
          <w:left w:val="single" w:sz="4" w:space="0" w:color="314364"/>
          <w:bottom w:val="single" w:sz="4" w:space="0" w:color="314364"/>
          <w:right w:val="single" w:sz="4" w:space="0" w:color="314364"/>
          <w:insideH w:val="none" w:sz="0" w:space="0" w:color="auto"/>
          <w:insideV w:val="none" w:sz="0" w:space="0" w:color="auto"/>
        </w:tblBorders>
        <w:shd w:val="clear" w:color="auto" w:fill="EBF0FB"/>
        <w:tblLook w:val="04A0" w:firstRow="1" w:lastRow="0" w:firstColumn="1" w:lastColumn="0" w:noHBand="0" w:noVBand="1"/>
      </w:tblPr>
      <w:tblGrid>
        <w:gridCol w:w="9060"/>
      </w:tblGrid>
      <w:tr w:rsidR="001E0D59" w:rsidRPr="002772DE" w14:paraId="5B801E59" w14:textId="77777777" w:rsidTr="006257C9">
        <w:tc>
          <w:tcPr>
            <w:tcW w:w="9060" w:type="dxa"/>
            <w:shd w:val="clear" w:color="auto" w:fill="EBF0FB"/>
          </w:tcPr>
          <w:p w14:paraId="15F3FAF0" w14:textId="49BF95EC" w:rsidR="001E0D59" w:rsidRPr="002772DE" w:rsidRDefault="001E0D59" w:rsidP="006257C9">
            <w:pPr>
              <w:spacing w:before="120"/>
              <w:ind w:right="163"/>
              <w:rPr>
                <w:rFonts w:cs="Times New Roman"/>
                <w:b/>
              </w:rPr>
            </w:pPr>
            <w:r>
              <w:rPr>
                <w:rFonts w:cs="Times New Roman"/>
                <w:b/>
              </w:rPr>
              <w:t>Box 4</w:t>
            </w:r>
            <w:r w:rsidRPr="002772DE">
              <w:rPr>
                <w:rFonts w:cs="Times New Roman"/>
                <w:b/>
              </w:rPr>
              <w:t xml:space="preserve">: </w:t>
            </w:r>
            <w:r w:rsidRPr="001E0D59">
              <w:rPr>
                <w:rFonts w:cs="Times New Roman"/>
                <w:b/>
              </w:rPr>
              <w:t xml:space="preserve">Metodika výpočtu miery opotrebenia a investičného dlhu </w:t>
            </w:r>
            <w:r w:rsidR="008C738B">
              <w:rPr>
                <w:rFonts w:cs="Times New Roman"/>
                <w:b/>
              </w:rPr>
              <w:t xml:space="preserve">budov </w:t>
            </w:r>
            <w:r w:rsidRPr="001E0D59">
              <w:rPr>
                <w:rFonts w:cs="Times New Roman"/>
                <w:b/>
              </w:rPr>
              <w:t>ZZ</w:t>
            </w:r>
          </w:p>
          <w:tbl>
            <w:tblPr>
              <w:tblStyle w:val="Mriekatabuky"/>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844"/>
            </w:tblGrid>
            <w:tr w:rsidR="001E0D59" w:rsidRPr="001E0D59" w14:paraId="630C3534" w14:textId="77777777" w:rsidTr="006257C9">
              <w:tc>
                <w:tcPr>
                  <w:tcW w:w="9062" w:type="dxa"/>
                </w:tcPr>
                <w:p w14:paraId="1783FCBC" w14:textId="226A5F18" w:rsidR="001E0D59" w:rsidRPr="001E0D59" w:rsidRDefault="001E0D59" w:rsidP="001E0D59">
                  <w:pPr>
                    <w:rPr>
                      <w:rFonts w:cs="Segoe UI"/>
                      <w:sz w:val="18"/>
                      <w:szCs w:val="20"/>
                    </w:rPr>
                  </w:pPr>
                  <w:r w:rsidRPr="001E0D59">
                    <w:rPr>
                      <w:rFonts w:cs="Segoe UI"/>
                      <w:sz w:val="18"/>
                      <w:szCs w:val="20"/>
                    </w:rPr>
                    <w:t xml:space="preserve">Na výpočet investičného dlhu </w:t>
                  </w:r>
                  <w:r w:rsidR="008C738B">
                    <w:rPr>
                      <w:rFonts w:cs="Segoe UI"/>
                      <w:sz w:val="18"/>
                      <w:szCs w:val="20"/>
                    </w:rPr>
                    <w:t xml:space="preserve">budov </w:t>
                  </w:r>
                  <w:r w:rsidRPr="001E0D59">
                    <w:rPr>
                      <w:rFonts w:cs="Segoe UI"/>
                      <w:sz w:val="18"/>
                      <w:szCs w:val="20"/>
                    </w:rPr>
                    <w:t>existuje niekoľko metód, z ktorých väčšina si vyžaduje údaje, ktoré nie sú v rezorte zdravotníctva na Slovensku dostupné. Pre zjednodušený výpočet investičného dlhu musíme poznať hodnoty „Brutto“ a „Netto“ na položke Stavby z účtovnej závierky za daný rok. Priemer týchto hodnôt za posledných 5 rokov nám umožní vypočítať pomer „Netto“ k „Brutto“ (Priemer „Netto Stavby“ / Priemer „Brutto Stavby“). Tento pomer vynásobený 100 a odpočítaný od 100 nám dá mieru opotrebenia stavieb, ktorá ukazuje, aký percentuálny podiel budov je opotrebený. Príklad: Ak je pomer „Netto Stavby“ / „Brutto Stavby“ 0,48, výsledná miera opotrebenia je 52 % (100 % - 48 %).</w:t>
                  </w:r>
                </w:p>
                <w:p w14:paraId="3D837DAE" w14:textId="19376750" w:rsidR="001E0D59" w:rsidRPr="001E0D59" w:rsidRDefault="001E0D59" w:rsidP="001E0D59">
                  <w:pPr>
                    <w:rPr>
                      <w:rFonts w:cs="Segoe UI"/>
                      <w:sz w:val="18"/>
                      <w:szCs w:val="20"/>
                    </w:rPr>
                  </w:pPr>
                  <w:r w:rsidRPr="001E0D59">
                    <w:rPr>
                      <w:rFonts w:cs="Segoe UI"/>
                      <w:sz w:val="18"/>
                      <w:szCs w:val="20"/>
                    </w:rPr>
                    <w:t>Znalosť tohto pomeru nám umožňuje vypočítať scenáre a investičné výdavky potrebné na dosiahnutie požadovanej úrovne. Prvým kritériom bude stav budov vybraných zdravotníckych zariadení bez investičného dlhu, s cieľom dosiahnuť hodnotu 97,5 %</w:t>
                  </w:r>
                  <w:r w:rsidRPr="001E0D59">
                    <w:rPr>
                      <w:rStyle w:val="Odkaznapoznmkupodiarou"/>
                      <w:rFonts w:cs="Segoe UI"/>
                      <w:sz w:val="18"/>
                      <w:szCs w:val="20"/>
                    </w:rPr>
                    <w:footnoteReference w:id="87"/>
                  </w:r>
                  <w:r w:rsidRPr="001E0D59">
                    <w:rPr>
                      <w:rFonts w:cs="Segoe UI"/>
                      <w:sz w:val="18"/>
                      <w:szCs w:val="20"/>
                    </w:rPr>
                    <w:t xml:space="preserve"> na základe priemeru piatich rokov (2019 – 2023). Rozdiel medzi aktuálnym stavom budov ZZ (43 %) a cieľovou hodnotou nám poskytne odhad investičného dlhu </w:t>
                  </w:r>
                  <w:r w:rsidR="008C738B">
                    <w:rPr>
                      <w:rFonts w:cs="Segoe UI"/>
                      <w:sz w:val="18"/>
                      <w:szCs w:val="20"/>
                    </w:rPr>
                    <w:t xml:space="preserve">budov </w:t>
                  </w:r>
                  <w:r w:rsidRPr="001E0D59">
                    <w:rPr>
                      <w:rFonts w:cs="Segoe UI"/>
                      <w:sz w:val="18"/>
                      <w:szCs w:val="20"/>
                    </w:rPr>
                    <w:t xml:space="preserve">v </w:t>
                  </w:r>
                  <w:r w:rsidR="008C738B">
                    <w:rPr>
                      <w:rFonts w:cs="Segoe UI"/>
                      <w:sz w:val="18"/>
                      <w:szCs w:val="20"/>
                    </w:rPr>
                    <w:t> </w:t>
                  </w:r>
                  <w:r w:rsidRPr="001E0D59">
                    <w:rPr>
                      <w:rFonts w:cs="Segoe UI"/>
                      <w:sz w:val="18"/>
                      <w:szCs w:val="20"/>
                    </w:rPr>
                    <w:t xml:space="preserve">eurách. Ďalším benchmarkom bude priemerná hodnota súkromných zdravotníckych zariadení, kde je pomer stavu budov 80 %, čo znamená mieru opotrebenia približne 20 %. Rozdiel medzi 43 % a 80 % tiež prispeje k výpočtu ďalšieho scenára investičného dlhu. Tretí a zároveň medzinárodný benchmark bude pozostávať z 13 najväčších českých fakultných nemocníc, ktorých úroveň stavieb FN dosahuje hodnotu 64%. Výsledky </w:t>
                  </w:r>
                  <w:r w:rsidR="009E4BE6">
                    <w:rPr>
                      <w:rFonts w:cs="Segoe UI"/>
                      <w:sz w:val="18"/>
                      <w:szCs w:val="20"/>
                    </w:rPr>
                    <w:t xml:space="preserve">výpočtu </w:t>
                  </w:r>
                  <w:r w:rsidRPr="001E0D59">
                    <w:rPr>
                      <w:rFonts w:cs="Segoe UI"/>
                      <w:sz w:val="18"/>
                      <w:szCs w:val="20"/>
                    </w:rPr>
                    <w:t xml:space="preserve">sú predmetom tabuľky </w:t>
                  </w:r>
                  <w:r w:rsidR="009E4BE6">
                    <w:rPr>
                      <w:rFonts w:cs="Segoe UI"/>
                      <w:sz w:val="18"/>
                      <w:szCs w:val="20"/>
                    </w:rPr>
                    <w:t>1</w:t>
                  </w:r>
                  <w:r w:rsidR="00794092">
                    <w:rPr>
                      <w:rFonts w:cs="Segoe UI"/>
                      <w:sz w:val="18"/>
                      <w:szCs w:val="20"/>
                    </w:rPr>
                    <w:t>1</w:t>
                  </w:r>
                  <w:r w:rsidRPr="001E0D59">
                    <w:rPr>
                      <w:rFonts w:cs="Segoe UI"/>
                      <w:sz w:val="18"/>
                      <w:szCs w:val="20"/>
                    </w:rPr>
                    <w:t>.</w:t>
                  </w:r>
                </w:p>
                <w:p w14:paraId="78795DB1" w14:textId="72AF6296" w:rsidR="001E0D59" w:rsidRPr="001E0D59" w:rsidRDefault="001E0D59" w:rsidP="001E0D59">
                  <w:pPr>
                    <w:rPr>
                      <w:rFonts w:cs="Segoe UI"/>
                      <w:sz w:val="18"/>
                    </w:rPr>
                  </w:pPr>
                  <w:r w:rsidRPr="001E0D59">
                    <w:rPr>
                      <w:rFonts w:cs="Segoe UI"/>
                      <w:sz w:val="18"/>
                      <w:szCs w:val="20"/>
                    </w:rPr>
                    <w:t xml:space="preserve">Upozorňujeme, že uvedená metodika má svoje obmedzenia vzhľadom na skutočnosť uvádzanú v účtovných závierkach vybraných účtovných jednotiek. Za ich pravdivosť zodpovedá účtovná jednotka v zmysle zákona o účtovníctve. Uvedomujeme si aj fakt, že údaje v účtovníctve o ocenení budov nemusia byť aktuálne. Uvedená metodika má však priblížiť skutočnosť, aká veľká jednorazová investícia je potrebná na čiastočne zbavenie sa investičného dlhu </w:t>
                  </w:r>
                  <w:r w:rsidR="008C738B">
                    <w:rPr>
                      <w:rFonts w:cs="Segoe UI"/>
                      <w:sz w:val="18"/>
                      <w:szCs w:val="20"/>
                    </w:rPr>
                    <w:t xml:space="preserve">budov </w:t>
                  </w:r>
                  <w:r w:rsidRPr="001E0D59">
                    <w:rPr>
                      <w:rFonts w:cs="Segoe UI"/>
                      <w:sz w:val="18"/>
                      <w:szCs w:val="20"/>
                    </w:rPr>
                    <w:t xml:space="preserve">vybraných ZZ. </w:t>
                  </w:r>
                </w:p>
              </w:tc>
            </w:tr>
          </w:tbl>
          <w:p w14:paraId="44AA7CBC" w14:textId="6BACA18F" w:rsidR="001E0D59" w:rsidRPr="001E0D59" w:rsidRDefault="001E0D59" w:rsidP="001E0D59">
            <w:pPr>
              <w:rPr>
                <w:rFonts w:cs="Segoe UI"/>
                <w:i/>
                <w:color w:val="314364" w:themeColor="text2"/>
              </w:rPr>
            </w:pPr>
            <w:r w:rsidRPr="001E0D59">
              <w:rPr>
                <w:rFonts w:cs="Segoe UI"/>
                <w:i/>
                <w:color w:val="314364" w:themeColor="text2"/>
                <w:sz w:val="18"/>
              </w:rPr>
              <w:t>Zdroj: Register účtovných závierok, spracovanie NKÚ SR</w:t>
            </w:r>
          </w:p>
        </w:tc>
      </w:tr>
    </w:tbl>
    <w:p w14:paraId="76365CBE" w14:textId="022B3E10" w:rsidR="00747710" w:rsidRDefault="00747710" w:rsidP="00747710">
      <w:pPr>
        <w:pStyle w:val="Popis"/>
        <w:keepNext/>
        <w:spacing w:before="120"/>
      </w:pPr>
      <w:r>
        <w:t>Tabuľka 1</w:t>
      </w:r>
      <w:r w:rsidR="00794092">
        <w:t>1</w:t>
      </w:r>
      <w:r>
        <w:t xml:space="preserve">: Odhad investičného dlhu </w:t>
      </w:r>
      <w:r w:rsidR="008C738B">
        <w:t xml:space="preserve">budov </w:t>
      </w:r>
      <w:r>
        <w:t>13 UN a FN na Slovensku (v mil. eur)</w:t>
      </w:r>
    </w:p>
    <w:tbl>
      <w:tblPr>
        <w:tblW w:w="9072" w:type="dxa"/>
        <w:tblCellMar>
          <w:left w:w="70" w:type="dxa"/>
          <w:right w:w="70" w:type="dxa"/>
        </w:tblCellMar>
        <w:tblLook w:val="04A0" w:firstRow="1" w:lastRow="0" w:firstColumn="1" w:lastColumn="0" w:noHBand="0" w:noVBand="1"/>
      </w:tblPr>
      <w:tblGrid>
        <w:gridCol w:w="993"/>
        <w:gridCol w:w="6945"/>
        <w:gridCol w:w="1134"/>
      </w:tblGrid>
      <w:tr w:rsidR="00747710" w:rsidRPr="00655B10" w14:paraId="151B1672" w14:textId="77777777" w:rsidTr="000E431B">
        <w:trPr>
          <w:trHeight w:val="283"/>
        </w:trPr>
        <w:tc>
          <w:tcPr>
            <w:tcW w:w="993" w:type="dxa"/>
            <w:tcBorders>
              <w:top w:val="nil"/>
              <w:left w:val="nil"/>
              <w:bottom w:val="nil"/>
              <w:right w:val="nil"/>
            </w:tcBorders>
            <w:shd w:val="clear" w:color="auto" w:fill="314364" w:themeFill="text2"/>
            <w:noWrap/>
            <w:vAlign w:val="center"/>
            <w:hideMark/>
          </w:tcPr>
          <w:p w14:paraId="1E90D019" w14:textId="77777777" w:rsidR="00747710" w:rsidRPr="00655B10" w:rsidRDefault="00747710" w:rsidP="000E431B">
            <w:pPr>
              <w:spacing w:after="0" w:line="240" w:lineRule="auto"/>
              <w:jc w:val="left"/>
              <w:rPr>
                <w:rFonts w:eastAsia="Times New Roman" w:cs="Segoe UI"/>
                <w:b/>
                <w:color w:val="FFFFFF" w:themeColor="background1"/>
                <w:sz w:val="18"/>
                <w:szCs w:val="18"/>
                <w:lang w:eastAsia="sk-SK"/>
              </w:rPr>
            </w:pPr>
            <w:r w:rsidRPr="00655B10">
              <w:rPr>
                <w:rFonts w:eastAsia="Times New Roman" w:cs="Segoe UI"/>
                <w:b/>
                <w:color w:val="FFFFFF" w:themeColor="background1"/>
                <w:sz w:val="18"/>
                <w:szCs w:val="18"/>
                <w:lang w:eastAsia="sk-SK"/>
              </w:rPr>
              <w:t>Scenáre</w:t>
            </w:r>
          </w:p>
        </w:tc>
        <w:tc>
          <w:tcPr>
            <w:tcW w:w="6945" w:type="dxa"/>
            <w:tcBorders>
              <w:top w:val="nil"/>
              <w:left w:val="nil"/>
              <w:bottom w:val="nil"/>
              <w:right w:val="nil"/>
            </w:tcBorders>
            <w:shd w:val="clear" w:color="auto" w:fill="314364" w:themeFill="text2"/>
            <w:noWrap/>
            <w:vAlign w:val="center"/>
            <w:hideMark/>
          </w:tcPr>
          <w:p w14:paraId="348C184A" w14:textId="77777777" w:rsidR="00747710" w:rsidRPr="00655B10" w:rsidRDefault="00747710" w:rsidP="000E431B">
            <w:pPr>
              <w:spacing w:after="0" w:line="240" w:lineRule="auto"/>
              <w:jc w:val="left"/>
              <w:rPr>
                <w:rFonts w:eastAsia="Times New Roman" w:cs="Segoe UI"/>
                <w:b/>
                <w:color w:val="FFFFFF" w:themeColor="background1"/>
                <w:sz w:val="18"/>
                <w:szCs w:val="18"/>
                <w:lang w:eastAsia="sk-SK"/>
              </w:rPr>
            </w:pPr>
            <w:r w:rsidRPr="00655B10">
              <w:rPr>
                <w:rFonts w:eastAsia="Times New Roman" w:cs="Segoe UI"/>
                <w:b/>
                <w:color w:val="FFFFFF" w:themeColor="background1"/>
                <w:sz w:val="18"/>
                <w:szCs w:val="18"/>
                <w:lang w:eastAsia="sk-SK"/>
              </w:rPr>
              <w:t>Úroveň</w:t>
            </w:r>
          </w:p>
        </w:tc>
        <w:tc>
          <w:tcPr>
            <w:tcW w:w="1134" w:type="dxa"/>
            <w:tcBorders>
              <w:top w:val="nil"/>
              <w:left w:val="nil"/>
              <w:bottom w:val="nil"/>
              <w:right w:val="nil"/>
            </w:tcBorders>
            <w:shd w:val="clear" w:color="auto" w:fill="314364" w:themeFill="text2"/>
            <w:noWrap/>
            <w:vAlign w:val="center"/>
            <w:hideMark/>
          </w:tcPr>
          <w:p w14:paraId="7D8C941D" w14:textId="77777777" w:rsidR="00747710" w:rsidRPr="00655B10" w:rsidRDefault="00747710" w:rsidP="000E431B">
            <w:pPr>
              <w:spacing w:after="0" w:line="240" w:lineRule="auto"/>
              <w:jc w:val="center"/>
              <w:rPr>
                <w:rFonts w:eastAsia="Times New Roman" w:cs="Segoe UI"/>
                <w:b/>
                <w:color w:val="FFFFFF" w:themeColor="background1"/>
                <w:sz w:val="18"/>
                <w:szCs w:val="18"/>
                <w:lang w:eastAsia="sk-SK"/>
              </w:rPr>
            </w:pPr>
            <w:r w:rsidRPr="00655B10">
              <w:rPr>
                <w:rFonts w:eastAsia="Times New Roman" w:cs="Segoe UI"/>
                <w:b/>
                <w:color w:val="FFFFFF" w:themeColor="background1"/>
                <w:sz w:val="18"/>
                <w:szCs w:val="18"/>
                <w:lang w:eastAsia="sk-SK"/>
              </w:rPr>
              <w:t>Potrebné financie</w:t>
            </w:r>
          </w:p>
        </w:tc>
      </w:tr>
      <w:tr w:rsidR="00747710" w:rsidRPr="00655B10" w14:paraId="48AC7535" w14:textId="77777777" w:rsidTr="000E431B">
        <w:trPr>
          <w:trHeight w:val="283"/>
        </w:trPr>
        <w:tc>
          <w:tcPr>
            <w:tcW w:w="993" w:type="dxa"/>
            <w:tcBorders>
              <w:top w:val="nil"/>
              <w:left w:val="nil"/>
              <w:bottom w:val="nil"/>
              <w:right w:val="nil"/>
            </w:tcBorders>
            <w:shd w:val="clear" w:color="auto" w:fill="314364" w:themeFill="text2"/>
            <w:noWrap/>
            <w:vAlign w:val="center"/>
            <w:hideMark/>
          </w:tcPr>
          <w:p w14:paraId="4B38DB45" w14:textId="77777777" w:rsidR="00747710" w:rsidRPr="00655B10" w:rsidRDefault="00747710" w:rsidP="000E431B">
            <w:pPr>
              <w:spacing w:after="0" w:line="240" w:lineRule="auto"/>
              <w:jc w:val="left"/>
              <w:rPr>
                <w:rFonts w:eastAsia="Times New Roman" w:cs="Segoe UI"/>
                <w:b/>
                <w:color w:val="FFFFFF" w:themeColor="background1"/>
                <w:sz w:val="18"/>
                <w:szCs w:val="18"/>
                <w:lang w:eastAsia="sk-SK"/>
              </w:rPr>
            </w:pPr>
            <w:r w:rsidRPr="00655B10">
              <w:rPr>
                <w:rFonts w:eastAsia="Times New Roman" w:cs="Segoe UI"/>
                <w:b/>
                <w:color w:val="FFFFFF" w:themeColor="background1"/>
                <w:sz w:val="18"/>
                <w:szCs w:val="18"/>
                <w:lang w:eastAsia="sk-SK"/>
              </w:rPr>
              <w:t>1. Scenár</w:t>
            </w:r>
          </w:p>
        </w:tc>
        <w:tc>
          <w:tcPr>
            <w:tcW w:w="6945" w:type="dxa"/>
            <w:tcBorders>
              <w:top w:val="nil"/>
              <w:left w:val="nil"/>
              <w:bottom w:val="nil"/>
              <w:right w:val="nil"/>
            </w:tcBorders>
            <w:shd w:val="clear" w:color="auto" w:fill="auto"/>
            <w:vAlign w:val="center"/>
            <w:hideMark/>
          </w:tcPr>
          <w:p w14:paraId="5F40C752" w14:textId="77777777" w:rsidR="00747710" w:rsidRPr="00655B10" w:rsidRDefault="00747710" w:rsidP="000E431B">
            <w:pPr>
              <w:spacing w:after="0" w:line="240" w:lineRule="auto"/>
              <w:jc w:val="left"/>
              <w:rPr>
                <w:rFonts w:eastAsia="Times New Roman" w:cs="Segoe UI"/>
                <w:color w:val="000000"/>
                <w:sz w:val="18"/>
                <w:szCs w:val="18"/>
                <w:lang w:eastAsia="sk-SK"/>
              </w:rPr>
            </w:pPr>
            <w:r w:rsidRPr="00655B10">
              <w:rPr>
                <w:rFonts w:eastAsia="Times New Roman" w:cs="Segoe UI"/>
                <w:color w:val="000000"/>
                <w:sz w:val="18"/>
                <w:szCs w:val="18"/>
                <w:lang w:eastAsia="sk-SK"/>
              </w:rPr>
              <w:t>Hodnota budov bez investičného dlhu na úrovni 97,5% hodnoty Stavieb v roku 2023</w:t>
            </w:r>
          </w:p>
        </w:tc>
        <w:tc>
          <w:tcPr>
            <w:tcW w:w="1134" w:type="dxa"/>
            <w:tcBorders>
              <w:top w:val="nil"/>
              <w:left w:val="nil"/>
              <w:bottom w:val="nil"/>
              <w:right w:val="nil"/>
            </w:tcBorders>
            <w:shd w:val="clear" w:color="auto" w:fill="auto"/>
            <w:noWrap/>
            <w:vAlign w:val="center"/>
            <w:hideMark/>
          </w:tcPr>
          <w:p w14:paraId="532B8C26" w14:textId="77777777" w:rsidR="00747710" w:rsidRPr="00655B10" w:rsidRDefault="00747710" w:rsidP="000E431B">
            <w:pPr>
              <w:spacing w:after="0" w:line="240" w:lineRule="auto"/>
              <w:jc w:val="center"/>
              <w:rPr>
                <w:rFonts w:eastAsia="Times New Roman" w:cs="Segoe UI"/>
                <w:color w:val="000000"/>
                <w:sz w:val="18"/>
                <w:szCs w:val="18"/>
                <w:lang w:eastAsia="sk-SK"/>
              </w:rPr>
            </w:pPr>
            <w:r w:rsidRPr="00655B10">
              <w:rPr>
                <w:rFonts w:eastAsia="Times New Roman" w:cs="Segoe UI"/>
                <w:color w:val="000000"/>
                <w:sz w:val="18"/>
                <w:szCs w:val="18"/>
                <w:lang w:eastAsia="sk-SK"/>
              </w:rPr>
              <w:t>354,6</w:t>
            </w:r>
          </w:p>
        </w:tc>
      </w:tr>
      <w:tr w:rsidR="00747710" w:rsidRPr="00655B10" w14:paraId="41A09531" w14:textId="77777777" w:rsidTr="000E431B">
        <w:trPr>
          <w:trHeight w:val="283"/>
        </w:trPr>
        <w:tc>
          <w:tcPr>
            <w:tcW w:w="993" w:type="dxa"/>
            <w:tcBorders>
              <w:top w:val="nil"/>
              <w:left w:val="nil"/>
              <w:right w:val="nil"/>
            </w:tcBorders>
            <w:shd w:val="clear" w:color="auto" w:fill="314364" w:themeFill="text2"/>
            <w:noWrap/>
            <w:vAlign w:val="center"/>
            <w:hideMark/>
          </w:tcPr>
          <w:p w14:paraId="1B193F35" w14:textId="77777777" w:rsidR="00747710" w:rsidRPr="00655B10" w:rsidRDefault="00747710" w:rsidP="000E431B">
            <w:pPr>
              <w:spacing w:after="0" w:line="240" w:lineRule="auto"/>
              <w:jc w:val="left"/>
              <w:rPr>
                <w:rFonts w:eastAsia="Times New Roman" w:cs="Segoe UI"/>
                <w:b/>
                <w:color w:val="FFFFFF" w:themeColor="background1"/>
                <w:sz w:val="18"/>
                <w:szCs w:val="18"/>
                <w:lang w:eastAsia="sk-SK"/>
              </w:rPr>
            </w:pPr>
            <w:r w:rsidRPr="00655B10">
              <w:rPr>
                <w:rFonts w:eastAsia="Times New Roman" w:cs="Segoe UI"/>
                <w:b/>
                <w:color w:val="FFFFFF" w:themeColor="background1"/>
                <w:sz w:val="18"/>
                <w:szCs w:val="18"/>
                <w:lang w:eastAsia="sk-SK"/>
              </w:rPr>
              <w:t>2. Scenár</w:t>
            </w:r>
          </w:p>
        </w:tc>
        <w:tc>
          <w:tcPr>
            <w:tcW w:w="6945" w:type="dxa"/>
            <w:tcBorders>
              <w:top w:val="nil"/>
              <w:left w:val="nil"/>
              <w:right w:val="nil"/>
            </w:tcBorders>
            <w:shd w:val="clear" w:color="auto" w:fill="auto"/>
            <w:vAlign w:val="center"/>
            <w:hideMark/>
          </w:tcPr>
          <w:p w14:paraId="329A9CA3" w14:textId="77777777" w:rsidR="00747710" w:rsidRPr="00655B10" w:rsidRDefault="00747710" w:rsidP="000E431B">
            <w:pPr>
              <w:spacing w:after="0" w:line="240" w:lineRule="auto"/>
              <w:jc w:val="left"/>
              <w:rPr>
                <w:rFonts w:eastAsia="Times New Roman" w:cs="Segoe UI"/>
                <w:color w:val="000000"/>
                <w:sz w:val="18"/>
                <w:szCs w:val="18"/>
                <w:lang w:eastAsia="sk-SK"/>
              </w:rPr>
            </w:pPr>
            <w:r w:rsidRPr="00655B10">
              <w:rPr>
                <w:rFonts w:eastAsia="Times New Roman" w:cs="Segoe UI"/>
                <w:color w:val="000000"/>
                <w:sz w:val="18"/>
                <w:szCs w:val="18"/>
                <w:lang w:eastAsia="sk-SK"/>
              </w:rPr>
              <w:t>Hodnota budov na úrovni súkromných nemocníc teda 80 % v roku 2023</w:t>
            </w:r>
          </w:p>
        </w:tc>
        <w:tc>
          <w:tcPr>
            <w:tcW w:w="1134" w:type="dxa"/>
            <w:tcBorders>
              <w:top w:val="nil"/>
              <w:left w:val="nil"/>
              <w:right w:val="nil"/>
            </w:tcBorders>
            <w:shd w:val="clear" w:color="auto" w:fill="auto"/>
            <w:noWrap/>
            <w:vAlign w:val="center"/>
            <w:hideMark/>
          </w:tcPr>
          <w:p w14:paraId="7077DE85" w14:textId="77777777" w:rsidR="00747710" w:rsidRPr="00655B10" w:rsidRDefault="00747710" w:rsidP="000E431B">
            <w:pPr>
              <w:spacing w:after="0" w:line="240" w:lineRule="auto"/>
              <w:jc w:val="center"/>
              <w:rPr>
                <w:rFonts w:eastAsia="Times New Roman" w:cs="Segoe UI"/>
                <w:color w:val="000000"/>
                <w:sz w:val="18"/>
                <w:szCs w:val="18"/>
                <w:lang w:eastAsia="sk-SK"/>
              </w:rPr>
            </w:pPr>
            <w:r w:rsidRPr="00655B10">
              <w:rPr>
                <w:rFonts w:eastAsia="Times New Roman" w:cs="Segoe UI"/>
                <w:color w:val="000000"/>
                <w:sz w:val="18"/>
                <w:szCs w:val="18"/>
                <w:lang w:eastAsia="sk-SK"/>
              </w:rPr>
              <w:t>240,8</w:t>
            </w:r>
          </w:p>
        </w:tc>
      </w:tr>
      <w:tr w:rsidR="00747710" w:rsidRPr="00655B10" w14:paraId="56F6A49A" w14:textId="77777777" w:rsidTr="000E431B">
        <w:trPr>
          <w:trHeight w:val="283"/>
        </w:trPr>
        <w:tc>
          <w:tcPr>
            <w:tcW w:w="993" w:type="dxa"/>
            <w:tcBorders>
              <w:top w:val="nil"/>
              <w:left w:val="nil"/>
              <w:bottom w:val="single" w:sz="4" w:space="0" w:color="314364" w:themeColor="text2"/>
              <w:right w:val="nil"/>
            </w:tcBorders>
            <w:shd w:val="clear" w:color="auto" w:fill="314364" w:themeFill="text2"/>
            <w:noWrap/>
            <w:vAlign w:val="center"/>
            <w:hideMark/>
          </w:tcPr>
          <w:p w14:paraId="488862D3" w14:textId="77777777" w:rsidR="00747710" w:rsidRPr="00655B10" w:rsidRDefault="00747710" w:rsidP="000E431B">
            <w:pPr>
              <w:spacing w:after="0" w:line="240" w:lineRule="auto"/>
              <w:jc w:val="left"/>
              <w:rPr>
                <w:rFonts w:eastAsia="Times New Roman" w:cs="Segoe UI"/>
                <w:b/>
                <w:color w:val="FFFFFF" w:themeColor="background1"/>
                <w:sz w:val="18"/>
                <w:szCs w:val="18"/>
                <w:lang w:eastAsia="sk-SK"/>
              </w:rPr>
            </w:pPr>
            <w:r w:rsidRPr="00655B10">
              <w:rPr>
                <w:rFonts w:eastAsia="Times New Roman" w:cs="Segoe UI"/>
                <w:b/>
                <w:color w:val="FFFFFF" w:themeColor="background1"/>
                <w:sz w:val="18"/>
                <w:szCs w:val="18"/>
                <w:lang w:eastAsia="sk-SK"/>
              </w:rPr>
              <w:t>3. Scenár</w:t>
            </w:r>
          </w:p>
        </w:tc>
        <w:tc>
          <w:tcPr>
            <w:tcW w:w="6945" w:type="dxa"/>
            <w:tcBorders>
              <w:top w:val="nil"/>
              <w:left w:val="nil"/>
              <w:bottom w:val="single" w:sz="4" w:space="0" w:color="314364" w:themeColor="text2"/>
              <w:right w:val="nil"/>
            </w:tcBorders>
            <w:shd w:val="clear" w:color="auto" w:fill="auto"/>
            <w:vAlign w:val="center"/>
            <w:hideMark/>
          </w:tcPr>
          <w:p w14:paraId="33441351" w14:textId="77777777" w:rsidR="00747710" w:rsidRPr="00655B10" w:rsidRDefault="00747710" w:rsidP="000E431B">
            <w:pPr>
              <w:spacing w:after="0" w:line="240" w:lineRule="auto"/>
              <w:jc w:val="left"/>
              <w:rPr>
                <w:rFonts w:eastAsia="Times New Roman" w:cs="Segoe UI"/>
                <w:color w:val="000000"/>
                <w:sz w:val="18"/>
                <w:szCs w:val="18"/>
                <w:lang w:eastAsia="sk-SK"/>
              </w:rPr>
            </w:pPr>
            <w:r w:rsidRPr="00655B10">
              <w:rPr>
                <w:rFonts w:eastAsia="Times New Roman" w:cs="Segoe UI"/>
                <w:color w:val="000000"/>
                <w:sz w:val="18"/>
                <w:szCs w:val="18"/>
                <w:lang w:eastAsia="sk-SK"/>
              </w:rPr>
              <w:t>Hodnota budov na úrovni 13 najväčších českých fakultných nemocníc (64 %)</w:t>
            </w:r>
          </w:p>
        </w:tc>
        <w:tc>
          <w:tcPr>
            <w:tcW w:w="1134" w:type="dxa"/>
            <w:tcBorders>
              <w:top w:val="nil"/>
              <w:left w:val="nil"/>
              <w:bottom w:val="single" w:sz="4" w:space="0" w:color="314364" w:themeColor="text2"/>
              <w:right w:val="nil"/>
            </w:tcBorders>
            <w:shd w:val="clear" w:color="auto" w:fill="auto"/>
            <w:noWrap/>
            <w:vAlign w:val="center"/>
            <w:hideMark/>
          </w:tcPr>
          <w:p w14:paraId="55A5DC06" w14:textId="77777777" w:rsidR="00747710" w:rsidRPr="00655B10" w:rsidRDefault="00747710" w:rsidP="000E431B">
            <w:pPr>
              <w:spacing w:after="0" w:line="240" w:lineRule="auto"/>
              <w:jc w:val="center"/>
              <w:rPr>
                <w:rFonts w:eastAsia="Times New Roman" w:cs="Segoe UI"/>
                <w:color w:val="000000"/>
                <w:sz w:val="18"/>
                <w:szCs w:val="18"/>
                <w:lang w:eastAsia="sk-SK"/>
              </w:rPr>
            </w:pPr>
            <w:r w:rsidRPr="00655B10">
              <w:rPr>
                <w:rFonts w:eastAsia="Times New Roman" w:cs="Segoe UI"/>
                <w:color w:val="000000"/>
                <w:sz w:val="18"/>
                <w:szCs w:val="18"/>
                <w:lang w:eastAsia="sk-SK"/>
              </w:rPr>
              <w:t>136,7</w:t>
            </w:r>
          </w:p>
        </w:tc>
      </w:tr>
    </w:tbl>
    <w:p w14:paraId="4F157A4A" w14:textId="34C6872C" w:rsidR="00747710" w:rsidRDefault="00747710" w:rsidP="00747710">
      <w:pPr>
        <w:pStyle w:val="Zdroj"/>
        <w:rPr>
          <w:rFonts w:cs="Segoe UI"/>
          <w:b/>
        </w:rPr>
      </w:pPr>
      <w:r w:rsidRPr="00655B10">
        <w:t xml:space="preserve">Zdroj: Register </w:t>
      </w:r>
      <w:r w:rsidRPr="00192DFB">
        <w:t>účtovných</w:t>
      </w:r>
      <w:r w:rsidRPr="00655B10">
        <w:t xml:space="preserve"> závierok, spracovanie NKÚ SR</w:t>
      </w:r>
      <w:r w:rsidR="0022613F">
        <w:t>.</w:t>
      </w:r>
    </w:p>
    <w:p w14:paraId="302E20CD" w14:textId="650FABA1" w:rsidR="00290A9E" w:rsidRPr="009E4BE6" w:rsidRDefault="00290A9E" w:rsidP="00290A9E">
      <w:pPr>
        <w:rPr>
          <w:rFonts w:cs="Segoe UI"/>
          <w:b/>
        </w:rPr>
      </w:pPr>
      <w:r w:rsidRPr="009E4BE6">
        <w:rPr>
          <w:rFonts w:cs="Segoe UI"/>
          <w:b/>
        </w:rPr>
        <w:t>Po zohľadnení, že ide iba o 13 najväčších UN a FN a investičný dlh</w:t>
      </w:r>
      <w:r w:rsidR="008C738B">
        <w:rPr>
          <w:rFonts w:cs="Segoe UI"/>
          <w:b/>
        </w:rPr>
        <w:t xml:space="preserve"> budov</w:t>
      </w:r>
      <w:r w:rsidRPr="009E4BE6">
        <w:rPr>
          <w:rFonts w:cs="Segoe UI"/>
          <w:b/>
        </w:rPr>
        <w:t xml:space="preserve"> je v rozmedzí 354,6 – 136,7 mil. eur, je situácia naozaj vážna</w:t>
      </w:r>
      <w:r>
        <w:rPr>
          <w:rFonts w:cs="Segoe UI"/>
        </w:rPr>
        <w:t xml:space="preserve"> </w:t>
      </w:r>
      <w:r w:rsidRPr="009E4BE6">
        <w:rPr>
          <w:rFonts w:cs="Segoe UI"/>
        </w:rPr>
        <w:t xml:space="preserve">(tabuľka </w:t>
      </w:r>
      <w:r w:rsidR="009E4BE6" w:rsidRPr="009E4BE6">
        <w:rPr>
          <w:rFonts w:cs="Segoe UI"/>
        </w:rPr>
        <w:t>1</w:t>
      </w:r>
      <w:r w:rsidR="00794092">
        <w:rPr>
          <w:rFonts w:cs="Segoe UI"/>
        </w:rPr>
        <w:t>1</w:t>
      </w:r>
      <w:r w:rsidRPr="009E4BE6">
        <w:rPr>
          <w:rFonts w:cs="Segoe UI"/>
        </w:rPr>
        <w:t xml:space="preserve">). </w:t>
      </w:r>
      <w:r w:rsidR="008C738B">
        <w:rPr>
          <w:rFonts w:cs="Segoe UI"/>
        </w:rPr>
        <w:t xml:space="preserve">Zároveň NKÚ SR upozorňuje, že ide o konzervatívny odhad, ktorý je limitovaný aktuálnosťou údajov v účtovníctve jednotlivých subjektov. </w:t>
      </w:r>
      <w:r w:rsidRPr="009E4BE6">
        <w:rPr>
          <w:rFonts w:cs="Segoe UI"/>
        </w:rPr>
        <w:t>Odhad</w:t>
      </w:r>
      <w:r>
        <w:rPr>
          <w:rFonts w:cs="Segoe UI"/>
        </w:rPr>
        <w:t xml:space="preserve"> investičného dlhu v tomto prípade prezentujeme ako medzeru, ktorú by bolo treba jednorazovo vynaložiť, ak by sme chceli dosiahnuť jeden z uvedených scenárov. Čo však znamená, že ideálny stav budov ZZ by bol len v prípade 1. scenára v konkrétnom čase. Na odstránenie ďalšieho investičného dlhu by však musel byť vytvorený systém, ktorý by zabezpečoval pravidelnú modernizáciu a rekonštrukciu budov podľa skutočného stavu a potreby jednotlivých ZZ. </w:t>
      </w:r>
      <w:r w:rsidRPr="009E4BE6">
        <w:rPr>
          <w:rFonts w:cs="Segoe UI"/>
          <w:b/>
        </w:rPr>
        <w:t xml:space="preserve">Jedným z prvých krokov by mohla byť </w:t>
      </w:r>
      <w:r w:rsidRPr="009E4BE6">
        <w:rPr>
          <w:rFonts w:cs="Segoe UI"/>
          <w:b/>
        </w:rPr>
        <w:lastRenderedPageBreak/>
        <w:t xml:space="preserve">pasportizácia </w:t>
      </w:r>
      <w:r w:rsidR="00651A11" w:rsidRPr="009E4BE6">
        <w:rPr>
          <w:rFonts w:cs="Segoe UI"/>
          <w:b/>
        </w:rPr>
        <w:t xml:space="preserve">budov </w:t>
      </w:r>
      <w:r w:rsidRPr="009E4BE6">
        <w:rPr>
          <w:rFonts w:cs="Segoe UI"/>
          <w:b/>
        </w:rPr>
        <w:t>všetkých štátnych ZZ, a následne preklopenie potrebnej alokácie do investičného plánu MZ SR.</w:t>
      </w:r>
    </w:p>
    <w:p w14:paraId="56139F1A" w14:textId="1AE8E4A6" w:rsidR="001469EA" w:rsidRPr="00290A9E" w:rsidRDefault="009E4BE6" w:rsidP="00052F8F">
      <w:pPr>
        <w:pStyle w:val="Nadpis3"/>
      </w:pPr>
      <w:r>
        <w:t xml:space="preserve"> </w:t>
      </w:r>
      <w:bookmarkStart w:id="48" w:name="_Toc182559197"/>
      <w:r w:rsidR="001469EA" w:rsidRPr="001469EA">
        <w:t>Neudržateľný rast výdavkov na lieky</w:t>
      </w:r>
      <w:bookmarkEnd w:id="48"/>
    </w:p>
    <w:p w14:paraId="64E402BD" w14:textId="765F1769" w:rsidR="00F6689C" w:rsidRPr="00432055" w:rsidRDefault="00F6689C" w:rsidP="00F6689C">
      <w:r w:rsidRPr="00432055">
        <w:rPr>
          <w:b/>
        </w:rPr>
        <w:t xml:space="preserve">Udržateľnosť výdavkov </w:t>
      </w:r>
      <w:r w:rsidR="00B04209">
        <w:rPr>
          <w:b/>
        </w:rPr>
        <w:t>VZP</w:t>
      </w:r>
      <w:r w:rsidRPr="00432055">
        <w:rPr>
          <w:b/>
        </w:rPr>
        <w:t xml:space="preserve"> nie je zabezpečená, </w:t>
      </w:r>
      <w:r w:rsidR="00B04209">
        <w:rPr>
          <w:b/>
        </w:rPr>
        <w:t xml:space="preserve">a to </w:t>
      </w:r>
      <w:r w:rsidRPr="00432055">
        <w:rPr>
          <w:b/>
        </w:rPr>
        <w:t>vzhľadom na prudké zvýšenie výdavkov na lieky najmä v kategorizačnom zozname</w:t>
      </w:r>
      <w:r w:rsidRPr="00432055">
        <w:t xml:space="preserve"> (tabuľka </w:t>
      </w:r>
      <w:r w:rsidR="00B04209">
        <w:t>15</w:t>
      </w:r>
      <w:r w:rsidRPr="00432055">
        <w:t>). Počas jedného roka od novely zákona č. 363/2011 o rozsahu a podmienkach úhrady liekov boli prostredníctvom utajovaných (MEA) zmlúv pridané lieky do kategorizačného zoznamu v hodnote 255,4 mil. eur na 12 mes</w:t>
      </w:r>
      <w:r w:rsidR="00B04209">
        <w:t>iacov</w:t>
      </w:r>
      <w:r w:rsidRPr="00432055">
        <w:t xml:space="preserve"> od podpisu zmluvy </w:t>
      </w:r>
      <w:r w:rsidR="00C542D7">
        <w:t xml:space="preserve">a </w:t>
      </w:r>
      <w:r w:rsidRPr="00432055">
        <w:t>až 1,16 mld. eur v horizonte 36 mes</w:t>
      </w:r>
      <w:r w:rsidR="00B04209">
        <w:t>iacov</w:t>
      </w:r>
      <w:r w:rsidRPr="00432055">
        <w:t>. Za ďalší rok podpisovania MEA zmlúv však predpokladané výdavky za lieky vzrástli na hodnotu 420,2 mil. eur v horizonte 12 mes</w:t>
      </w:r>
      <w:r w:rsidR="00B04209">
        <w:t>iacov</w:t>
      </w:r>
      <w:r w:rsidRPr="00432055">
        <w:t xml:space="preserve"> od podpisu zmluvy a na 2 </w:t>
      </w:r>
      <w:r w:rsidR="00651A11">
        <w:t> </w:t>
      </w:r>
      <w:r w:rsidRPr="00432055">
        <w:t>mld. eur v horizonte nasledujúcich 36 mes</w:t>
      </w:r>
      <w:r w:rsidR="00B04209">
        <w:t>iacov</w:t>
      </w:r>
      <w:r w:rsidRPr="00432055">
        <w:t xml:space="preserve"> (tabuľka </w:t>
      </w:r>
      <w:r w:rsidR="00B04209">
        <w:t>1</w:t>
      </w:r>
      <w:r w:rsidR="00794092">
        <w:t>2</w:t>
      </w:r>
      <w:r w:rsidRPr="00432055">
        <w:t xml:space="preserve">). Za </w:t>
      </w:r>
      <w:r w:rsidR="00B04209">
        <w:t xml:space="preserve">týmto </w:t>
      </w:r>
      <w:r w:rsidRPr="00432055">
        <w:t>prudkým nárastom stojí najmä zvýšený počet zazmluvnených liekov prostredníctvom utajovaných (MEA) zmlúv medzi MZ SR a farmaceutickými firmami. Ďalším faktorom zvyšovania výdavkov z VZP na lieky je nedodržiavanie úsporný</w:t>
      </w:r>
      <w:r w:rsidR="00C338CD">
        <w:t>ch opatrení v liekovej politike zo strany MZ SR.</w:t>
      </w:r>
    </w:p>
    <w:p w14:paraId="02E61809" w14:textId="0805C646" w:rsidR="00441AF4" w:rsidRPr="005C56DF" w:rsidRDefault="00441AF4" w:rsidP="00441AF4">
      <w:pPr>
        <w:spacing w:after="0" w:line="240" w:lineRule="auto"/>
        <w:rPr>
          <w:rFonts w:cs="Segoe UI"/>
          <w:b/>
          <w:color w:val="314364"/>
          <w:szCs w:val="20"/>
        </w:rPr>
      </w:pPr>
      <w:r w:rsidRPr="005C56DF">
        <w:rPr>
          <w:rFonts w:cs="Segoe UI"/>
          <w:b/>
          <w:color w:val="314364"/>
          <w:szCs w:val="20"/>
        </w:rPr>
        <w:t xml:space="preserve">Tabuľka </w:t>
      </w:r>
      <w:r>
        <w:rPr>
          <w:rFonts w:cs="Segoe UI"/>
          <w:b/>
          <w:color w:val="314364"/>
          <w:szCs w:val="20"/>
        </w:rPr>
        <w:t>1</w:t>
      </w:r>
      <w:r w:rsidR="00794092">
        <w:rPr>
          <w:rFonts w:cs="Segoe UI"/>
          <w:b/>
          <w:color w:val="314364"/>
          <w:szCs w:val="20"/>
        </w:rPr>
        <w:t>2</w:t>
      </w:r>
      <w:r w:rsidRPr="005C56DF">
        <w:rPr>
          <w:rFonts w:cs="Segoe UI"/>
          <w:b/>
          <w:color w:val="314364"/>
          <w:szCs w:val="20"/>
        </w:rPr>
        <w:t>: Odhad výdavkov VZP na lieky vyplývajúci z neverejných zmlúv MZ SR (v mil. eur)</w:t>
      </w:r>
    </w:p>
    <w:tbl>
      <w:tblPr>
        <w:tblW w:w="9096" w:type="dxa"/>
        <w:tblBorders>
          <w:bottom w:val="single" w:sz="4" w:space="0" w:color="314364" w:themeColor="text2"/>
        </w:tblBorders>
        <w:tblCellMar>
          <w:left w:w="70" w:type="dxa"/>
          <w:right w:w="70" w:type="dxa"/>
        </w:tblCellMar>
        <w:tblLook w:val="04A0" w:firstRow="1" w:lastRow="0" w:firstColumn="1" w:lastColumn="0" w:noHBand="0" w:noVBand="1"/>
      </w:tblPr>
      <w:tblGrid>
        <w:gridCol w:w="2972"/>
        <w:gridCol w:w="1531"/>
        <w:gridCol w:w="1531"/>
        <w:gridCol w:w="1531"/>
        <w:gridCol w:w="1531"/>
      </w:tblGrid>
      <w:tr w:rsidR="00441AF4" w:rsidRPr="003C22F3" w14:paraId="0C7CAC6B" w14:textId="77777777" w:rsidTr="000E431B">
        <w:trPr>
          <w:trHeight w:val="283"/>
        </w:trPr>
        <w:tc>
          <w:tcPr>
            <w:tcW w:w="2972" w:type="dxa"/>
            <w:shd w:val="clear" w:color="auto" w:fill="314364" w:themeFill="text2"/>
            <w:vAlign w:val="center"/>
            <w:hideMark/>
          </w:tcPr>
          <w:p w14:paraId="5034BD54" w14:textId="6D315636" w:rsidR="00441AF4" w:rsidRPr="003C22F3" w:rsidRDefault="00651A11" w:rsidP="000E431B">
            <w:pPr>
              <w:spacing w:after="0" w:line="240" w:lineRule="auto"/>
              <w:rPr>
                <w:rFonts w:eastAsia="Times New Roman" w:cs="Segoe UI"/>
                <w:b/>
                <w:bCs/>
                <w:color w:val="FFFFFF"/>
                <w:sz w:val="18"/>
                <w:szCs w:val="18"/>
                <w:lang w:eastAsia="sk-SK"/>
              </w:rPr>
            </w:pPr>
            <w:r>
              <w:rPr>
                <w:rFonts w:eastAsia="Times New Roman" w:cs="Segoe UI"/>
                <w:b/>
                <w:bCs/>
                <w:color w:val="FFFFFF"/>
                <w:sz w:val="18"/>
                <w:szCs w:val="18"/>
                <w:lang w:eastAsia="sk-SK"/>
              </w:rPr>
              <w:t>Kumulatívne výdavky</w:t>
            </w:r>
          </w:p>
        </w:tc>
        <w:tc>
          <w:tcPr>
            <w:tcW w:w="1531" w:type="dxa"/>
            <w:shd w:val="clear" w:color="auto" w:fill="314364" w:themeFill="text2"/>
            <w:vAlign w:val="center"/>
            <w:hideMark/>
          </w:tcPr>
          <w:p w14:paraId="125011DE" w14:textId="77777777" w:rsidR="00441AF4" w:rsidRPr="003C22F3" w:rsidRDefault="00441AF4" w:rsidP="000E431B">
            <w:pPr>
              <w:spacing w:after="0" w:line="240" w:lineRule="auto"/>
              <w:jc w:val="center"/>
              <w:rPr>
                <w:rFonts w:eastAsia="Times New Roman" w:cs="Segoe UI"/>
                <w:b/>
                <w:bCs/>
                <w:color w:val="FFFFFF"/>
                <w:sz w:val="18"/>
                <w:szCs w:val="18"/>
                <w:lang w:eastAsia="sk-SK"/>
              </w:rPr>
            </w:pPr>
            <w:r w:rsidRPr="003C22F3">
              <w:rPr>
                <w:rFonts w:eastAsia="Times New Roman" w:cs="Segoe UI"/>
                <w:b/>
                <w:bCs/>
                <w:color w:val="FFFFFF"/>
                <w:sz w:val="18"/>
                <w:szCs w:val="18"/>
                <w:lang w:eastAsia="sk-SK"/>
              </w:rPr>
              <w:t>Rok podpisu zmluvy</w:t>
            </w:r>
          </w:p>
        </w:tc>
        <w:tc>
          <w:tcPr>
            <w:tcW w:w="1531" w:type="dxa"/>
            <w:shd w:val="clear" w:color="auto" w:fill="314364" w:themeFill="text2"/>
            <w:vAlign w:val="center"/>
            <w:hideMark/>
          </w:tcPr>
          <w:p w14:paraId="24CA2DAB" w14:textId="77777777" w:rsidR="00441AF4" w:rsidRPr="003C22F3" w:rsidRDefault="00441AF4" w:rsidP="000E431B">
            <w:pPr>
              <w:spacing w:after="0" w:line="240" w:lineRule="auto"/>
              <w:jc w:val="center"/>
              <w:rPr>
                <w:rFonts w:eastAsia="Times New Roman" w:cs="Segoe UI"/>
                <w:b/>
                <w:bCs/>
                <w:color w:val="FFFFFF"/>
                <w:sz w:val="18"/>
                <w:szCs w:val="18"/>
                <w:lang w:eastAsia="sk-SK"/>
              </w:rPr>
            </w:pPr>
            <w:r w:rsidRPr="003C22F3">
              <w:rPr>
                <w:rFonts w:eastAsia="Times New Roman" w:cs="Segoe UI"/>
                <w:b/>
                <w:bCs/>
                <w:color w:val="FFFFFF"/>
                <w:sz w:val="18"/>
                <w:szCs w:val="18"/>
                <w:lang w:eastAsia="sk-SK"/>
              </w:rPr>
              <w:t>12 mes. od podpisu zmluvy</w:t>
            </w:r>
          </w:p>
        </w:tc>
        <w:tc>
          <w:tcPr>
            <w:tcW w:w="1531" w:type="dxa"/>
            <w:shd w:val="clear" w:color="auto" w:fill="314364" w:themeFill="text2"/>
            <w:vAlign w:val="center"/>
            <w:hideMark/>
          </w:tcPr>
          <w:p w14:paraId="7B46BF8D" w14:textId="77777777" w:rsidR="00441AF4" w:rsidRPr="003C22F3" w:rsidRDefault="00441AF4" w:rsidP="000E431B">
            <w:pPr>
              <w:spacing w:after="0" w:line="240" w:lineRule="auto"/>
              <w:jc w:val="center"/>
              <w:rPr>
                <w:rFonts w:eastAsia="Times New Roman" w:cs="Segoe UI"/>
                <w:b/>
                <w:bCs/>
                <w:color w:val="FFFFFF"/>
                <w:sz w:val="18"/>
                <w:szCs w:val="18"/>
                <w:lang w:eastAsia="sk-SK"/>
              </w:rPr>
            </w:pPr>
            <w:r w:rsidRPr="003C22F3">
              <w:rPr>
                <w:rFonts w:eastAsia="Times New Roman" w:cs="Segoe UI"/>
                <w:b/>
                <w:bCs/>
                <w:color w:val="FFFFFF"/>
                <w:sz w:val="18"/>
                <w:szCs w:val="18"/>
                <w:lang w:eastAsia="sk-SK"/>
              </w:rPr>
              <w:t>24 mes. od podpisu zmluvy</w:t>
            </w:r>
          </w:p>
        </w:tc>
        <w:tc>
          <w:tcPr>
            <w:tcW w:w="1531" w:type="dxa"/>
            <w:shd w:val="clear" w:color="auto" w:fill="314364" w:themeFill="text2"/>
            <w:vAlign w:val="center"/>
            <w:hideMark/>
          </w:tcPr>
          <w:p w14:paraId="642F7A88" w14:textId="77777777" w:rsidR="00441AF4" w:rsidRPr="003C22F3" w:rsidRDefault="00441AF4" w:rsidP="000E431B">
            <w:pPr>
              <w:spacing w:after="0" w:line="240" w:lineRule="auto"/>
              <w:jc w:val="center"/>
              <w:rPr>
                <w:rFonts w:eastAsia="Times New Roman" w:cs="Segoe UI"/>
                <w:b/>
                <w:bCs/>
                <w:color w:val="FFFFFF"/>
                <w:sz w:val="18"/>
                <w:szCs w:val="18"/>
                <w:lang w:eastAsia="sk-SK"/>
              </w:rPr>
            </w:pPr>
            <w:r w:rsidRPr="003C22F3">
              <w:rPr>
                <w:rFonts w:eastAsia="Times New Roman" w:cs="Segoe UI"/>
                <w:b/>
                <w:bCs/>
                <w:color w:val="FFFFFF"/>
                <w:sz w:val="18"/>
                <w:szCs w:val="18"/>
                <w:lang w:eastAsia="sk-SK"/>
              </w:rPr>
              <w:t>36 mes. od podpisu zmluvy</w:t>
            </w:r>
          </w:p>
        </w:tc>
      </w:tr>
      <w:tr w:rsidR="00441AF4" w:rsidRPr="003C22F3" w14:paraId="2E3343A7" w14:textId="77777777" w:rsidTr="000E431B">
        <w:trPr>
          <w:trHeight w:val="283"/>
        </w:trPr>
        <w:tc>
          <w:tcPr>
            <w:tcW w:w="2972" w:type="dxa"/>
            <w:tcBorders>
              <w:bottom w:val="nil"/>
            </w:tcBorders>
            <w:shd w:val="clear" w:color="000000" w:fill="FFFFFF"/>
            <w:noWrap/>
            <w:vAlign w:val="center"/>
            <w:hideMark/>
          </w:tcPr>
          <w:p w14:paraId="25EF45C3" w14:textId="77777777" w:rsidR="00441AF4" w:rsidRPr="003C22F3" w:rsidRDefault="00441AF4" w:rsidP="000E431B">
            <w:pPr>
              <w:spacing w:after="0" w:line="240" w:lineRule="auto"/>
              <w:rPr>
                <w:rFonts w:eastAsia="Times New Roman" w:cs="Segoe UI"/>
                <w:color w:val="000000"/>
                <w:sz w:val="18"/>
                <w:szCs w:val="18"/>
                <w:lang w:eastAsia="sk-SK"/>
              </w:rPr>
            </w:pPr>
            <w:r w:rsidRPr="003C22F3">
              <w:rPr>
                <w:rFonts w:eastAsia="Times New Roman" w:cs="Segoe UI"/>
                <w:color w:val="000000"/>
                <w:sz w:val="18"/>
                <w:szCs w:val="18"/>
                <w:lang w:eastAsia="sk-SK"/>
              </w:rPr>
              <w:t>Výdavky VZP na lieky zazmluvnené MZ SR (1 rok po novele zákona)</w:t>
            </w:r>
          </w:p>
        </w:tc>
        <w:tc>
          <w:tcPr>
            <w:tcW w:w="1531" w:type="dxa"/>
            <w:tcBorders>
              <w:bottom w:val="nil"/>
            </w:tcBorders>
            <w:shd w:val="clear" w:color="000000" w:fill="FFFFFF"/>
            <w:noWrap/>
            <w:vAlign w:val="center"/>
            <w:hideMark/>
          </w:tcPr>
          <w:p w14:paraId="675408DA" w14:textId="77777777" w:rsidR="00441AF4" w:rsidRPr="003C22F3" w:rsidRDefault="00441AF4" w:rsidP="000E431B">
            <w:pPr>
              <w:spacing w:after="0" w:line="240" w:lineRule="auto"/>
              <w:jc w:val="center"/>
              <w:rPr>
                <w:rFonts w:eastAsia="Times New Roman" w:cs="Segoe UI"/>
                <w:color w:val="000000"/>
                <w:sz w:val="18"/>
                <w:szCs w:val="18"/>
                <w:lang w:eastAsia="sk-SK"/>
              </w:rPr>
            </w:pPr>
            <w:r w:rsidRPr="003C22F3">
              <w:rPr>
                <w:rFonts w:eastAsia="Times New Roman" w:cs="Segoe UI"/>
                <w:color w:val="000000"/>
                <w:sz w:val="18"/>
                <w:szCs w:val="18"/>
                <w:lang w:eastAsia="sk-SK"/>
              </w:rPr>
              <w:t>3Q 2022 - 2Q 2023</w:t>
            </w:r>
          </w:p>
        </w:tc>
        <w:tc>
          <w:tcPr>
            <w:tcW w:w="1531" w:type="dxa"/>
            <w:tcBorders>
              <w:bottom w:val="nil"/>
            </w:tcBorders>
            <w:shd w:val="clear" w:color="000000" w:fill="FFFFFF"/>
            <w:noWrap/>
            <w:vAlign w:val="center"/>
            <w:hideMark/>
          </w:tcPr>
          <w:p w14:paraId="1DE48A2F" w14:textId="77777777" w:rsidR="00441AF4" w:rsidRPr="003C22F3" w:rsidRDefault="00441AF4" w:rsidP="000E431B">
            <w:pPr>
              <w:spacing w:after="0" w:line="240" w:lineRule="auto"/>
              <w:jc w:val="center"/>
              <w:rPr>
                <w:rFonts w:eastAsia="Times New Roman" w:cs="Segoe UI"/>
                <w:color w:val="000000"/>
                <w:sz w:val="18"/>
                <w:szCs w:val="18"/>
                <w:lang w:eastAsia="sk-SK"/>
              </w:rPr>
            </w:pPr>
            <w:r w:rsidRPr="003C22F3">
              <w:rPr>
                <w:rFonts w:eastAsia="Times New Roman" w:cs="Segoe UI"/>
                <w:sz w:val="18"/>
                <w:szCs w:val="18"/>
                <w:lang w:eastAsia="sk-SK"/>
              </w:rPr>
              <w:t>255,4</w:t>
            </w:r>
          </w:p>
        </w:tc>
        <w:tc>
          <w:tcPr>
            <w:tcW w:w="1531" w:type="dxa"/>
            <w:tcBorders>
              <w:bottom w:val="nil"/>
            </w:tcBorders>
            <w:shd w:val="clear" w:color="000000" w:fill="FFFFFF"/>
            <w:noWrap/>
            <w:vAlign w:val="center"/>
            <w:hideMark/>
          </w:tcPr>
          <w:p w14:paraId="6395F1A2" w14:textId="77777777" w:rsidR="00441AF4" w:rsidRPr="003C22F3" w:rsidRDefault="00441AF4" w:rsidP="000E431B">
            <w:pPr>
              <w:spacing w:after="0" w:line="240" w:lineRule="auto"/>
              <w:jc w:val="center"/>
              <w:rPr>
                <w:rFonts w:eastAsia="Times New Roman" w:cs="Segoe UI"/>
                <w:color w:val="000000"/>
                <w:sz w:val="18"/>
                <w:szCs w:val="18"/>
                <w:lang w:eastAsia="sk-SK"/>
              </w:rPr>
            </w:pPr>
            <w:r w:rsidRPr="003C22F3">
              <w:rPr>
                <w:rFonts w:eastAsia="Times New Roman" w:cs="Segoe UI"/>
                <w:color w:val="000000"/>
                <w:sz w:val="18"/>
                <w:szCs w:val="18"/>
                <w:lang w:eastAsia="sk-SK"/>
              </w:rPr>
              <w:t>668,9</w:t>
            </w:r>
          </w:p>
        </w:tc>
        <w:tc>
          <w:tcPr>
            <w:tcW w:w="1531" w:type="dxa"/>
            <w:tcBorders>
              <w:bottom w:val="nil"/>
            </w:tcBorders>
            <w:shd w:val="clear" w:color="000000" w:fill="FFFFFF"/>
            <w:noWrap/>
            <w:vAlign w:val="center"/>
            <w:hideMark/>
          </w:tcPr>
          <w:p w14:paraId="0A63B569" w14:textId="77777777" w:rsidR="00441AF4" w:rsidRPr="003C22F3" w:rsidRDefault="00441AF4" w:rsidP="000E431B">
            <w:pPr>
              <w:spacing w:after="0" w:line="240" w:lineRule="auto"/>
              <w:jc w:val="center"/>
              <w:rPr>
                <w:rFonts w:eastAsia="Times New Roman" w:cs="Segoe UI"/>
                <w:color w:val="000000"/>
                <w:sz w:val="18"/>
                <w:szCs w:val="18"/>
                <w:lang w:eastAsia="sk-SK"/>
              </w:rPr>
            </w:pPr>
            <w:r w:rsidRPr="003C22F3">
              <w:rPr>
                <w:rFonts w:eastAsia="Times New Roman" w:cs="Segoe UI"/>
                <w:color w:val="000000"/>
                <w:sz w:val="18"/>
                <w:szCs w:val="18"/>
                <w:lang w:eastAsia="sk-SK"/>
              </w:rPr>
              <w:t>1 156,4</w:t>
            </w:r>
          </w:p>
        </w:tc>
      </w:tr>
      <w:tr w:rsidR="00441AF4" w:rsidRPr="003C22F3" w14:paraId="5ED1EF35" w14:textId="77777777" w:rsidTr="000E431B">
        <w:trPr>
          <w:trHeight w:val="283"/>
        </w:trPr>
        <w:tc>
          <w:tcPr>
            <w:tcW w:w="2972" w:type="dxa"/>
            <w:tcBorders>
              <w:bottom w:val="single" w:sz="4" w:space="0" w:color="314364" w:themeColor="text2"/>
            </w:tcBorders>
            <w:shd w:val="clear" w:color="000000" w:fill="FFFFFF"/>
            <w:noWrap/>
            <w:vAlign w:val="center"/>
          </w:tcPr>
          <w:p w14:paraId="7FB73495" w14:textId="77777777" w:rsidR="00441AF4" w:rsidRPr="003C22F3" w:rsidRDefault="00441AF4" w:rsidP="000E431B">
            <w:pPr>
              <w:spacing w:after="0" w:line="240" w:lineRule="auto"/>
              <w:rPr>
                <w:rFonts w:eastAsia="Times New Roman" w:cs="Segoe UI"/>
                <w:color w:val="000000"/>
                <w:sz w:val="18"/>
                <w:szCs w:val="18"/>
                <w:lang w:eastAsia="sk-SK"/>
              </w:rPr>
            </w:pPr>
            <w:r w:rsidRPr="003C22F3">
              <w:rPr>
                <w:rFonts w:eastAsia="Times New Roman" w:cs="Segoe UI"/>
                <w:color w:val="000000"/>
                <w:sz w:val="18"/>
                <w:szCs w:val="18"/>
                <w:lang w:eastAsia="sk-SK"/>
              </w:rPr>
              <w:t>Výdavky VZP na lieky zazmluvnené MZ SR (v 2. roku po novele zákona)</w:t>
            </w:r>
          </w:p>
        </w:tc>
        <w:tc>
          <w:tcPr>
            <w:tcW w:w="1531" w:type="dxa"/>
            <w:tcBorders>
              <w:bottom w:val="single" w:sz="4" w:space="0" w:color="314364" w:themeColor="text2"/>
            </w:tcBorders>
            <w:shd w:val="clear" w:color="000000" w:fill="FFFFFF"/>
            <w:noWrap/>
            <w:vAlign w:val="center"/>
          </w:tcPr>
          <w:p w14:paraId="32692CF1" w14:textId="77777777" w:rsidR="00441AF4" w:rsidRPr="003C22F3" w:rsidRDefault="00441AF4" w:rsidP="000E431B">
            <w:pPr>
              <w:spacing w:after="0" w:line="240" w:lineRule="auto"/>
              <w:jc w:val="center"/>
              <w:rPr>
                <w:rFonts w:eastAsia="Times New Roman" w:cs="Segoe UI"/>
                <w:color w:val="000000"/>
                <w:sz w:val="18"/>
                <w:szCs w:val="18"/>
                <w:lang w:eastAsia="sk-SK"/>
              </w:rPr>
            </w:pPr>
            <w:r w:rsidRPr="003C22F3">
              <w:rPr>
                <w:rFonts w:eastAsia="Times New Roman" w:cs="Segoe UI"/>
                <w:color w:val="000000"/>
                <w:sz w:val="18"/>
                <w:szCs w:val="18"/>
                <w:lang w:eastAsia="sk-SK"/>
              </w:rPr>
              <w:t>3Q 2022 - 2Q 2024</w:t>
            </w:r>
          </w:p>
        </w:tc>
        <w:tc>
          <w:tcPr>
            <w:tcW w:w="1531" w:type="dxa"/>
            <w:tcBorders>
              <w:bottom w:val="single" w:sz="4" w:space="0" w:color="314364" w:themeColor="text2"/>
            </w:tcBorders>
            <w:shd w:val="clear" w:color="000000" w:fill="FFFFFF"/>
            <w:noWrap/>
            <w:vAlign w:val="center"/>
          </w:tcPr>
          <w:p w14:paraId="07EDFA49" w14:textId="77777777" w:rsidR="00441AF4" w:rsidRPr="003C22F3" w:rsidRDefault="00441AF4" w:rsidP="000E431B">
            <w:pPr>
              <w:spacing w:after="0" w:line="240" w:lineRule="auto"/>
              <w:jc w:val="center"/>
              <w:rPr>
                <w:rFonts w:eastAsia="Times New Roman" w:cs="Segoe UI"/>
                <w:sz w:val="18"/>
                <w:szCs w:val="18"/>
                <w:lang w:eastAsia="sk-SK"/>
              </w:rPr>
            </w:pPr>
            <w:r w:rsidRPr="003C22F3">
              <w:rPr>
                <w:rFonts w:eastAsia="Times New Roman" w:cs="Segoe UI"/>
                <w:sz w:val="18"/>
                <w:szCs w:val="18"/>
                <w:lang w:eastAsia="sk-SK"/>
              </w:rPr>
              <w:t>420,2</w:t>
            </w:r>
          </w:p>
        </w:tc>
        <w:tc>
          <w:tcPr>
            <w:tcW w:w="1531" w:type="dxa"/>
            <w:tcBorders>
              <w:bottom w:val="single" w:sz="4" w:space="0" w:color="314364" w:themeColor="text2"/>
            </w:tcBorders>
            <w:shd w:val="clear" w:color="000000" w:fill="FFFFFF"/>
            <w:noWrap/>
            <w:vAlign w:val="center"/>
          </w:tcPr>
          <w:p w14:paraId="4FA7891A" w14:textId="77777777" w:rsidR="00441AF4" w:rsidRPr="003C22F3" w:rsidRDefault="00441AF4" w:rsidP="000E431B">
            <w:pPr>
              <w:spacing w:after="0" w:line="240" w:lineRule="auto"/>
              <w:jc w:val="center"/>
              <w:rPr>
                <w:rFonts w:eastAsia="Times New Roman" w:cs="Segoe UI"/>
                <w:color w:val="000000"/>
                <w:sz w:val="18"/>
                <w:szCs w:val="18"/>
                <w:lang w:eastAsia="sk-SK"/>
              </w:rPr>
            </w:pPr>
            <w:r w:rsidRPr="003C22F3">
              <w:rPr>
                <w:rFonts w:eastAsia="Times New Roman" w:cs="Segoe UI"/>
                <w:color w:val="000000"/>
                <w:sz w:val="18"/>
                <w:szCs w:val="18"/>
                <w:lang w:eastAsia="sk-SK"/>
              </w:rPr>
              <w:t>1 143,9</w:t>
            </w:r>
          </w:p>
        </w:tc>
        <w:tc>
          <w:tcPr>
            <w:tcW w:w="1531" w:type="dxa"/>
            <w:tcBorders>
              <w:bottom w:val="single" w:sz="4" w:space="0" w:color="314364" w:themeColor="text2"/>
            </w:tcBorders>
            <w:shd w:val="clear" w:color="000000" w:fill="FFFFFF"/>
            <w:noWrap/>
            <w:vAlign w:val="center"/>
          </w:tcPr>
          <w:p w14:paraId="69438854" w14:textId="77777777" w:rsidR="00441AF4" w:rsidRPr="003C22F3" w:rsidRDefault="00441AF4" w:rsidP="000E431B">
            <w:pPr>
              <w:spacing w:after="0" w:line="240" w:lineRule="auto"/>
              <w:jc w:val="center"/>
              <w:rPr>
                <w:rFonts w:eastAsia="Times New Roman" w:cs="Segoe UI"/>
                <w:color w:val="000000"/>
                <w:sz w:val="18"/>
                <w:szCs w:val="18"/>
                <w:lang w:eastAsia="sk-SK"/>
              </w:rPr>
            </w:pPr>
            <w:r w:rsidRPr="003C22F3">
              <w:rPr>
                <w:rFonts w:eastAsia="Times New Roman" w:cs="Segoe UI"/>
                <w:color w:val="000000"/>
                <w:sz w:val="18"/>
                <w:szCs w:val="18"/>
                <w:lang w:eastAsia="sk-SK"/>
              </w:rPr>
              <w:t>2 003,9</w:t>
            </w:r>
          </w:p>
        </w:tc>
      </w:tr>
      <w:tr w:rsidR="00441AF4" w:rsidRPr="003C22F3" w14:paraId="7D1B083D" w14:textId="77777777" w:rsidTr="000E431B">
        <w:trPr>
          <w:trHeight w:val="283"/>
        </w:trPr>
        <w:tc>
          <w:tcPr>
            <w:tcW w:w="2972" w:type="dxa"/>
            <w:tcBorders>
              <w:top w:val="single" w:sz="4" w:space="0" w:color="314364" w:themeColor="text2"/>
            </w:tcBorders>
            <w:shd w:val="clear" w:color="000000" w:fill="FFFFFF"/>
            <w:noWrap/>
            <w:vAlign w:val="center"/>
          </w:tcPr>
          <w:p w14:paraId="36D2A549" w14:textId="77777777" w:rsidR="00441AF4" w:rsidRPr="00343E5D" w:rsidRDefault="00441AF4" w:rsidP="000E431B">
            <w:pPr>
              <w:spacing w:after="0" w:line="240" w:lineRule="auto"/>
              <w:rPr>
                <w:rFonts w:eastAsia="Times New Roman" w:cs="Segoe UI"/>
                <w:b/>
                <w:color w:val="000000"/>
                <w:sz w:val="18"/>
                <w:szCs w:val="18"/>
                <w:lang w:eastAsia="sk-SK"/>
              </w:rPr>
            </w:pPr>
            <w:r w:rsidRPr="00343E5D">
              <w:rPr>
                <w:rFonts w:eastAsia="Times New Roman" w:cs="Segoe UI"/>
                <w:b/>
                <w:color w:val="000000"/>
                <w:sz w:val="18"/>
                <w:szCs w:val="18"/>
                <w:lang w:eastAsia="sk-SK"/>
              </w:rPr>
              <w:t xml:space="preserve">Medziročný nárast </w:t>
            </w:r>
          </w:p>
        </w:tc>
        <w:tc>
          <w:tcPr>
            <w:tcW w:w="1531" w:type="dxa"/>
            <w:tcBorders>
              <w:top w:val="single" w:sz="4" w:space="0" w:color="314364" w:themeColor="text2"/>
            </w:tcBorders>
            <w:shd w:val="clear" w:color="000000" w:fill="FFFFFF"/>
            <w:noWrap/>
            <w:vAlign w:val="center"/>
          </w:tcPr>
          <w:p w14:paraId="4A1BC3FA" w14:textId="77777777" w:rsidR="00441AF4" w:rsidRPr="00343E5D" w:rsidRDefault="00441AF4" w:rsidP="000E431B">
            <w:pPr>
              <w:spacing w:after="0" w:line="240" w:lineRule="auto"/>
              <w:jc w:val="center"/>
              <w:rPr>
                <w:rFonts w:eastAsia="Times New Roman" w:cs="Segoe UI"/>
                <w:b/>
                <w:color w:val="000000"/>
                <w:sz w:val="18"/>
                <w:szCs w:val="18"/>
                <w:lang w:eastAsia="sk-SK"/>
              </w:rPr>
            </w:pPr>
            <w:r w:rsidRPr="00343E5D">
              <w:rPr>
                <w:rFonts w:eastAsia="Times New Roman" w:cs="Segoe UI"/>
                <w:b/>
                <w:color w:val="000000"/>
                <w:sz w:val="18"/>
                <w:szCs w:val="18"/>
                <w:lang w:eastAsia="sk-SK"/>
              </w:rPr>
              <w:t>-</w:t>
            </w:r>
          </w:p>
        </w:tc>
        <w:tc>
          <w:tcPr>
            <w:tcW w:w="1531" w:type="dxa"/>
            <w:tcBorders>
              <w:top w:val="single" w:sz="4" w:space="0" w:color="314364" w:themeColor="text2"/>
            </w:tcBorders>
            <w:shd w:val="clear" w:color="000000" w:fill="FFFFFF"/>
            <w:noWrap/>
            <w:vAlign w:val="center"/>
          </w:tcPr>
          <w:p w14:paraId="263A1B39" w14:textId="77777777" w:rsidR="00441AF4" w:rsidRPr="00343E5D" w:rsidRDefault="00441AF4" w:rsidP="000E431B">
            <w:pPr>
              <w:spacing w:after="0" w:line="240" w:lineRule="auto"/>
              <w:jc w:val="center"/>
              <w:rPr>
                <w:rFonts w:eastAsia="Times New Roman" w:cs="Segoe UI"/>
                <w:b/>
                <w:sz w:val="18"/>
                <w:szCs w:val="18"/>
                <w:lang w:eastAsia="sk-SK"/>
              </w:rPr>
            </w:pPr>
            <w:r w:rsidRPr="00343E5D">
              <w:rPr>
                <w:rFonts w:eastAsia="Times New Roman" w:cs="Segoe UI"/>
                <w:b/>
                <w:sz w:val="18"/>
                <w:szCs w:val="18"/>
                <w:lang w:eastAsia="sk-SK"/>
              </w:rPr>
              <w:t>164, 8</w:t>
            </w:r>
          </w:p>
        </w:tc>
        <w:tc>
          <w:tcPr>
            <w:tcW w:w="1531" w:type="dxa"/>
            <w:tcBorders>
              <w:top w:val="single" w:sz="4" w:space="0" w:color="314364" w:themeColor="text2"/>
            </w:tcBorders>
            <w:shd w:val="clear" w:color="000000" w:fill="FFFFFF"/>
            <w:noWrap/>
            <w:vAlign w:val="center"/>
          </w:tcPr>
          <w:p w14:paraId="1E332589" w14:textId="77777777" w:rsidR="00441AF4" w:rsidRPr="00343E5D" w:rsidRDefault="00441AF4" w:rsidP="000E431B">
            <w:pPr>
              <w:spacing w:after="0" w:line="240" w:lineRule="auto"/>
              <w:jc w:val="center"/>
              <w:rPr>
                <w:rFonts w:eastAsia="Times New Roman" w:cs="Segoe UI"/>
                <w:b/>
                <w:color w:val="000000"/>
                <w:sz w:val="18"/>
                <w:szCs w:val="18"/>
                <w:lang w:eastAsia="sk-SK"/>
              </w:rPr>
            </w:pPr>
            <w:r w:rsidRPr="00343E5D">
              <w:rPr>
                <w:rFonts w:eastAsia="Times New Roman" w:cs="Segoe UI"/>
                <w:b/>
                <w:color w:val="000000"/>
                <w:sz w:val="18"/>
                <w:szCs w:val="18"/>
                <w:lang w:eastAsia="sk-SK"/>
              </w:rPr>
              <w:t>475,0</w:t>
            </w:r>
          </w:p>
        </w:tc>
        <w:tc>
          <w:tcPr>
            <w:tcW w:w="1531" w:type="dxa"/>
            <w:tcBorders>
              <w:top w:val="single" w:sz="4" w:space="0" w:color="314364" w:themeColor="text2"/>
            </w:tcBorders>
            <w:shd w:val="clear" w:color="000000" w:fill="FFFFFF"/>
            <w:noWrap/>
            <w:vAlign w:val="center"/>
          </w:tcPr>
          <w:p w14:paraId="2B33CBB7" w14:textId="77777777" w:rsidR="00441AF4" w:rsidRPr="00343E5D" w:rsidRDefault="00441AF4" w:rsidP="000E431B">
            <w:pPr>
              <w:spacing w:after="0" w:line="240" w:lineRule="auto"/>
              <w:jc w:val="center"/>
              <w:rPr>
                <w:rFonts w:eastAsia="Times New Roman" w:cs="Segoe UI"/>
                <w:b/>
                <w:color w:val="000000"/>
                <w:sz w:val="18"/>
                <w:szCs w:val="18"/>
                <w:lang w:eastAsia="sk-SK"/>
              </w:rPr>
            </w:pPr>
            <w:r w:rsidRPr="00343E5D">
              <w:rPr>
                <w:rFonts w:eastAsia="Times New Roman" w:cs="Segoe UI"/>
                <w:b/>
                <w:color w:val="000000"/>
                <w:sz w:val="18"/>
                <w:szCs w:val="18"/>
                <w:lang w:eastAsia="sk-SK"/>
              </w:rPr>
              <w:t>847,5</w:t>
            </w:r>
          </w:p>
        </w:tc>
      </w:tr>
    </w:tbl>
    <w:p w14:paraId="1118076C" w14:textId="738F4BE3" w:rsidR="00441AF4" w:rsidRPr="00651A11" w:rsidRDefault="00441AF4" w:rsidP="00441AF4">
      <w:pPr>
        <w:pStyle w:val="Zdroj"/>
        <w:rPr>
          <w:rFonts w:cs="Segoe UI"/>
          <w:szCs w:val="16"/>
        </w:rPr>
      </w:pPr>
      <w:r w:rsidRPr="00651A11">
        <w:rPr>
          <w:rFonts w:cs="Segoe UI"/>
          <w:szCs w:val="16"/>
        </w:rPr>
        <w:t>Zdroj: MZ SR, spracovan</w:t>
      </w:r>
      <w:r w:rsidR="0022613F">
        <w:rPr>
          <w:rFonts w:cs="Segoe UI"/>
          <w:szCs w:val="16"/>
        </w:rPr>
        <w:t>ie</w:t>
      </w:r>
      <w:r w:rsidRPr="00651A11">
        <w:rPr>
          <w:rFonts w:cs="Segoe UI"/>
          <w:szCs w:val="16"/>
        </w:rPr>
        <w:t xml:space="preserve"> NKÚ SR</w:t>
      </w:r>
      <w:r w:rsidR="0022613F">
        <w:rPr>
          <w:rFonts w:cs="Segoe UI"/>
          <w:szCs w:val="16"/>
        </w:rPr>
        <w:t>.</w:t>
      </w:r>
      <w:r w:rsidRPr="00651A11">
        <w:rPr>
          <w:rFonts w:cs="Segoe UI"/>
          <w:szCs w:val="16"/>
        </w:rPr>
        <w:t xml:space="preserve"> [</w:t>
      </w:r>
      <w:hyperlink r:id="rId40" w:history="1">
        <w:r w:rsidRPr="00651A11">
          <w:rPr>
            <w:rStyle w:val="Hypertextovprepojenie"/>
            <w:rFonts w:cs="Segoe UI"/>
            <w:sz w:val="16"/>
            <w:szCs w:val="16"/>
          </w:rPr>
          <w:t>online</w:t>
        </w:r>
      </w:hyperlink>
      <w:r w:rsidRPr="00651A11">
        <w:rPr>
          <w:rFonts w:cs="Segoe UI"/>
          <w:szCs w:val="16"/>
        </w:rPr>
        <w:t xml:space="preserve">]. </w:t>
      </w:r>
    </w:p>
    <w:p w14:paraId="0F548008" w14:textId="4708E3A4" w:rsidR="00F6689C" w:rsidRPr="005C56DF" w:rsidRDefault="00F6689C" w:rsidP="00F6689C">
      <w:pPr>
        <w:rPr>
          <w:rFonts w:cs="Segoe UI"/>
        </w:rPr>
      </w:pPr>
      <w:r w:rsidRPr="005C56DF">
        <w:rPr>
          <w:rFonts w:cs="Segoe UI"/>
          <w:b/>
        </w:rPr>
        <w:t>Prudko začali rásť rozpočtované aj skutočné výdavky na lieky a dietetické potraviny.</w:t>
      </w:r>
      <w:r w:rsidRPr="005C56DF">
        <w:rPr>
          <w:rFonts w:cs="Segoe UI"/>
        </w:rPr>
        <w:t xml:space="preserve"> Vzhľadom na zvýšený počet kategorizovaných </w:t>
      </w:r>
      <w:r w:rsidR="00C338CD">
        <w:rPr>
          <w:rFonts w:cs="Segoe UI"/>
        </w:rPr>
        <w:t>nových</w:t>
      </w:r>
      <w:r w:rsidRPr="005C56DF">
        <w:rPr>
          <w:rFonts w:cs="Segoe UI"/>
        </w:rPr>
        <w:t xml:space="preserve"> liekov po novele zákona 363/2011 Z. z., sa od roku 2022 ani raz nepodarilo výdavkom na lieky dodržať rozpočet. Najväčším problémom budúcich rozpočtov VZP je, že výdavky na nov</w:t>
      </w:r>
      <w:r w:rsidR="00C338CD">
        <w:rPr>
          <w:rFonts w:cs="Segoe UI"/>
        </w:rPr>
        <w:t>é</w:t>
      </w:r>
      <w:r w:rsidRPr="005C56DF">
        <w:rPr>
          <w:rFonts w:cs="Segoe UI"/>
        </w:rPr>
        <w:t xml:space="preserve"> lieky budú rásť </w:t>
      </w:r>
      <w:r w:rsidR="003D01FD">
        <w:rPr>
          <w:rFonts w:cs="Segoe UI"/>
        </w:rPr>
        <w:t>rýchlejšie než doteraz</w:t>
      </w:r>
      <w:r w:rsidRPr="005C56DF">
        <w:rPr>
          <w:rFonts w:cs="Segoe UI"/>
        </w:rPr>
        <w:t xml:space="preserve"> aj vzhľadom na zazmluvnený vyšší počet liekov s veľkým dopadom na rozpočet v horizonte troch rokov.</w:t>
      </w:r>
      <w:r w:rsidRPr="005C56DF">
        <w:rPr>
          <w:rStyle w:val="Odkaznapoznmkupodiarou"/>
          <w:rFonts w:cs="Segoe UI"/>
        </w:rPr>
        <w:footnoteReference w:id="88"/>
      </w:r>
      <w:r w:rsidRPr="005C56DF">
        <w:rPr>
          <w:rFonts w:cs="Segoe UI"/>
        </w:rPr>
        <w:t xml:space="preserve"> Predpokladané dopady na rozpočet deklarujú </w:t>
      </w:r>
      <w:r w:rsidR="00B04209">
        <w:rPr>
          <w:rFonts w:cs="Segoe UI"/>
        </w:rPr>
        <w:t>aj</w:t>
      </w:r>
      <w:r w:rsidRPr="005C56DF">
        <w:rPr>
          <w:rFonts w:cs="Segoe UI"/>
        </w:rPr>
        <w:t xml:space="preserve"> farmaceutické firmy v rámci predloženia dokumentácie za účelom kategorizácie lieku. </w:t>
      </w:r>
    </w:p>
    <w:p w14:paraId="37C0766B" w14:textId="3768A54B" w:rsidR="00F6689C" w:rsidRPr="005C56DF" w:rsidRDefault="00C338CD" w:rsidP="00F6689C">
      <w:pPr>
        <w:rPr>
          <w:rFonts w:cs="Segoe UI"/>
        </w:rPr>
      </w:pPr>
      <w:r>
        <w:rPr>
          <w:rFonts w:cs="Segoe UI"/>
          <w:b/>
        </w:rPr>
        <w:t xml:space="preserve">NKÚ SR </w:t>
      </w:r>
      <w:r w:rsidR="00651A11">
        <w:rPr>
          <w:rFonts w:cs="Segoe UI"/>
          <w:b/>
        </w:rPr>
        <w:t>upozorňuje</w:t>
      </w:r>
      <w:r>
        <w:rPr>
          <w:rFonts w:cs="Segoe UI"/>
          <w:b/>
        </w:rPr>
        <w:t>, že</w:t>
      </w:r>
      <w:r w:rsidRPr="005C56DF">
        <w:rPr>
          <w:rFonts w:cs="Segoe UI"/>
          <w:b/>
        </w:rPr>
        <w:t xml:space="preserve"> aj v roku 202</w:t>
      </w:r>
      <w:r>
        <w:rPr>
          <w:rFonts w:cs="Segoe UI"/>
          <w:b/>
        </w:rPr>
        <w:t>4</w:t>
      </w:r>
      <w:r w:rsidRPr="005C56DF">
        <w:rPr>
          <w:rFonts w:cs="Segoe UI"/>
          <w:b/>
        </w:rPr>
        <w:t xml:space="preserve"> bude rozpočet na lieky</w:t>
      </w:r>
      <w:r>
        <w:rPr>
          <w:rFonts w:cs="Segoe UI"/>
          <w:b/>
        </w:rPr>
        <w:t xml:space="preserve"> </w:t>
      </w:r>
      <w:r w:rsidR="00651A11">
        <w:rPr>
          <w:rFonts w:cs="Segoe UI"/>
          <w:b/>
        </w:rPr>
        <w:t xml:space="preserve">prekročený </w:t>
      </w:r>
      <w:r w:rsidR="00651A11" w:rsidRPr="00651A11">
        <w:rPr>
          <w:rFonts w:cs="Segoe UI"/>
        </w:rPr>
        <w:t xml:space="preserve">(voči </w:t>
      </w:r>
      <w:r w:rsidRPr="00651A11">
        <w:rPr>
          <w:rFonts w:cs="Segoe UI"/>
        </w:rPr>
        <w:t>očakávanej skutočnosti z októbra 2024</w:t>
      </w:r>
      <w:r w:rsidR="003D01FD">
        <w:rPr>
          <w:rStyle w:val="Odkaznapoznmkupodiarou"/>
          <w:rFonts w:cs="Segoe UI"/>
        </w:rPr>
        <w:footnoteReference w:id="89"/>
      </w:r>
      <w:r w:rsidRPr="00651A11">
        <w:rPr>
          <w:rFonts w:cs="Segoe UI"/>
        </w:rPr>
        <w:t xml:space="preserve"> o 224 mil. eur</w:t>
      </w:r>
      <w:r w:rsidR="00651A11" w:rsidRPr="00651A11">
        <w:rPr>
          <w:rFonts w:cs="Segoe UI"/>
        </w:rPr>
        <w:t>)</w:t>
      </w:r>
      <w:r w:rsidRPr="005C56DF">
        <w:rPr>
          <w:rFonts w:cs="Segoe UI"/>
          <w:b/>
        </w:rPr>
        <w:t xml:space="preserve">, </w:t>
      </w:r>
      <w:r>
        <w:rPr>
          <w:rFonts w:cs="Segoe UI"/>
          <w:b/>
        </w:rPr>
        <w:t xml:space="preserve">a to aj </w:t>
      </w:r>
      <w:r w:rsidRPr="005C56DF">
        <w:rPr>
          <w:rFonts w:cs="Segoe UI"/>
          <w:b/>
        </w:rPr>
        <w:t>napriek navýšeniu prostriedkov už počas roka 2024 prostredníctvom vyhlášky 55/2024</w:t>
      </w:r>
      <w:r w:rsidRPr="005C56DF">
        <w:rPr>
          <w:rFonts w:cs="Segoe UI"/>
        </w:rPr>
        <w:t>.</w:t>
      </w:r>
      <w:r w:rsidRPr="005C56DF">
        <w:rPr>
          <w:rStyle w:val="Odkaznapoznmkupodiarou"/>
          <w:rFonts w:cs="Segoe UI"/>
        </w:rPr>
        <w:footnoteReference w:id="90"/>
      </w:r>
      <w:r w:rsidRPr="005C56DF">
        <w:rPr>
          <w:rFonts w:cs="Segoe UI"/>
        </w:rPr>
        <w:t xml:space="preserve"> </w:t>
      </w:r>
      <w:r w:rsidR="00F6689C" w:rsidRPr="005C56DF">
        <w:rPr>
          <w:rFonts w:cs="Segoe UI"/>
        </w:rPr>
        <w:t xml:space="preserve">Vyhláškou bola stanovená </w:t>
      </w:r>
      <w:r w:rsidR="003D01FD">
        <w:rPr>
          <w:rFonts w:cs="Segoe UI"/>
        </w:rPr>
        <w:t xml:space="preserve">minimálna </w:t>
      </w:r>
      <w:r w:rsidR="00F6689C" w:rsidRPr="005C56DF">
        <w:rPr>
          <w:rFonts w:cs="Segoe UI"/>
        </w:rPr>
        <w:t xml:space="preserve">suma na lieky a dietetické potraviny vo výške takmer 1,5 mld. eur. V návrhu RVS na rok 2025 sa však uvádza suma o 94 mil. eur vyššia ako vo vyhláške, </w:t>
      </w:r>
      <w:r w:rsidR="003D01FD">
        <w:rPr>
          <w:rFonts w:cs="Segoe UI"/>
        </w:rPr>
        <w:t xml:space="preserve">ktorá vyplýva z dôvodovej správy k vyhláške a </w:t>
      </w:r>
      <w:r w:rsidR="00F6689C" w:rsidRPr="005C56DF">
        <w:rPr>
          <w:rFonts w:cs="Segoe UI"/>
        </w:rPr>
        <w:t>na ktorú sa MF SR odvoláva. Rozdiel medzi celkovými sumami vyplýva z toho, že vyhláška uvádza minimálne sumy pre jednotlivé typy zdravotnej starostlivost</w:t>
      </w:r>
      <w:r w:rsidR="00B04209">
        <w:rPr>
          <w:rFonts w:cs="Segoe UI"/>
        </w:rPr>
        <w:t xml:space="preserve">i, zatiaľ čo NRVS na roky 2025 – </w:t>
      </w:r>
      <w:r w:rsidR="00F6689C" w:rsidRPr="005C56DF">
        <w:rPr>
          <w:rFonts w:cs="Segoe UI"/>
        </w:rPr>
        <w:t>2027 zohľadňuje možné navýšenie rozpočtu na základe priorít rezortu zdravotníctva. To znamená, že aj keď rezort môže garantovať alokáciu plnej sumy pre určité typy starostlivosti, v iných oblastiach môže znížiť finančné prostriedky, čím vzniká rozdiel v celkových sumách. Nezdôvodnené zo strany M</w:t>
      </w:r>
      <w:r w:rsidR="004A5989">
        <w:rPr>
          <w:rFonts w:cs="Segoe UI"/>
        </w:rPr>
        <w:t>Z</w:t>
      </w:r>
      <w:r w:rsidR="00F6689C" w:rsidRPr="005C56DF">
        <w:rPr>
          <w:rFonts w:cs="Segoe UI"/>
        </w:rPr>
        <w:t xml:space="preserve"> SR však </w:t>
      </w:r>
      <w:r w:rsidR="00B04209">
        <w:rPr>
          <w:rFonts w:cs="Segoe UI"/>
        </w:rPr>
        <w:t>z</w:t>
      </w:r>
      <w:r w:rsidR="00F6689C" w:rsidRPr="005C56DF">
        <w:rPr>
          <w:rFonts w:cs="Segoe UI"/>
        </w:rPr>
        <w:t>ostáva</w:t>
      </w:r>
      <w:r w:rsidR="00B04209">
        <w:rPr>
          <w:rFonts w:cs="Segoe UI"/>
        </w:rPr>
        <w:t>,</w:t>
      </w:r>
      <w:r w:rsidR="00F6689C" w:rsidRPr="005C56DF">
        <w:rPr>
          <w:rFonts w:cs="Segoe UI"/>
        </w:rPr>
        <w:t xml:space="preserve"> prečo bol práve rozpočet na lieky navýšený o 94 mil. eur</w:t>
      </w:r>
      <w:r w:rsidRPr="00C338CD">
        <w:rPr>
          <w:rFonts w:cs="Segoe UI"/>
        </w:rPr>
        <w:t xml:space="preserve"> </w:t>
      </w:r>
      <w:r>
        <w:rPr>
          <w:rFonts w:cs="Segoe UI"/>
        </w:rPr>
        <w:t xml:space="preserve">na úkor </w:t>
      </w:r>
      <w:r w:rsidR="00C542D7">
        <w:rPr>
          <w:rFonts w:cs="Segoe UI"/>
        </w:rPr>
        <w:t xml:space="preserve">ostatných </w:t>
      </w:r>
      <w:r>
        <w:rPr>
          <w:rFonts w:cs="Segoe UI"/>
        </w:rPr>
        <w:t>poskytovateľov zdravotnej starostlivosti</w:t>
      </w:r>
      <w:r w:rsidR="00F6689C" w:rsidRPr="005C56DF">
        <w:rPr>
          <w:rFonts w:cs="Segoe UI"/>
        </w:rPr>
        <w:t>.</w:t>
      </w:r>
    </w:p>
    <w:p w14:paraId="5FA6ADE2" w14:textId="58AC79CE" w:rsidR="0022613F" w:rsidRDefault="0022613F" w:rsidP="0022613F">
      <w:pPr>
        <w:rPr>
          <w:rFonts w:cs="Segoe UI"/>
        </w:rPr>
      </w:pPr>
      <w:bookmarkStart w:id="49" w:name="_Toc119482912"/>
      <w:r w:rsidRPr="005C56DF">
        <w:rPr>
          <w:rFonts w:cs="Segoe UI"/>
          <w:b/>
        </w:rPr>
        <w:lastRenderedPageBreak/>
        <w:t>Očakávané prekročenie rozpočtu na lieky v roku 2024 nie je žiadnou výnimkou.</w:t>
      </w:r>
      <w:r w:rsidRPr="005C56DF">
        <w:rPr>
          <w:rFonts w:cs="Segoe UI"/>
        </w:rPr>
        <w:t xml:space="preserve"> Ide o prax, ktorá sa opakuje každoročne od roku 2021, avšak v tom roku bol</w:t>
      </w:r>
      <w:r>
        <w:rPr>
          <w:rFonts w:cs="Segoe UI"/>
        </w:rPr>
        <w:t xml:space="preserve"> rozpočet </w:t>
      </w:r>
      <w:r w:rsidRPr="005C56DF">
        <w:rPr>
          <w:rFonts w:cs="Segoe UI"/>
        </w:rPr>
        <w:t>prekroč</w:t>
      </w:r>
      <w:r>
        <w:rPr>
          <w:rFonts w:cs="Segoe UI"/>
        </w:rPr>
        <w:t>ený o</w:t>
      </w:r>
      <w:r w:rsidRPr="005C56DF">
        <w:rPr>
          <w:rFonts w:cs="Segoe UI"/>
        </w:rPr>
        <w:t xml:space="preserve"> približne 34 mil. eur</w:t>
      </w:r>
      <w:r>
        <w:rPr>
          <w:rFonts w:cs="Segoe UI"/>
        </w:rPr>
        <w:t xml:space="preserve"> </w:t>
      </w:r>
      <w:r w:rsidRPr="00B04209">
        <w:rPr>
          <w:rFonts w:cs="Segoe UI"/>
        </w:rPr>
        <w:t>(graf 2</w:t>
      </w:r>
      <w:r w:rsidR="00794092">
        <w:rPr>
          <w:rFonts w:cs="Segoe UI"/>
        </w:rPr>
        <w:t>7</w:t>
      </w:r>
      <w:r w:rsidRPr="00B04209">
        <w:rPr>
          <w:rFonts w:cs="Segoe UI"/>
        </w:rPr>
        <w:t>).</w:t>
      </w:r>
      <w:r w:rsidRPr="005C56DF">
        <w:rPr>
          <w:rFonts w:cs="Segoe UI"/>
        </w:rPr>
        <w:t xml:space="preserve"> </w:t>
      </w:r>
      <w:r w:rsidR="00C542D7">
        <w:rPr>
          <w:rFonts w:cs="Segoe UI"/>
        </w:rPr>
        <w:t>O</w:t>
      </w:r>
      <w:r w:rsidRPr="005C56DF">
        <w:rPr>
          <w:rFonts w:cs="Segoe UI"/>
        </w:rPr>
        <w:t>d roku 2022 sú rozpočty na lieky prekračované v stomiliónových sumách, a podľa NRVS bude ras</w:t>
      </w:r>
      <w:r>
        <w:rPr>
          <w:rFonts w:cs="Segoe UI"/>
        </w:rPr>
        <w:t>t týchto</w:t>
      </w:r>
      <w:r w:rsidRPr="005C56DF">
        <w:rPr>
          <w:rFonts w:cs="Segoe UI"/>
        </w:rPr>
        <w:t xml:space="preserve"> výdavkov naďalej pokračovať.</w:t>
      </w:r>
    </w:p>
    <w:p w14:paraId="102E41DE" w14:textId="6FF89F4A" w:rsidR="00441AF4" w:rsidRPr="005C56DF" w:rsidRDefault="00441AF4" w:rsidP="00441AF4">
      <w:pPr>
        <w:pBdr>
          <w:bottom w:val="single" w:sz="4" w:space="1" w:color="auto"/>
        </w:pBdr>
        <w:spacing w:after="0" w:line="240" w:lineRule="auto"/>
        <w:rPr>
          <w:rFonts w:cs="Segoe UI"/>
          <w:b/>
          <w:color w:val="314364"/>
          <w:szCs w:val="20"/>
        </w:rPr>
      </w:pPr>
      <w:r w:rsidRPr="005C56DF">
        <w:rPr>
          <w:rFonts w:cs="Segoe UI"/>
          <w:b/>
          <w:color w:val="314364"/>
          <w:szCs w:val="20"/>
        </w:rPr>
        <w:t xml:space="preserve">Graf </w:t>
      </w:r>
      <w:r>
        <w:rPr>
          <w:rFonts w:cs="Segoe UI"/>
          <w:b/>
          <w:color w:val="314364"/>
          <w:szCs w:val="20"/>
        </w:rPr>
        <w:t>2</w:t>
      </w:r>
      <w:r w:rsidR="00794092">
        <w:rPr>
          <w:rFonts w:cs="Segoe UI"/>
          <w:b/>
          <w:color w:val="314364"/>
          <w:szCs w:val="20"/>
        </w:rPr>
        <w:t>7</w:t>
      </w:r>
      <w:r w:rsidRPr="005C56DF">
        <w:rPr>
          <w:rFonts w:cs="Segoe UI"/>
          <w:b/>
          <w:color w:val="314364"/>
          <w:szCs w:val="20"/>
        </w:rPr>
        <w:t>: Vývoj výdavkov na lieky a dietetické potraviny (v mil. eur)</w:t>
      </w:r>
    </w:p>
    <w:p w14:paraId="59A192BA" w14:textId="77777777" w:rsidR="00441AF4" w:rsidRPr="003C22F3" w:rsidRDefault="00441AF4" w:rsidP="00441AF4">
      <w:pPr>
        <w:spacing w:after="0" w:line="240" w:lineRule="auto"/>
        <w:rPr>
          <w:rFonts w:cs="Segoe UI"/>
        </w:rPr>
      </w:pPr>
      <w:r>
        <w:rPr>
          <w:noProof/>
          <w:lang w:eastAsia="sk-SK"/>
        </w:rPr>
        <w:drawing>
          <wp:inline distT="0" distB="0" distL="0" distR="0" wp14:anchorId="52AC1EBC" wp14:editId="30240204">
            <wp:extent cx="5759450" cy="2159635"/>
            <wp:effectExtent l="0" t="0" r="0" b="0"/>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686C270" w14:textId="1028EBED" w:rsidR="00441AF4" w:rsidRPr="005C56DF" w:rsidRDefault="00441AF4" w:rsidP="00441AF4">
      <w:pPr>
        <w:pStyle w:val="Zdroj"/>
        <w:pBdr>
          <w:top w:val="single" w:sz="4" w:space="1" w:color="auto"/>
        </w:pBdr>
        <w:spacing w:after="0"/>
        <w:rPr>
          <w:rFonts w:cs="Segoe UI"/>
          <w:szCs w:val="16"/>
        </w:rPr>
      </w:pPr>
      <w:r w:rsidRPr="005C56DF">
        <w:rPr>
          <w:rFonts w:cs="Segoe UI"/>
          <w:szCs w:val="16"/>
        </w:rPr>
        <w:t>Zdroj: MZ SR, spracovanie NKÚ SR</w:t>
      </w:r>
      <w:r w:rsidR="0022613F">
        <w:rPr>
          <w:rFonts w:cs="Segoe UI"/>
          <w:szCs w:val="16"/>
        </w:rPr>
        <w:t>.</w:t>
      </w:r>
    </w:p>
    <w:p w14:paraId="1ADE0680" w14:textId="05F4150A" w:rsidR="00441AF4" w:rsidRPr="005C56DF" w:rsidRDefault="00441AF4" w:rsidP="00441AF4">
      <w:pPr>
        <w:pStyle w:val="Zdroj"/>
        <w:pBdr>
          <w:top w:val="single" w:sz="4" w:space="1" w:color="auto"/>
        </w:pBdr>
        <w:rPr>
          <w:rFonts w:cs="Segoe UI"/>
          <w:szCs w:val="16"/>
        </w:rPr>
      </w:pPr>
      <w:r w:rsidRPr="005C56DF">
        <w:rPr>
          <w:rFonts w:cs="Segoe UI"/>
          <w:szCs w:val="16"/>
        </w:rPr>
        <w:t>Pozn</w:t>
      </w:r>
      <w:r w:rsidR="0022613F">
        <w:rPr>
          <w:rFonts w:cs="Segoe UI"/>
          <w:szCs w:val="16"/>
        </w:rPr>
        <w:t>ámky</w:t>
      </w:r>
      <w:r w:rsidRPr="005C56DF">
        <w:rPr>
          <w:rFonts w:cs="Segoe UI"/>
          <w:szCs w:val="16"/>
        </w:rPr>
        <w:t>: Skutočné výdavky a rozpočtové výdavky poskyt</w:t>
      </w:r>
      <w:r w:rsidR="0022613F">
        <w:rPr>
          <w:rFonts w:cs="Segoe UI"/>
          <w:szCs w:val="16"/>
        </w:rPr>
        <w:t>lo</w:t>
      </w:r>
      <w:r w:rsidRPr="005C56DF">
        <w:rPr>
          <w:rFonts w:cs="Segoe UI"/>
          <w:szCs w:val="16"/>
        </w:rPr>
        <w:t xml:space="preserve"> MZ SR na základe vyžiadania NKÚ SR. O</w:t>
      </w:r>
      <w:r w:rsidR="0022613F">
        <w:rPr>
          <w:rFonts w:cs="Segoe UI"/>
          <w:szCs w:val="16"/>
        </w:rPr>
        <w:t>S</w:t>
      </w:r>
      <w:r w:rsidRPr="005C56DF">
        <w:rPr>
          <w:rFonts w:cs="Segoe UI"/>
          <w:szCs w:val="16"/>
        </w:rPr>
        <w:t xml:space="preserve"> je z</w:t>
      </w:r>
      <w:r w:rsidR="0022613F">
        <w:rPr>
          <w:rFonts w:cs="Segoe UI"/>
          <w:szCs w:val="16"/>
        </w:rPr>
        <w:t> októb</w:t>
      </w:r>
      <w:r w:rsidRPr="005C56DF">
        <w:rPr>
          <w:rFonts w:cs="Segoe UI"/>
          <w:szCs w:val="16"/>
        </w:rPr>
        <w:t>r</w:t>
      </w:r>
      <w:r w:rsidR="0022613F">
        <w:rPr>
          <w:rFonts w:cs="Segoe UI"/>
          <w:szCs w:val="16"/>
        </w:rPr>
        <w:t>a 2024</w:t>
      </w:r>
      <w:r w:rsidRPr="005C56DF">
        <w:rPr>
          <w:rFonts w:cs="Segoe UI"/>
          <w:szCs w:val="16"/>
        </w:rPr>
        <w:t>.</w:t>
      </w:r>
    </w:p>
    <w:p w14:paraId="14104634" w14:textId="03B420B0" w:rsidR="00C338CD" w:rsidRPr="005C56DF" w:rsidRDefault="00C338CD" w:rsidP="00C338CD">
      <w:pPr>
        <w:rPr>
          <w:rFonts w:cs="Segoe UI"/>
        </w:rPr>
      </w:pPr>
      <w:r w:rsidRPr="00B04209">
        <w:rPr>
          <w:rFonts w:cs="Segoe UI"/>
          <w:b/>
        </w:rPr>
        <w:t xml:space="preserve">NKÚ </w:t>
      </w:r>
      <w:r w:rsidR="0022613F">
        <w:rPr>
          <w:rFonts w:cs="Segoe UI"/>
          <w:b/>
        </w:rPr>
        <w:t xml:space="preserve">SR </w:t>
      </w:r>
      <w:r w:rsidR="0019430D">
        <w:rPr>
          <w:rFonts w:cs="Segoe UI"/>
          <w:b/>
        </w:rPr>
        <w:t>opakovane</w:t>
      </w:r>
      <w:r w:rsidRPr="00B04209">
        <w:rPr>
          <w:rFonts w:cs="Segoe UI"/>
          <w:b/>
        </w:rPr>
        <w:t xml:space="preserve"> upozor</w:t>
      </w:r>
      <w:r w:rsidR="0019430D">
        <w:rPr>
          <w:rFonts w:cs="Segoe UI"/>
          <w:b/>
        </w:rPr>
        <w:t>ňoval</w:t>
      </w:r>
      <w:r w:rsidRPr="00B04209">
        <w:rPr>
          <w:rFonts w:cs="Segoe UI"/>
          <w:b/>
        </w:rPr>
        <w:t xml:space="preserve"> na</w:t>
      </w:r>
      <w:r>
        <w:rPr>
          <w:rFonts w:cs="Segoe UI"/>
          <w:b/>
        </w:rPr>
        <w:t xml:space="preserve"> </w:t>
      </w:r>
      <w:r w:rsidRPr="00B04209">
        <w:rPr>
          <w:rFonts w:cs="Segoe UI"/>
          <w:b/>
        </w:rPr>
        <w:t>prekročenie stanoveného rozpočtu na lieky</w:t>
      </w:r>
      <w:r w:rsidRPr="00B04209">
        <w:rPr>
          <w:rStyle w:val="Odkaznapoznmkupodiarou"/>
          <w:rFonts w:cs="Segoe UI"/>
        </w:rPr>
        <w:footnoteReference w:id="91"/>
      </w:r>
      <w:r w:rsidRPr="00B04209">
        <w:rPr>
          <w:rFonts w:cs="Segoe UI"/>
          <w:b/>
        </w:rPr>
        <w:t xml:space="preserve"> a </w:t>
      </w:r>
      <w:r w:rsidR="0019430D">
        <w:rPr>
          <w:rFonts w:cs="Segoe UI"/>
          <w:b/>
        </w:rPr>
        <w:t>znova</w:t>
      </w:r>
      <w:r w:rsidRPr="00B04209">
        <w:rPr>
          <w:rFonts w:cs="Segoe UI"/>
          <w:b/>
        </w:rPr>
        <w:t xml:space="preserve"> upozor</w:t>
      </w:r>
      <w:r>
        <w:rPr>
          <w:rFonts w:cs="Segoe UI"/>
          <w:b/>
        </w:rPr>
        <w:t>ňuje</w:t>
      </w:r>
      <w:r w:rsidRPr="00B04209">
        <w:rPr>
          <w:rFonts w:cs="Segoe UI"/>
          <w:b/>
        </w:rPr>
        <w:t xml:space="preserve"> na </w:t>
      </w:r>
      <w:r>
        <w:rPr>
          <w:rFonts w:cs="Segoe UI"/>
          <w:b/>
        </w:rPr>
        <w:t xml:space="preserve">vysoké </w:t>
      </w:r>
      <w:r w:rsidRPr="00B04209">
        <w:rPr>
          <w:rFonts w:cs="Segoe UI"/>
          <w:b/>
        </w:rPr>
        <w:t>riziko nedostatku finančných prostriedkov VZP z dôvodu prudkého rastu úhrad za lieky v kategorizačnom zozname z prostriedkov ZP</w:t>
      </w:r>
      <w:r>
        <w:rPr>
          <w:rFonts w:cs="Segoe UI"/>
          <w:b/>
        </w:rPr>
        <w:t xml:space="preserve"> na úkor ostatnej zdravotnej starostlivosti</w:t>
      </w:r>
      <w:r w:rsidRPr="00B04209">
        <w:rPr>
          <w:rFonts w:cs="Segoe UI"/>
          <w:b/>
        </w:rPr>
        <w:t>.</w:t>
      </w:r>
      <w:r w:rsidRPr="005C56DF">
        <w:rPr>
          <w:rFonts w:cs="Segoe UI"/>
        </w:rPr>
        <w:t xml:space="preserve"> NKÚ SR plánuje v tejto oblasti </w:t>
      </w:r>
      <w:r w:rsidR="00651A11">
        <w:rPr>
          <w:rFonts w:cs="Segoe UI"/>
        </w:rPr>
        <w:t>vykonať</w:t>
      </w:r>
      <w:r>
        <w:rPr>
          <w:rFonts w:cs="Segoe UI"/>
        </w:rPr>
        <w:t xml:space="preserve"> </w:t>
      </w:r>
      <w:r w:rsidRPr="005C56DF">
        <w:rPr>
          <w:rFonts w:cs="Segoe UI"/>
        </w:rPr>
        <w:t>kontrolu zameran</w:t>
      </w:r>
      <w:r>
        <w:rPr>
          <w:rFonts w:cs="Segoe UI"/>
        </w:rPr>
        <w:t>ú</w:t>
      </w:r>
      <w:r w:rsidRPr="005C56DF">
        <w:rPr>
          <w:rFonts w:cs="Segoe UI"/>
        </w:rPr>
        <w:t xml:space="preserve"> na systém k</w:t>
      </w:r>
      <w:r w:rsidR="0019430D">
        <w:rPr>
          <w:rFonts w:cs="Segoe UI"/>
        </w:rPr>
        <w:t>ategorizácie liekov</w:t>
      </w:r>
      <w:r w:rsidRPr="005C56DF">
        <w:rPr>
          <w:rFonts w:cs="Segoe UI"/>
        </w:rPr>
        <w:t>.</w:t>
      </w:r>
    </w:p>
    <w:p w14:paraId="5097E739" w14:textId="2BE14293" w:rsidR="00D36B99" w:rsidRDefault="00D36B99" w:rsidP="000D631B">
      <w:pPr>
        <w:pStyle w:val="Nadpis2"/>
      </w:pPr>
      <w:bookmarkStart w:id="50" w:name="_Toc182559198"/>
      <w:r>
        <w:t>Vzdelávanie</w:t>
      </w:r>
      <w:bookmarkEnd w:id="49"/>
      <w:r w:rsidR="00B60ABD">
        <w:t>, veda a technika</w:t>
      </w:r>
      <w:bookmarkEnd w:id="50"/>
    </w:p>
    <w:p w14:paraId="51201EC4" w14:textId="59DEFBEB" w:rsidR="00F4000A" w:rsidRDefault="00F4000A" w:rsidP="003A4874">
      <w:r w:rsidRPr="00D4150D">
        <w:rPr>
          <w:b/>
        </w:rPr>
        <w:t>Výdavky na vzdelávanie, vedu a výskum by oproti minuloročnému rozp</w:t>
      </w:r>
      <w:r w:rsidR="00E36EBB">
        <w:rPr>
          <w:b/>
        </w:rPr>
        <w:t>očtu mali vzrásť o 1,2 mld. eur.</w:t>
      </w:r>
      <w:r w:rsidRPr="00D4150D">
        <w:rPr>
          <w:b/>
        </w:rPr>
        <w:t xml:space="preserve"> </w:t>
      </w:r>
      <w:r w:rsidR="00E36EBB">
        <w:rPr>
          <w:b/>
        </w:rPr>
        <w:t>Dôvodom tohto rastu je najmä presun normatívneho financovania</w:t>
      </w:r>
      <w:r w:rsidR="00E36EBB" w:rsidRPr="00E36EBB">
        <w:rPr>
          <w:b/>
        </w:rPr>
        <w:t xml:space="preserve"> </w:t>
      </w:r>
      <w:r w:rsidR="00E36EBB" w:rsidRPr="00D4150D">
        <w:rPr>
          <w:b/>
        </w:rPr>
        <w:t>materských škôl</w:t>
      </w:r>
      <w:r w:rsidR="00E36EBB">
        <w:t xml:space="preserve"> (MŠ) </w:t>
      </w:r>
      <w:r w:rsidR="00E36EBB" w:rsidRPr="00E36EBB">
        <w:rPr>
          <w:b/>
        </w:rPr>
        <w:t>zo samospráv priamo pod MŠVV</w:t>
      </w:r>
      <w:r w:rsidR="00872DFD">
        <w:rPr>
          <w:b/>
        </w:rPr>
        <w:t>a</w:t>
      </w:r>
      <w:r w:rsidR="00E36EBB" w:rsidRPr="00E36EBB">
        <w:rPr>
          <w:b/>
        </w:rPr>
        <w:t>M SR</w:t>
      </w:r>
      <w:r w:rsidR="008C738B">
        <w:rPr>
          <w:b/>
        </w:rPr>
        <w:t>.</w:t>
      </w:r>
      <w:r w:rsidR="00BE1E50">
        <w:t xml:space="preserve"> </w:t>
      </w:r>
      <w:r w:rsidR="00BE1E50" w:rsidRPr="00E6622D">
        <w:t>Zmenou financovania sa dosiahne míľnik POO</w:t>
      </w:r>
      <w:r w:rsidR="005C5249" w:rsidRPr="002E5B13">
        <w:rPr>
          <w:rFonts w:eastAsia="Calibri" w:cs="Segoe UI"/>
          <w:szCs w:val="20"/>
          <w:vertAlign w:val="superscript"/>
        </w:rPr>
        <w:footnoteReference w:id="92"/>
      </w:r>
      <w:r w:rsidR="00BE1E50" w:rsidRPr="00E6622D">
        <w:t xml:space="preserve"> a vytvorí sa stabilný systém transparentného financovania predprimárneho vzdelávania, ktorý zabezpečí viazanie financií na tento účel.</w:t>
      </w:r>
      <w:r w:rsidR="00BE1E50">
        <w:t xml:space="preserve"> Rizikom tejto oblasti sa stáva dostatok financií na plnenie skutočných potrieb MŠ pri prechode na normatívne financovanie.</w:t>
      </w:r>
    </w:p>
    <w:p w14:paraId="0E570A56" w14:textId="097EBCF3" w:rsidR="00495F3C" w:rsidRDefault="003A4874" w:rsidP="003A4874">
      <w:r w:rsidRPr="00D4150D">
        <w:rPr>
          <w:b/>
        </w:rPr>
        <w:t xml:space="preserve">Slovenskí žiaci dosahujú v medzinárodnom porovnaní dlhodobo podpriemerné výsledky a </w:t>
      </w:r>
      <w:r w:rsidR="00E36EBB">
        <w:rPr>
          <w:b/>
        </w:rPr>
        <w:t> </w:t>
      </w:r>
      <w:r w:rsidRPr="00D4150D">
        <w:rPr>
          <w:b/>
        </w:rPr>
        <w:t>Slovensko je zároveň jednou z krajín s najvyšším vplyvom socioekonomického zázemia na výkon žiakov.</w:t>
      </w:r>
      <w:r>
        <w:rPr>
          <w:rStyle w:val="Odkaznapoznmkupodiarou"/>
        </w:rPr>
        <w:footnoteReference w:id="93"/>
      </w:r>
      <w:r w:rsidR="00486EEC">
        <w:t xml:space="preserve"> </w:t>
      </w:r>
      <w:r w:rsidR="00E54797">
        <w:t xml:space="preserve">Vláda </w:t>
      </w:r>
      <w:r w:rsidR="00486EEC">
        <w:t>si je tý</w:t>
      </w:r>
      <w:r w:rsidR="0006179B">
        <w:t>chto problémov vedomá</w:t>
      </w:r>
      <w:r w:rsidR="00E54797">
        <w:t>,</w:t>
      </w:r>
      <w:r w:rsidR="0006179B">
        <w:t xml:space="preserve"> a</w:t>
      </w:r>
      <w:r w:rsidR="00E54797">
        <w:t> preto si v PVV</w:t>
      </w:r>
      <w:r w:rsidR="00486EEC">
        <w:t xml:space="preserve"> dala za cieľ zvýšiť atraktivitu učiteľského povolania a skvalitniť v</w:t>
      </w:r>
      <w:r w:rsidR="00495F3C">
        <w:t xml:space="preserve">zdelávanie znevýhodnených detí. </w:t>
      </w:r>
      <w:r w:rsidR="008D4A7B">
        <w:t xml:space="preserve">Navrhovaný rozpočet </w:t>
      </w:r>
      <w:r w:rsidR="00E54797">
        <w:t xml:space="preserve">však </w:t>
      </w:r>
      <w:r w:rsidR="00A309C6">
        <w:t xml:space="preserve">ani v jednom prípade nepočíta </w:t>
      </w:r>
      <w:r w:rsidR="00E54797">
        <w:t xml:space="preserve">s posunom </w:t>
      </w:r>
      <w:r w:rsidR="00A309C6">
        <w:t>oproti roku 2024, resp. školskému roku 2024/2025</w:t>
      </w:r>
      <w:r w:rsidR="00E54797">
        <w:t xml:space="preserve">. </w:t>
      </w:r>
      <w:r w:rsidR="00E36EBB" w:rsidRPr="00E36EBB">
        <w:rPr>
          <w:b/>
        </w:rPr>
        <w:t>V</w:t>
      </w:r>
      <w:r w:rsidR="00E54797" w:rsidRPr="00E36EBB">
        <w:rPr>
          <w:b/>
        </w:rPr>
        <w:t> </w:t>
      </w:r>
      <w:r w:rsidR="00E54797" w:rsidRPr="00E54797">
        <w:rPr>
          <w:b/>
        </w:rPr>
        <w:t xml:space="preserve">roku 2025 </w:t>
      </w:r>
      <w:r w:rsidR="00E36EBB">
        <w:rPr>
          <w:b/>
        </w:rPr>
        <w:t xml:space="preserve">tiež </w:t>
      </w:r>
      <w:r w:rsidR="00E54797" w:rsidRPr="00E54797">
        <w:rPr>
          <w:b/>
        </w:rPr>
        <w:t>nedôjde k valorizácii platov zamestnancov v</w:t>
      </w:r>
      <w:r w:rsidR="002A62E0">
        <w:rPr>
          <w:b/>
        </w:rPr>
        <w:t xml:space="preserve"> regionálnom</w:t>
      </w:r>
      <w:r w:rsidR="00E54797" w:rsidRPr="00E54797">
        <w:rPr>
          <w:b/>
        </w:rPr>
        <w:t> školstve</w:t>
      </w:r>
      <w:r w:rsidR="00E54797">
        <w:t xml:space="preserve"> </w:t>
      </w:r>
      <w:r w:rsidR="00E54797" w:rsidRPr="00D4150D">
        <w:rPr>
          <w:b/>
        </w:rPr>
        <w:t>a</w:t>
      </w:r>
      <w:r w:rsidR="00A309C6">
        <w:t> </w:t>
      </w:r>
      <w:r w:rsidR="00A309C6" w:rsidRPr="00A309C6">
        <w:rPr>
          <w:b/>
        </w:rPr>
        <w:t>počet financovaných pedagogických asistentov sa v školskom roku 2025/2026 nezvýši</w:t>
      </w:r>
      <w:r w:rsidR="00A309C6">
        <w:t>.</w:t>
      </w:r>
    </w:p>
    <w:p w14:paraId="5074D9FF" w14:textId="0181BF79" w:rsidR="00B60ABD" w:rsidRDefault="00B60ABD" w:rsidP="00B60ABD">
      <w:pPr>
        <w:rPr>
          <w:rFonts w:cs="Segoe UI"/>
        </w:rPr>
      </w:pPr>
      <w:r w:rsidRPr="00B60ABD">
        <w:rPr>
          <w:rFonts w:cs="Segoe UI"/>
          <w:b/>
        </w:rPr>
        <w:t>Nízka úroveň kapitálových výdavkov do oblasti vedy a techniky predstavuje potenciálne riziko.</w:t>
      </w:r>
      <w:r>
        <w:rPr>
          <w:rFonts w:cs="Segoe UI"/>
        </w:rPr>
        <w:t xml:space="preserve"> </w:t>
      </w:r>
      <w:r w:rsidRPr="009E282F">
        <w:rPr>
          <w:rFonts w:cs="Segoe UI"/>
        </w:rPr>
        <w:t xml:space="preserve">V </w:t>
      </w:r>
      <w:r>
        <w:rPr>
          <w:rFonts w:cs="Segoe UI"/>
        </w:rPr>
        <w:t> </w:t>
      </w:r>
      <w:r w:rsidRPr="009E282F">
        <w:rPr>
          <w:rFonts w:cs="Segoe UI"/>
        </w:rPr>
        <w:t xml:space="preserve">roku 2025 sa očakáva </w:t>
      </w:r>
      <w:r>
        <w:rPr>
          <w:rFonts w:cs="Segoe UI"/>
        </w:rPr>
        <w:t>celkové čerpanie do tejto oblasti vo výške 552,4 mil. eur, z toho kapitálové výdavky majú tvoriť len 37 tisíc eur</w:t>
      </w:r>
      <w:r w:rsidRPr="00B60ABD">
        <w:rPr>
          <w:rFonts w:cs="Segoe UI"/>
        </w:rPr>
        <w:t>.</w:t>
      </w:r>
      <w:r w:rsidRPr="009E282F">
        <w:rPr>
          <w:rFonts w:cs="Segoe UI"/>
          <w:b/>
        </w:rPr>
        <w:t xml:space="preserve"> </w:t>
      </w:r>
    </w:p>
    <w:p w14:paraId="17C646DC" w14:textId="1A65DA4F" w:rsidR="00887AA2" w:rsidRDefault="00F85AF9" w:rsidP="00B60ABD">
      <w:pPr>
        <w:pStyle w:val="Nadpis3"/>
      </w:pPr>
      <w:bookmarkStart w:id="51" w:name="_Toc182559199"/>
      <w:r>
        <w:lastRenderedPageBreak/>
        <w:t>Zmena financovania predprimárneho vzdelávania</w:t>
      </w:r>
      <w:bookmarkEnd w:id="51"/>
    </w:p>
    <w:p w14:paraId="57574F4C" w14:textId="7B704DBC" w:rsidR="00BE1E50" w:rsidRDefault="00BE1E50" w:rsidP="00BE1E50">
      <w:pPr>
        <w:rPr>
          <w:rFonts w:cs="Segoe UI"/>
          <w:i/>
        </w:rPr>
      </w:pPr>
      <w:r w:rsidRPr="000B0C45">
        <w:rPr>
          <w:rFonts w:cs="Segoe UI"/>
          <w:b/>
        </w:rPr>
        <w:t xml:space="preserve">Predprimárne vzdelávanie na Slovensku čaká najväčšia zmena za posledné roky, ktorou sa začnú </w:t>
      </w:r>
      <w:r>
        <w:rPr>
          <w:rFonts w:cs="Segoe UI"/>
          <w:b/>
        </w:rPr>
        <w:t>MŠ</w:t>
      </w:r>
      <w:r w:rsidRPr="000B0C45">
        <w:rPr>
          <w:rFonts w:cs="Segoe UI"/>
          <w:b/>
        </w:rPr>
        <w:t xml:space="preserve"> financovať prostredníctvom ŠR SR z kapitoly </w:t>
      </w:r>
      <w:r w:rsidRPr="005C5249">
        <w:rPr>
          <w:rFonts w:cs="Segoe UI"/>
          <w:b/>
        </w:rPr>
        <w:t>MŠVVaM SR.</w:t>
      </w:r>
      <w:r w:rsidRPr="009B4880">
        <w:rPr>
          <w:rFonts w:cs="Segoe UI"/>
        </w:rPr>
        <w:t xml:space="preserve"> Doteraz boli MŠ financované obcami prostredníctvom výnosu </w:t>
      </w:r>
      <w:r w:rsidR="00D4150D">
        <w:rPr>
          <w:rFonts w:cs="Segoe UI"/>
        </w:rPr>
        <w:t>DPFO</w:t>
      </w:r>
      <w:r w:rsidRPr="009B4880">
        <w:rPr>
          <w:rFonts w:cs="Segoe UI"/>
        </w:rPr>
        <w:t>. Obce tak mali originálne kompetencie a vo všeobecnosti mohli rozhodovať, koľko peňazí na MŠ pôjde</w:t>
      </w:r>
      <w:r>
        <w:rPr>
          <w:rFonts w:cs="Segoe UI"/>
        </w:rPr>
        <w:t>, s výnimkou súkromných a cirkevných MŠ</w:t>
      </w:r>
      <w:r w:rsidRPr="009B4880">
        <w:rPr>
          <w:rFonts w:cs="Segoe UI"/>
        </w:rPr>
        <w:t xml:space="preserve">. V dôsledku novely zákona č. 597/2003 Z. </w:t>
      </w:r>
      <w:r>
        <w:rPr>
          <w:rFonts w:cs="Segoe UI"/>
        </w:rPr>
        <w:t>z</w:t>
      </w:r>
      <w:r w:rsidRPr="009B4880">
        <w:rPr>
          <w:rFonts w:cs="Segoe UI"/>
        </w:rPr>
        <w:t>. o financovaní základných škôl, stredných škôl a školských zariadení</w:t>
      </w:r>
      <w:r w:rsidRPr="00FD528F">
        <w:rPr>
          <w:rFonts w:cs="Segoe UI"/>
        </w:rPr>
        <w:t xml:space="preserve"> </w:t>
      </w:r>
      <w:r>
        <w:rPr>
          <w:rFonts w:cs="Segoe UI"/>
        </w:rPr>
        <w:t xml:space="preserve">o túto </w:t>
      </w:r>
      <w:r w:rsidRPr="009B4880">
        <w:rPr>
          <w:rFonts w:cs="Segoe UI"/>
        </w:rPr>
        <w:t>kompetenciu obce prídu.</w:t>
      </w:r>
      <w:r>
        <w:rPr>
          <w:rStyle w:val="Odkaznapoznmkupodiarou"/>
          <w:rFonts w:cs="Segoe UI"/>
        </w:rPr>
        <w:footnoteReference w:id="94"/>
      </w:r>
      <w:r>
        <w:rPr>
          <w:rFonts w:cs="Segoe UI"/>
        </w:rPr>
        <w:t xml:space="preserve"> </w:t>
      </w:r>
      <w:r w:rsidRPr="009B4880">
        <w:rPr>
          <w:rFonts w:cs="Segoe UI"/>
        </w:rPr>
        <w:t>Jedným z dôvodov tejto zmeny je plnenie reformy, ku ktorej sa SR zavia</w:t>
      </w:r>
      <w:r>
        <w:rPr>
          <w:rFonts w:cs="Segoe UI"/>
        </w:rPr>
        <w:t>zala v P</w:t>
      </w:r>
      <w:r w:rsidR="00D4150D">
        <w:rPr>
          <w:rFonts w:cs="Segoe UI"/>
        </w:rPr>
        <w:t>OO</w:t>
      </w:r>
      <w:r>
        <w:rPr>
          <w:rFonts w:cs="Segoe UI"/>
        </w:rPr>
        <w:t>. P</w:t>
      </w:r>
      <w:r w:rsidRPr="009B4880">
        <w:rPr>
          <w:rFonts w:cs="Segoe UI"/>
        </w:rPr>
        <w:t xml:space="preserve">redpokladom je, že sa vytvorí </w:t>
      </w:r>
      <w:r w:rsidRPr="009B4880">
        <w:rPr>
          <w:rFonts w:cs="Segoe UI"/>
          <w:i/>
        </w:rPr>
        <w:t>„diferencovaný a transparentný systém financovania predprimárneho vzdelávania, aby sa zabezpečila stabilita, odolnosť a účelové viazanie finančných prostriedkov vyčlenených na vzdelávanie“</w:t>
      </w:r>
      <w:r>
        <w:rPr>
          <w:rFonts w:cs="Segoe UI"/>
          <w:i/>
        </w:rPr>
        <w:t>.</w:t>
      </w:r>
      <w:r>
        <w:rPr>
          <w:rStyle w:val="Odkaznapoznmkupodiarou"/>
          <w:rFonts w:cs="Segoe UI"/>
          <w:i/>
        </w:rPr>
        <w:footnoteReference w:id="95"/>
      </w:r>
    </w:p>
    <w:p w14:paraId="4B8A019B" w14:textId="09F7CDCA" w:rsidR="00BE1E50" w:rsidRDefault="00BE1E50" w:rsidP="00BE1E50">
      <w:pPr>
        <w:rPr>
          <w:rFonts w:cs="Segoe UI"/>
        </w:rPr>
      </w:pPr>
      <w:r w:rsidRPr="000B0C45">
        <w:rPr>
          <w:rFonts w:cs="Segoe UI"/>
          <w:b/>
        </w:rPr>
        <w:t>Presun z originálnych kompetencií do preneseného výkonu štátnej správy pre MŠ si vyžiada navýšenie rozpočtu kapitoly MŠVVaM SR o </w:t>
      </w:r>
      <w:r>
        <w:rPr>
          <w:rFonts w:cs="Segoe UI"/>
          <w:b/>
        </w:rPr>
        <w:t>560</w:t>
      </w:r>
      <w:r w:rsidRPr="000B0C45">
        <w:rPr>
          <w:rFonts w:cs="Segoe UI"/>
          <w:b/>
        </w:rPr>
        <w:t xml:space="preserve"> mil. eur.</w:t>
      </w:r>
      <w:r>
        <w:rPr>
          <w:rFonts w:cs="Segoe UI"/>
        </w:rPr>
        <w:t xml:space="preserve"> </w:t>
      </w:r>
      <w:r w:rsidR="00CE3F71">
        <w:rPr>
          <w:rFonts w:cs="Segoe UI"/>
        </w:rPr>
        <w:t>Tieto prostriedky budú pochádzať zo zníženého podielu DPFO poukazovaného obciam</w:t>
      </w:r>
      <w:r>
        <w:rPr>
          <w:rFonts w:cs="Segoe UI"/>
        </w:rPr>
        <w:t xml:space="preserve"> a stanú sa </w:t>
      </w:r>
      <w:r w:rsidR="003D01FD">
        <w:rPr>
          <w:rFonts w:cs="Segoe UI"/>
        </w:rPr>
        <w:t>v súlade so</w:t>
      </w:r>
      <w:r>
        <w:rPr>
          <w:rFonts w:cs="Segoe UI"/>
        </w:rPr>
        <w:t xml:space="preserve"> zákon</w:t>
      </w:r>
      <w:r w:rsidR="003D01FD">
        <w:rPr>
          <w:rFonts w:cs="Segoe UI"/>
        </w:rPr>
        <w:t>om</w:t>
      </w:r>
      <w:r>
        <w:rPr>
          <w:rFonts w:cs="Segoe UI"/>
        </w:rPr>
        <w:t xml:space="preserve"> 523/2004 Z. z. o </w:t>
      </w:r>
      <w:r w:rsidR="00D4150D">
        <w:rPr>
          <w:rFonts w:cs="Segoe UI"/>
        </w:rPr>
        <w:t>RPVS</w:t>
      </w:r>
      <w:r>
        <w:rPr>
          <w:rFonts w:cs="Segoe UI"/>
        </w:rPr>
        <w:t xml:space="preserve"> príjmom </w:t>
      </w:r>
      <w:r w:rsidR="00D4150D">
        <w:rPr>
          <w:rFonts w:cs="Segoe UI"/>
        </w:rPr>
        <w:t>ŠR</w:t>
      </w:r>
      <w:r>
        <w:rPr>
          <w:rFonts w:cs="Segoe UI"/>
        </w:rPr>
        <w:t>. MŠVVaM SR tak ďalej predpokladá zabezpečenie ďalších 54,8 mil. eur v rámci svojej kapitoly na plnenie skutočnej potreby financií na zmenu financovania, s ktorou však pri novele zákona počítalo. Ďalším presunom sú dodatočné výdavky vo výške 53,3 mil. eur na zabezpečenie bezplatnej výchovy v MŠ, s ktorými MŠVVaM SR v doložkách vplyvov pri predkladanej legislatíve ešte nepočítalo. Spolu tak MŠVVaM SR predpokladá potrebu výdavkov na predprimárne vzdelávanie v prenesenej kompetencií štátu vo výške 668 mil. eur. Pričom ministerstvo rátalo s celkovou sumou na predprimárne vzdelávanie vo výške 614,43 mil. eur ešte pri predkladaní legislatívy počas roku 2024.</w:t>
      </w:r>
    </w:p>
    <w:p w14:paraId="4142A079" w14:textId="580ED18C" w:rsidR="000C763A" w:rsidRPr="000C763A" w:rsidRDefault="00BE1E50" w:rsidP="00BE1E50">
      <w:r w:rsidRPr="00AF01AE">
        <w:rPr>
          <w:rFonts w:cs="Segoe UI"/>
          <w:b/>
        </w:rPr>
        <w:t>NKÚ</w:t>
      </w:r>
      <w:r>
        <w:rPr>
          <w:rFonts w:cs="Segoe UI"/>
          <w:b/>
        </w:rPr>
        <w:t xml:space="preserve"> SR</w:t>
      </w:r>
      <w:r w:rsidRPr="00AF01AE">
        <w:rPr>
          <w:rFonts w:cs="Segoe UI"/>
          <w:b/>
        </w:rPr>
        <w:t xml:space="preserve"> </w:t>
      </w:r>
      <w:r w:rsidR="00BA1967">
        <w:rPr>
          <w:rFonts w:cs="Segoe UI"/>
          <w:b/>
        </w:rPr>
        <w:t>upozorňuje, že</w:t>
      </w:r>
      <w:r w:rsidRPr="00AF01AE">
        <w:rPr>
          <w:rFonts w:cs="Segoe UI"/>
          <w:b/>
        </w:rPr>
        <w:t xml:space="preserve"> návrh, ktorý predložilo MŠVVaM SR do Analýzy vplyvov na RVS, zamestnanosť vo VS a financovanie návrhu, </w:t>
      </w:r>
      <w:r w:rsidR="00BA1967">
        <w:rPr>
          <w:rFonts w:cs="Segoe UI"/>
          <w:b/>
        </w:rPr>
        <w:t>neuvádza</w:t>
      </w:r>
      <w:r>
        <w:rPr>
          <w:rFonts w:cs="Segoe UI"/>
          <w:b/>
        </w:rPr>
        <w:t xml:space="preserve"> </w:t>
      </w:r>
      <w:r w:rsidRPr="00AF01AE">
        <w:rPr>
          <w:rFonts w:cs="Segoe UI"/>
          <w:b/>
        </w:rPr>
        <w:t>prostriedky rozpočtované v kontexte očakávanej inflácie na nasledujúce roky.</w:t>
      </w:r>
      <w:r w:rsidRPr="00C37123">
        <w:rPr>
          <w:rStyle w:val="Odkaznapoznmkupodiarou"/>
          <w:rFonts w:cs="Segoe UI"/>
        </w:rPr>
        <w:footnoteReference w:id="96"/>
      </w:r>
      <w:r>
        <w:rPr>
          <w:rFonts w:cs="Segoe UI"/>
        </w:rPr>
        <w:t xml:space="preserve"> Taktiež v analýze vplyvov nie je zahrnutý predpoklad očakávaného nárastu platov zamestnancov vo VS. MŠVVaM SR odhaduje nezmenený rozpočet, a teda aj vplyv výdavkov na RVS na roky 2025 až 2027. NKÚ SR považuje za nereálne plnenie týchto rozpočtových cieľov a preto bude naďalej monitorovať tento vývoj. Aktuálne alokovaná suma v NRVS na roky 2025 </w:t>
      </w:r>
      <w:r w:rsidR="00C37123">
        <w:rPr>
          <w:rFonts w:cs="Segoe UI"/>
        </w:rPr>
        <w:t xml:space="preserve">– </w:t>
      </w:r>
      <w:r>
        <w:rPr>
          <w:rFonts w:cs="Segoe UI"/>
        </w:rPr>
        <w:t>2027 na prvý rok hovorí o vyššej alokácii na MŠ</w:t>
      </w:r>
      <w:r w:rsidR="00C37123">
        <w:rPr>
          <w:rFonts w:cs="Segoe UI"/>
        </w:rPr>
        <w:t xml:space="preserve"> než</w:t>
      </w:r>
      <w:r>
        <w:rPr>
          <w:rFonts w:cs="Segoe UI"/>
        </w:rPr>
        <w:t xml:space="preserve"> predpokladalo ministerstvo, čo </w:t>
      </w:r>
      <w:r w:rsidR="00C37123">
        <w:rPr>
          <w:rFonts w:cs="Segoe UI"/>
        </w:rPr>
        <w:t>potvrdzuje</w:t>
      </w:r>
      <w:r>
        <w:rPr>
          <w:rFonts w:cs="Segoe UI"/>
        </w:rPr>
        <w:t xml:space="preserve"> riziko nedostatku financií na predprimárne vzdelávanie v budúcnosti.</w:t>
      </w:r>
    </w:p>
    <w:p w14:paraId="3F75F885" w14:textId="2EC43C5B" w:rsidR="00887AA2" w:rsidRDefault="00F85AF9" w:rsidP="00A9155E">
      <w:pPr>
        <w:pStyle w:val="Nadpis3"/>
      </w:pPr>
      <w:r>
        <w:t xml:space="preserve"> </w:t>
      </w:r>
      <w:bookmarkStart w:id="52" w:name="_Toc182559200"/>
      <w:r w:rsidR="00881A3E">
        <w:t>N</w:t>
      </w:r>
      <w:r>
        <w:t xml:space="preserve">egatívne dôsledky </w:t>
      </w:r>
      <w:r w:rsidR="00BA1967">
        <w:t>poklesu reálnych miezd</w:t>
      </w:r>
      <w:r>
        <w:t xml:space="preserve"> učiteľov</w:t>
      </w:r>
      <w:bookmarkEnd w:id="52"/>
    </w:p>
    <w:p w14:paraId="08649CBE" w14:textId="0B0643F6" w:rsidR="00C37123" w:rsidRDefault="00F85AF9" w:rsidP="00F85AF9">
      <w:r w:rsidRPr="00352CDF">
        <w:rPr>
          <w:b/>
        </w:rPr>
        <w:t xml:space="preserve">V PVV sa vláda zaviazala zabezpečiť každoročný rast miezd </w:t>
      </w:r>
      <w:r w:rsidRPr="009156B1">
        <w:rPr>
          <w:b/>
        </w:rPr>
        <w:t>pedagógov a odborných zamestnancov</w:t>
      </w:r>
      <w:r w:rsidRPr="00352CDF">
        <w:t xml:space="preserve">, </w:t>
      </w:r>
      <w:r w:rsidRPr="007B28DB">
        <w:rPr>
          <w:b/>
        </w:rPr>
        <w:t>podporiť opatrenia na zvyšovanie atraktivity zamestnania v školstve</w:t>
      </w:r>
      <w:r w:rsidRPr="00352CDF">
        <w:t xml:space="preserve">, </w:t>
      </w:r>
      <w:r w:rsidRPr="007B28DB">
        <w:rPr>
          <w:b/>
        </w:rPr>
        <w:t>prilákať do učiteľského povolania nové talenty</w:t>
      </w:r>
      <w:r w:rsidRPr="00352CDF">
        <w:t xml:space="preserve"> </w:t>
      </w:r>
      <w:r w:rsidRPr="00C37123">
        <w:rPr>
          <w:b/>
        </w:rPr>
        <w:t xml:space="preserve">a predísť budúcemu kritickému nedostatku pedagógov v </w:t>
      </w:r>
      <w:r w:rsidR="00E34126">
        <w:rPr>
          <w:b/>
        </w:rPr>
        <w:t> </w:t>
      </w:r>
      <w:r w:rsidRPr="00C37123">
        <w:rPr>
          <w:b/>
        </w:rPr>
        <w:t>regionálnom školstve.</w:t>
      </w:r>
      <w:r w:rsidRPr="00352CDF">
        <w:t xml:space="preserve"> Ide o krátkodobé priority, keďže vláda si uvedomuje závažnosť problému nízkej atraktívnosti učiteľského povolania, pre ktorú Slovensku už v blízkej budúcnosti hrozí nedostatok pedagógov a odborných zamestnancov v regionálnom školstve.</w:t>
      </w:r>
      <w:r>
        <w:t xml:space="preserve"> V minuloročnom stanovisku</w:t>
      </w:r>
      <w:r>
        <w:rPr>
          <w:rStyle w:val="Odkaznapoznmkupodiarou"/>
        </w:rPr>
        <w:footnoteReference w:id="97"/>
      </w:r>
      <w:r>
        <w:t xml:space="preserve"> NKÚ SR upozornil, že v</w:t>
      </w:r>
      <w:r w:rsidRPr="007B28DB">
        <w:t>alorizácia platov v rokoch 2022 a 2023 pri vysokej inflácii nezabránila poklesu reálnych miezd pedagogických zamestnancov v regionálnom školstve</w:t>
      </w:r>
      <w:r>
        <w:t xml:space="preserve">. </w:t>
      </w:r>
      <w:r w:rsidRPr="00EC4A36">
        <w:rPr>
          <w:b/>
        </w:rPr>
        <w:t xml:space="preserve">V roku 2024 k valorizácii platov </w:t>
      </w:r>
      <w:r w:rsidRPr="00EC4A36">
        <w:rPr>
          <w:b/>
        </w:rPr>
        <w:lastRenderedPageBreak/>
        <w:t>nedošlo</w:t>
      </w:r>
      <w:r>
        <w:t xml:space="preserve">. Priemerné </w:t>
      </w:r>
      <w:r w:rsidR="00B90837">
        <w:t>osobné výdavky</w:t>
      </w:r>
      <w:r>
        <w:t xml:space="preserve"> však navýšia</w:t>
      </w:r>
      <w:r w:rsidRPr="00E56B89">
        <w:t xml:space="preserve"> regionálne príspevky</w:t>
      </w:r>
      <w:r>
        <w:t xml:space="preserve"> pre pedagogických a odborných zamestnancov, na ktoré sa</w:t>
      </w:r>
      <w:r w:rsidRPr="00E56B89">
        <w:t xml:space="preserve"> prerozdelí 60 mil. eur</w:t>
      </w:r>
      <w:r>
        <w:t>.</w:t>
      </w:r>
      <w:r>
        <w:rPr>
          <w:rStyle w:val="Odkaznapoznmkupodiarou"/>
        </w:rPr>
        <w:footnoteReference w:id="98"/>
      </w:r>
    </w:p>
    <w:p w14:paraId="5B4FF171" w14:textId="043ECA8B" w:rsidR="00F85AF9" w:rsidRDefault="00F85AF9" w:rsidP="00F85AF9">
      <w:r w:rsidRPr="00CE1CCC">
        <w:rPr>
          <w:b/>
        </w:rPr>
        <w:t>Ani v roku 2025 sa platy valorizovať nebudú</w:t>
      </w:r>
      <w:r>
        <w:t xml:space="preserve">. </w:t>
      </w:r>
      <w:r w:rsidR="00B90837">
        <w:t xml:space="preserve">V súlade so závermi z kolektívnych rokovaní budú vyplatené jednorazové odmeny vo výške 800 eur. </w:t>
      </w:r>
      <w:r>
        <w:t>Na kompenzačné príspevky</w:t>
      </w:r>
      <w:r w:rsidRPr="00192103">
        <w:t xml:space="preserve"> </w:t>
      </w:r>
      <w:r>
        <w:t>pre pedagogických a odborných zamestnancov sa síce prerozdelí o 39,2</w:t>
      </w:r>
      <w:r w:rsidRPr="00E56B89">
        <w:t xml:space="preserve"> mil. eur</w:t>
      </w:r>
      <w:r>
        <w:t xml:space="preserve"> viac (spolu teda 99,2 mil. eur), avšak priemerný príspevok by mal zostať na približne rovnakej úrovni, keďže d</w:t>
      </w:r>
      <w:r w:rsidRPr="00EB4EE3">
        <w:t>ôvodom navýšenia alokácie</w:t>
      </w:r>
      <w:r>
        <w:t xml:space="preserve"> </w:t>
      </w:r>
      <w:r w:rsidRPr="00EB4EE3">
        <w:t>je</w:t>
      </w:r>
      <w:r>
        <w:t xml:space="preserve"> predovšetkým</w:t>
      </w:r>
      <w:r w:rsidRPr="00EB4EE3">
        <w:t xml:space="preserve"> rozšírenie počtu prijímateľov pr</w:t>
      </w:r>
      <w:r w:rsidR="00C37123">
        <w:t>íspevku (prechod financovania</w:t>
      </w:r>
      <w:r>
        <w:t xml:space="preserve"> MŠ</w:t>
      </w:r>
      <w:r w:rsidRPr="00EB4EE3">
        <w:t xml:space="preserve"> pod štát)</w:t>
      </w:r>
      <w:r>
        <w:t xml:space="preserve">. V budúcom roku tak opäť dôjde k poklesu reálnych miezd pedagogických zamestnancov v regionálnom školstve. Napríklad v prípade pedagogických zamestnancov základných škôl pôjde o pokles na úroveň roka 2022 </w:t>
      </w:r>
      <w:r w:rsidRPr="00C37123">
        <w:t>(graf</w:t>
      </w:r>
      <w:r w:rsidR="00C37123" w:rsidRPr="00C37123">
        <w:t xml:space="preserve"> 2</w:t>
      </w:r>
      <w:r w:rsidR="00794092">
        <w:t>8</w:t>
      </w:r>
      <w:r w:rsidRPr="00C37123">
        <w:t xml:space="preserve">). </w:t>
      </w:r>
      <w:r w:rsidRPr="00C37123">
        <w:rPr>
          <w:b/>
        </w:rPr>
        <w:t>Ministerstvo školstva žiadalo 5 % valorizáciu platov pedagogických, odborných</w:t>
      </w:r>
      <w:r>
        <w:rPr>
          <w:b/>
        </w:rPr>
        <w:t xml:space="preserve"> a nepedagogických zamestnancov</w:t>
      </w:r>
      <w:r w:rsidRPr="00AC6E8B">
        <w:t xml:space="preserve"> (165,2 mil. eur)</w:t>
      </w:r>
      <w:r w:rsidRPr="00C37123">
        <w:rPr>
          <w:b/>
        </w:rPr>
        <w:t>.</w:t>
      </w:r>
      <w:r>
        <w:rPr>
          <w:rStyle w:val="Odkaznapoznmkupodiarou"/>
        </w:rPr>
        <w:footnoteReference w:id="99"/>
      </w:r>
      <w:r>
        <w:t xml:space="preserve"> </w:t>
      </w:r>
      <w:r>
        <w:rPr>
          <w:b/>
        </w:rPr>
        <w:t>Klesajúce</w:t>
      </w:r>
      <w:r w:rsidRPr="00B023CC">
        <w:rPr>
          <w:b/>
        </w:rPr>
        <w:t xml:space="preserve"> reálne príjmy pedagogických zamestnancov môž</w:t>
      </w:r>
      <w:r>
        <w:rPr>
          <w:b/>
        </w:rPr>
        <w:t>u mať negatívny vplyv</w:t>
      </w:r>
      <w:r w:rsidRPr="00B023CC">
        <w:rPr>
          <w:b/>
        </w:rPr>
        <w:t xml:space="preserve"> </w:t>
      </w:r>
      <w:r>
        <w:rPr>
          <w:b/>
        </w:rPr>
        <w:t xml:space="preserve">nielen na kvantitu, ale </w:t>
      </w:r>
      <w:r w:rsidRPr="00B023CC">
        <w:rPr>
          <w:b/>
        </w:rPr>
        <w:t>aj na kvalitu budúcich učiteľov</w:t>
      </w:r>
      <w:r>
        <w:t>.</w:t>
      </w:r>
    </w:p>
    <w:p w14:paraId="016B8A52" w14:textId="2A414DA8" w:rsidR="0022613F" w:rsidRPr="00BC3CA3" w:rsidRDefault="0022613F" w:rsidP="0022613F">
      <w:pPr>
        <w:pStyle w:val="Popis"/>
        <w:keepNext/>
        <w:rPr>
          <w:color w:val="314364"/>
        </w:rPr>
      </w:pPr>
      <w:r>
        <w:rPr>
          <w:color w:val="314364"/>
        </w:rPr>
        <w:t>Graf 2</w:t>
      </w:r>
      <w:r w:rsidR="00794092">
        <w:rPr>
          <w:color w:val="314364"/>
        </w:rPr>
        <w:t>8</w:t>
      </w:r>
      <w:r>
        <w:rPr>
          <w:color w:val="314364"/>
        </w:rPr>
        <w:t xml:space="preserve">: </w:t>
      </w:r>
      <w:r w:rsidRPr="00F85AF9">
        <w:rPr>
          <w:color w:val="314364"/>
        </w:rPr>
        <w:t>Reálne mzdy pedagogických zamestnancov základných škôl (2021 = 100)</w:t>
      </w: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70"/>
      </w:tblGrid>
      <w:tr w:rsidR="0022613F" w:rsidRPr="00C75134" w14:paraId="1FEAD250" w14:textId="77777777" w:rsidTr="00B571E8">
        <w:trPr>
          <w:trHeight w:val="2835"/>
        </w:trPr>
        <w:tc>
          <w:tcPr>
            <w:tcW w:w="5000" w:type="pct"/>
            <w:tcBorders>
              <w:top w:val="single" w:sz="4" w:space="0" w:color="314364"/>
              <w:bottom w:val="single" w:sz="4" w:space="0" w:color="314364"/>
            </w:tcBorders>
            <w:vAlign w:val="center"/>
          </w:tcPr>
          <w:p w14:paraId="15A617C6" w14:textId="77777777" w:rsidR="0022613F" w:rsidRPr="00C75134" w:rsidRDefault="0022613F" w:rsidP="00B571E8">
            <w:pPr>
              <w:spacing w:after="0"/>
              <w:jc w:val="left"/>
              <w:rPr>
                <w:b/>
                <w:color w:val="576431"/>
              </w:rPr>
            </w:pPr>
            <w:r>
              <w:rPr>
                <w:noProof/>
                <w:lang w:eastAsia="sk-SK"/>
              </w:rPr>
              <w:drawing>
                <wp:inline distT="0" distB="0" distL="0" distR="0" wp14:anchorId="166C8E89" wp14:editId="5DA4CB79">
                  <wp:extent cx="5759450" cy="1781175"/>
                  <wp:effectExtent l="0" t="0" r="0"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bl>
    <w:p w14:paraId="0E92FBB4" w14:textId="5F9DE67F" w:rsidR="0022613F" w:rsidRPr="00F85AF9" w:rsidRDefault="0022613F" w:rsidP="0022613F">
      <w:pPr>
        <w:pStyle w:val="Zdroj"/>
        <w:spacing w:after="0"/>
        <w:jc w:val="both"/>
      </w:pPr>
      <w:r>
        <w:t xml:space="preserve">Zdroj: </w:t>
      </w:r>
      <w:r w:rsidRPr="00F85AF9">
        <w:t>Súhrnný výkaz o práci v školstve Škol (MŠVV</w:t>
      </w:r>
      <w:r w:rsidR="0083753F">
        <w:t>a</w:t>
      </w:r>
      <w:r w:rsidRPr="00F85AF9">
        <w:t>M SR) 1-04, MF SR (VpMP, september 2024); výpočty a spracovanie NKÚ SR.</w:t>
      </w:r>
    </w:p>
    <w:p w14:paraId="6F9F95B2" w14:textId="583EB2F7" w:rsidR="0069712F" w:rsidRDefault="0022613F" w:rsidP="0069712F">
      <w:pPr>
        <w:pStyle w:val="Zdroj"/>
        <w:jc w:val="both"/>
      </w:pPr>
      <w:r w:rsidRPr="00F85AF9">
        <w:t xml:space="preserve">Poznámka: V prípade pedagogických zamestnancov základných škôl v roku 2024 ide o priemernú mzdu za prvý polrok. Pre rok 2025 </w:t>
      </w:r>
      <w:r>
        <w:t xml:space="preserve">sa </w:t>
      </w:r>
      <w:r w:rsidRPr="00F85AF9">
        <w:t>predpokladá, že priemerná výška kompenzačného príspevku bude rovnaká ako v roku 2024.</w:t>
      </w:r>
      <w:r w:rsidR="0069712F" w:rsidRPr="0069712F">
        <w:t xml:space="preserve"> </w:t>
      </w:r>
      <w:r w:rsidR="0069712F">
        <w:t>Nie sú zahrnuté jednorazové odmeny vo výške 800 eur.</w:t>
      </w:r>
    </w:p>
    <w:p w14:paraId="2AF5E8B7" w14:textId="0281F2AB" w:rsidR="00591408" w:rsidRDefault="00591408" w:rsidP="00591408">
      <w:r>
        <w:rPr>
          <w:b/>
        </w:rPr>
        <w:t>Štruktúra</w:t>
      </w:r>
      <w:r w:rsidRPr="00894D18">
        <w:rPr>
          <w:b/>
        </w:rPr>
        <w:t xml:space="preserve"> zapísaných úspe</w:t>
      </w:r>
      <w:r>
        <w:rPr>
          <w:b/>
        </w:rPr>
        <w:t>šných uchádzačov na bakalárske alebo spojené bakalárske a magisterské vysokoškolské štúdium ukazuje, že na učiteľské študijné programy sa v roku 2023</w:t>
      </w:r>
      <w:r w:rsidRPr="00591408">
        <w:rPr>
          <w:rStyle w:val="Odkaznapoznmkupodiarou"/>
        </w:rPr>
        <w:footnoteReference w:id="100"/>
      </w:r>
      <w:r>
        <w:rPr>
          <w:b/>
        </w:rPr>
        <w:t xml:space="preserve"> zapísali v priemere menej kvalitní absolventi stredných škôl</w:t>
      </w:r>
      <w:r w:rsidRPr="00A61D63">
        <w:t xml:space="preserve"> </w:t>
      </w:r>
      <w:r w:rsidRPr="00C37123">
        <w:t>(graf</w:t>
      </w:r>
      <w:r w:rsidR="00C37123" w:rsidRPr="00C37123">
        <w:t xml:space="preserve"> </w:t>
      </w:r>
      <w:r w:rsidR="00794092">
        <w:t>29</w:t>
      </w:r>
      <w:r w:rsidRPr="00A61D63">
        <w:t>)</w:t>
      </w:r>
      <w:r>
        <w:t xml:space="preserve">. </w:t>
      </w:r>
      <w:r w:rsidR="0022613F">
        <w:t>P</w:t>
      </w:r>
      <w:r>
        <w:t>redpoklad</w:t>
      </w:r>
      <w:r w:rsidR="0022613F">
        <w:t>áme</w:t>
      </w:r>
      <w:r>
        <w:t>, že žiaci gymnázií a stredných športových škôl sú v priemere kvalitnejší ako žiaci stredných odborných škôl, konzervatórií a škôl umeleckého priemyslu, pretože dosahujú v priemere lepšie maturitné výsledky.</w:t>
      </w:r>
      <w:r>
        <w:rPr>
          <w:rStyle w:val="Odkaznapoznmkupodiarou"/>
        </w:rPr>
        <w:footnoteReference w:id="101"/>
      </w:r>
      <w:r>
        <w:t xml:space="preserve"> Z celkového počtu zapísaných na neučiteľské matematické študijné programy tvorili absolventi gymnázií a stredných športových škôl 92 %. V prípade učiteľstva matematiky to bolo 73 %. Kvalitnejší absolventi preferujú neučiteľské študijné programy aj v prípade biológie, geografie a informatiky.</w:t>
      </w:r>
    </w:p>
    <w:p w14:paraId="4E472A6A" w14:textId="67FA8994" w:rsidR="00AE514F" w:rsidRDefault="00AE514F" w:rsidP="00591408">
      <w:r w:rsidRPr="0006592A">
        <w:rPr>
          <w:b/>
        </w:rPr>
        <w:t>Dáta Pedagog</w:t>
      </w:r>
      <w:r>
        <w:rPr>
          <w:b/>
        </w:rPr>
        <w:t>ickej fakulty</w:t>
      </w:r>
      <w:r w:rsidRPr="0006592A">
        <w:rPr>
          <w:b/>
        </w:rPr>
        <w:t xml:space="preserve"> Univerzity Komenského</w:t>
      </w:r>
      <w:r w:rsidRPr="0006592A">
        <w:t xml:space="preserve"> (PdF UK)</w:t>
      </w:r>
      <w:r w:rsidRPr="0006592A">
        <w:rPr>
          <w:b/>
        </w:rPr>
        <w:t xml:space="preserve"> naznačujú</w:t>
      </w:r>
      <w:r>
        <w:rPr>
          <w:b/>
        </w:rPr>
        <w:t xml:space="preserve"> trend klesajúcej </w:t>
      </w:r>
      <w:r w:rsidRPr="0006592A">
        <w:rPr>
          <w:b/>
        </w:rPr>
        <w:t>kvality študentov učiteľstva</w:t>
      </w:r>
      <w:r>
        <w:t xml:space="preserve">. Kvalita záujemcov o učiteľské štúdium, meraná priemerným maturitným výsledkom prijatých uchádzačov na učiteľské študijné programy na PdF UK, sa v rokoch 2023 a 2024 v porovnaní s rokmi 2021 a 2022 zhoršila </w:t>
      </w:r>
      <w:r w:rsidRPr="00C37123">
        <w:t>(graf 3</w:t>
      </w:r>
      <w:r>
        <w:t xml:space="preserve">0). Zhoršenie priemeru známok z internej časti maturitnej skúšky v roku 2023 nastalo práve po medziročnom poklese priemernej reálnej mzdy pedagogických zamestnancov o 8,3 p. b. v roku 2022. V porovnaní s priemerom za celé hospodárstvo </w:t>
      </w:r>
      <w:r>
        <w:lastRenderedPageBreak/>
        <w:t>išlo o približne dvojnásobný pokles. Zhoršenie v posledných dvoch rokoch sa týka všetkých analyzovaných učiteľských študijných programov s výnimkou špeciálnej pedagogiky (graf 31). PdF UK bola jediná zo štyroch najväčších</w:t>
      </w:r>
      <w:r>
        <w:rPr>
          <w:rStyle w:val="Odkaznapoznmkupodiarou"/>
        </w:rPr>
        <w:footnoteReference w:id="102"/>
      </w:r>
      <w:r>
        <w:t xml:space="preserve"> PdF, ktorá poskytla maturitné výsledky (interná časť maturitnej skúšky) prijatých uchádzačov o štúdium. Vhodnejšími by boli kompletné maturitné výsledky </w:t>
      </w:r>
      <w:r w:rsidRPr="009E3FFF">
        <w:t>zapísaných</w:t>
      </w:r>
      <w:r>
        <w:t xml:space="preserve"> uchádzačov na učiteľské študijné programy na všetkých fakultách poskytujúcich učiteľské študijné programy. </w:t>
      </w:r>
      <w:r w:rsidRPr="00E34126">
        <w:rPr>
          <w:b/>
        </w:rPr>
        <w:t xml:space="preserve">NKÚ SR </w:t>
      </w:r>
      <w:r>
        <w:rPr>
          <w:b/>
        </w:rPr>
        <w:t xml:space="preserve">v tejto súvislosti </w:t>
      </w:r>
      <w:r w:rsidRPr="00E34126">
        <w:rPr>
          <w:b/>
        </w:rPr>
        <w:t>upozorňuje na dôležitosť zabezpečenia dostatočného finančného ohodnotenia učiteľov.</w:t>
      </w:r>
    </w:p>
    <w:p w14:paraId="29ACB00D" w14:textId="1BEA0BA7" w:rsidR="0022613F" w:rsidRPr="00BC3CA3" w:rsidRDefault="0022613F" w:rsidP="0022613F">
      <w:pPr>
        <w:pStyle w:val="Popis"/>
        <w:keepNext/>
        <w:rPr>
          <w:color w:val="314364"/>
        </w:rPr>
      </w:pPr>
      <w:r>
        <w:rPr>
          <w:color w:val="314364"/>
        </w:rPr>
        <w:t xml:space="preserve">Graf </w:t>
      </w:r>
      <w:r w:rsidR="00794092">
        <w:rPr>
          <w:color w:val="314364"/>
        </w:rPr>
        <w:t>29</w:t>
      </w:r>
      <w:r>
        <w:rPr>
          <w:color w:val="314364"/>
        </w:rPr>
        <w:t xml:space="preserve">: </w:t>
      </w:r>
      <w:r w:rsidRPr="00591408">
        <w:rPr>
          <w:color w:val="314364"/>
        </w:rPr>
        <w:t>Podiel absolventov gymnázií a stredných športových škôl na celkovom počte zápisov úspešných uchádzačov na študijné programy verejných vysokých škôl v roku 2023</w:t>
      </w: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70"/>
      </w:tblGrid>
      <w:tr w:rsidR="0022613F" w:rsidRPr="00C75134" w14:paraId="289B6EA0" w14:textId="77777777" w:rsidTr="00B571E8">
        <w:trPr>
          <w:trHeight w:val="2835"/>
        </w:trPr>
        <w:tc>
          <w:tcPr>
            <w:tcW w:w="5000" w:type="pct"/>
            <w:tcBorders>
              <w:top w:val="single" w:sz="4" w:space="0" w:color="314364"/>
              <w:bottom w:val="single" w:sz="4" w:space="0" w:color="314364"/>
            </w:tcBorders>
            <w:vAlign w:val="center"/>
          </w:tcPr>
          <w:p w14:paraId="60EABE82" w14:textId="77777777" w:rsidR="0022613F" w:rsidRPr="00C75134" w:rsidRDefault="0022613F" w:rsidP="00B571E8">
            <w:pPr>
              <w:spacing w:after="0"/>
              <w:jc w:val="left"/>
              <w:rPr>
                <w:b/>
                <w:color w:val="576431"/>
              </w:rPr>
            </w:pPr>
            <w:r>
              <w:rPr>
                <w:noProof/>
                <w:lang w:eastAsia="sk-SK"/>
              </w:rPr>
              <w:drawing>
                <wp:inline distT="0" distB="0" distL="0" distR="0" wp14:anchorId="382C1001" wp14:editId="0D6ED1A1">
                  <wp:extent cx="5759450" cy="1781175"/>
                  <wp:effectExtent l="0" t="0" r="0"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bl>
    <w:p w14:paraId="6DEFAB17" w14:textId="77777777" w:rsidR="0022613F" w:rsidRPr="00F85AF9" w:rsidRDefault="0022613F" w:rsidP="0022613F">
      <w:pPr>
        <w:pStyle w:val="Zdroj"/>
        <w:spacing w:after="0"/>
        <w:jc w:val="both"/>
      </w:pPr>
      <w:r>
        <w:t>Zdroj: CVTI SR</w:t>
      </w:r>
      <w:r w:rsidRPr="00A06B9C">
        <w:t>; výpočty a spracovanie NKÚ SR.</w:t>
      </w:r>
    </w:p>
    <w:p w14:paraId="1E838FB0" w14:textId="77777777" w:rsidR="0022613F" w:rsidRDefault="0022613F" w:rsidP="0022613F">
      <w:pPr>
        <w:pStyle w:val="Zdroj"/>
        <w:jc w:val="both"/>
      </w:pPr>
      <w:r w:rsidRPr="00F85AF9">
        <w:t xml:space="preserve">Poznámka: </w:t>
      </w:r>
      <w:r>
        <w:t>Denná a externá forma spolu</w:t>
      </w:r>
      <w:r w:rsidRPr="00A06B9C">
        <w:t>.</w:t>
      </w:r>
      <w:r>
        <w:t xml:space="preserve"> U</w:t>
      </w:r>
      <w:r w:rsidRPr="000506CF">
        <w:t>chádzači so slovenským štátnym občianstvom</w:t>
      </w:r>
      <w:r>
        <w:t>. Aktuálni maturanti v danom roku na stredných školách</w:t>
      </w:r>
      <w:r w:rsidRPr="000506CF">
        <w:t xml:space="preserve"> SR</w:t>
      </w:r>
      <w:r>
        <w:t xml:space="preserve">. Pod neučiteľské študijné programy v kategórii </w:t>
      </w:r>
      <w:r w:rsidRPr="00F23F4F">
        <w:t>Geografia</w:t>
      </w:r>
      <w:r>
        <w:t xml:space="preserve"> zahŕňame študijné programy študijného odboru </w:t>
      </w:r>
      <w:r w:rsidRPr="006D793F">
        <w:t>Veda o Zemi</w:t>
      </w:r>
      <w:r>
        <w:t>.</w:t>
      </w:r>
    </w:p>
    <w:tbl>
      <w:tblPr>
        <w:tblStyle w:val="Mriekatabuky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591408" w:rsidRPr="00D40AB4" w14:paraId="666F4A33" w14:textId="77777777" w:rsidTr="00486EEC">
        <w:trPr>
          <w:trHeight w:val="189"/>
        </w:trPr>
        <w:tc>
          <w:tcPr>
            <w:tcW w:w="2500" w:type="pct"/>
            <w:tcBorders>
              <w:bottom w:val="single" w:sz="4" w:space="0" w:color="314364"/>
            </w:tcBorders>
            <w:shd w:val="clear" w:color="auto" w:fill="auto"/>
          </w:tcPr>
          <w:p w14:paraId="24FBEC41" w14:textId="52F1DD7E" w:rsidR="00591408" w:rsidRPr="00D40AB4" w:rsidRDefault="00591408" w:rsidP="00794092">
            <w:pPr>
              <w:pStyle w:val="Popis"/>
              <w:keepNext/>
              <w:rPr>
                <w:color w:val="314364"/>
              </w:rPr>
            </w:pPr>
            <w:r w:rsidRPr="00D40AB4">
              <w:rPr>
                <w:color w:val="314364"/>
              </w:rPr>
              <w:t>Graf</w:t>
            </w:r>
            <w:r>
              <w:rPr>
                <w:color w:val="314364"/>
              </w:rPr>
              <w:t xml:space="preserve"> </w:t>
            </w:r>
            <w:r w:rsidR="00C37123">
              <w:rPr>
                <w:color w:val="314364"/>
              </w:rPr>
              <w:t>3</w:t>
            </w:r>
            <w:r w:rsidR="00794092">
              <w:rPr>
                <w:color w:val="314364"/>
              </w:rPr>
              <w:t>0</w:t>
            </w:r>
            <w:r>
              <w:rPr>
                <w:color w:val="314364"/>
              </w:rPr>
              <w:t xml:space="preserve">: </w:t>
            </w:r>
            <w:r w:rsidR="00AA12CA">
              <w:t>Priemerný maturitný výsledok prijatých uchádzačov na učiteľské študijné programy na PdF UK</w:t>
            </w:r>
          </w:p>
        </w:tc>
        <w:tc>
          <w:tcPr>
            <w:tcW w:w="2500" w:type="pct"/>
            <w:tcBorders>
              <w:bottom w:val="single" w:sz="4" w:space="0" w:color="314364"/>
            </w:tcBorders>
            <w:shd w:val="clear" w:color="auto" w:fill="auto"/>
          </w:tcPr>
          <w:p w14:paraId="6FA34A89" w14:textId="64835014" w:rsidR="00591408" w:rsidRPr="00D40AB4" w:rsidRDefault="00591408" w:rsidP="0019430D">
            <w:pPr>
              <w:pStyle w:val="Popis"/>
              <w:keepNext/>
              <w:ind w:left="8"/>
              <w:rPr>
                <w:color w:val="314364"/>
              </w:rPr>
            </w:pPr>
            <w:r w:rsidRPr="00D40AB4">
              <w:rPr>
                <w:color w:val="314364"/>
              </w:rPr>
              <w:t xml:space="preserve">Graf </w:t>
            </w:r>
            <w:r w:rsidR="00C37123">
              <w:rPr>
                <w:color w:val="314364"/>
              </w:rPr>
              <w:t>3</w:t>
            </w:r>
            <w:r w:rsidR="00794092">
              <w:rPr>
                <w:color w:val="314364"/>
              </w:rPr>
              <w:t>1</w:t>
            </w:r>
            <w:r>
              <w:rPr>
                <w:color w:val="314364"/>
              </w:rPr>
              <w:t xml:space="preserve">: </w:t>
            </w:r>
            <w:r w:rsidR="00AA12CA">
              <w:t>Priemerný maturitný výsledok prijatých uchádzačov na učiteľské študijné programy na PdF UK (podľa študijných programov)</w:t>
            </w:r>
          </w:p>
        </w:tc>
      </w:tr>
      <w:tr w:rsidR="00591408" w:rsidRPr="00402675" w14:paraId="5D416961" w14:textId="77777777" w:rsidTr="00486EEC">
        <w:tblPrEx>
          <w:tblCellMar>
            <w:left w:w="70" w:type="dxa"/>
            <w:right w:w="70" w:type="dxa"/>
          </w:tblCellMar>
        </w:tblPrEx>
        <w:trPr>
          <w:trHeight w:val="3402"/>
        </w:trPr>
        <w:tc>
          <w:tcPr>
            <w:tcW w:w="2500" w:type="pct"/>
            <w:tcBorders>
              <w:top w:val="single" w:sz="4" w:space="0" w:color="314364"/>
              <w:bottom w:val="single" w:sz="4" w:space="0" w:color="314364"/>
            </w:tcBorders>
            <w:vAlign w:val="center"/>
          </w:tcPr>
          <w:p w14:paraId="567E7E09" w14:textId="093BE186" w:rsidR="00591408" w:rsidRPr="00402675" w:rsidRDefault="00AA12CA" w:rsidP="00486EEC">
            <w:pPr>
              <w:spacing w:after="0"/>
              <w:jc w:val="left"/>
              <w:rPr>
                <w:rFonts w:cs="Segoe UI"/>
                <w:b/>
                <w:szCs w:val="20"/>
              </w:rPr>
            </w:pPr>
            <w:r>
              <w:rPr>
                <w:noProof/>
                <w:lang w:eastAsia="sk-SK"/>
              </w:rPr>
              <w:drawing>
                <wp:inline distT="0" distB="0" distL="0" distR="0" wp14:anchorId="5947841B" wp14:editId="4C86EE58">
                  <wp:extent cx="2880000" cy="2160000"/>
                  <wp:effectExtent l="0" t="0" r="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2500" w:type="pct"/>
            <w:tcBorders>
              <w:top w:val="single" w:sz="4" w:space="0" w:color="314364"/>
              <w:bottom w:val="single" w:sz="4" w:space="0" w:color="314364"/>
            </w:tcBorders>
            <w:vAlign w:val="center"/>
          </w:tcPr>
          <w:p w14:paraId="4DB6149B" w14:textId="68DDCA30" w:rsidR="00591408" w:rsidRPr="00402675" w:rsidRDefault="00AA12CA" w:rsidP="00486EEC">
            <w:pPr>
              <w:spacing w:after="0"/>
              <w:jc w:val="left"/>
              <w:rPr>
                <w:rFonts w:cs="Segoe UI"/>
                <w:b/>
                <w:szCs w:val="20"/>
              </w:rPr>
            </w:pPr>
            <w:r>
              <w:rPr>
                <w:noProof/>
                <w:lang w:eastAsia="sk-SK"/>
              </w:rPr>
              <w:drawing>
                <wp:inline distT="0" distB="0" distL="0" distR="0" wp14:anchorId="1FA29358" wp14:editId="6478ACBE">
                  <wp:extent cx="2880000" cy="2160000"/>
                  <wp:effectExtent l="0" t="0" r="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bl>
    <w:p w14:paraId="31749DBC" w14:textId="7D69DE9D" w:rsidR="00591408" w:rsidRDefault="00591408" w:rsidP="00591408">
      <w:pPr>
        <w:pStyle w:val="Zdroj"/>
        <w:spacing w:after="0"/>
        <w:jc w:val="both"/>
      </w:pPr>
      <w:r>
        <w:t xml:space="preserve">Zdroj: </w:t>
      </w:r>
      <w:r w:rsidR="00AA12CA" w:rsidRPr="00A06B9C">
        <w:t>PdF UK; výpočty a spracovanie NKÚ SR.</w:t>
      </w:r>
    </w:p>
    <w:p w14:paraId="61D3F390" w14:textId="334DE211" w:rsidR="00591408" w:rsidRDefault="00591408" w:rsidP="00591408">
      <w:pPr>
        <w:pStyle w:val="Zdroj"/>
        <w:jc w:val="both"/>
      </w:pPr>
      <w:r>
        <w:t>Poznámka:</w:t>
      </w:r>
      <w:r w:rsidRPr="00B04781">
        <w:t xml:space="preserve"> </w:t>
      </w:r>
      <w:r w:rsidR="00AA12CA" w:rsidRPr="00A06B9C">
        <w:t>Denné štúdium. Učiteľstvo cudzieho jazyka (v komb.) zahŕňa učiteľstvo anglického jazyka a literatúry, učiteľstvo nemeckého jazyka a literatúry, učiteľstvo španielskeho jazyka a literatúry a učiteľstvo talianskeho jazyka a literatúry.</w:t>
      </w:r>
    </w:p>
    <w:p w14:paraId="124A5122" w14:textId="3BFD7C10" w:rsidR="004F28FF" w:rsidRDefault="00F77128" w:rsidP="00A9155E">
      <w:pPr>
        <w:pStyle w:val="Nadpis3"/>
      </w:pPr>
      <w:bookmarkStart w:id="53" w:name="_Toc182559201"/>
      <w:r>
        <w:t>Pretrvávajúci n</w:t>
      </w:r>
      <w:r w:rsidRPr="00F77128">
        <w:t>edostatok pedagogických asistentov v materských školách</w:t>
      </w:r>
      <w:bookmarkEnd w:id="53"/>
    </w:p>
    <w:p w14:paraId="7F420FE3" w14:textId="102BF04F" w:rsidR="00101E9A" w:rsidRPr="00101E9A" w:rsidRDefault="007B01D4" w:rsidP="00101E9A">
      <w:r w:rsidRPr="00C938E6">
        <w:t>Inštitút vzdelávacej politiky (IVP) po schválení novely školského zákona, ktorá ustanovila povinné predprimárne vzdelávanie pre 5-ročné deti, upozorňoval, že zvýšený počet 5-ročných detí v</w:t>
      </w:r>
      <w:r>
        <w:t> materských školách</w:t>
      </w:r>
      <w:r w:rsidRPr="00C938E6">
        <w:t xml:space="preserve"> </w:t>
      </w:r>
      <w:r>
        <w:t>(</w:t>
      </w:r>
      <w:r w:rsidRPr="00C938E6">
        <w:t>MŠ</w:t>
      </w:r>
      <w:r>
        <w:t>)</w:t>
      </w:r>
      <w:r w:rsidRPr="00C938E6">
        <w:t xml:space="preserve">, ktoré sú zdravotne znevýhodnené alebo pochádzajú zo sociálne znevýhodneného </w:t>
      </w:r>
      <w:r w:rsidRPr="00C938E6">
        <w:lastRenderedPageBreak/>
        <w:t>prostredia, si bude vyžadovať inkluzívnejší prístup vo výchove a vzdelávaní.</w:t>
      </w:r>
      <w:r>
        <w:rPr>
          <w:rStyle w:val="Odkaznapoznmkupodiarou"/>
        </w:rPr>
        <w:footnoteReference w:id="103"/>
      </w:r>
      <w:r w:rsidRPr="00C938E6">
        <w:t xml:space="preserve"> </w:t>
      </w:r>
      <w:r>
        <w:t>NKÚ SR v minuloročnom stanovisku upozornil, že mnohé MŠ</w:t>
      </w:r>
      <w:r w:rsidRPr="0070020C">
        <w:t xml:space="preserve"> ani po roku od zavedenia povinného predprimárneho vzdelávania pre 5-ročné deti nedokázali zabezpečiť adekvátny personál.</w:t>
      </w:r>
      <w:r>
        <w:rPr>
          <w:rStyle w:val="Odkaznapoznmkupodiarou"/>
        </w:rPr>
        <w:footnoteReference w:id="104"/>
      </w:r>
      <w:r>
        <w:t xml:space="preserve"> </w:t>
      </w:r>
      <w:r w:rsidRPr="00C938E6">
        <w:rPr>
          <w:b/>
        </w:rPr>
        <w:t xml:space="preserve">Aj keby sa v aktuálnom školskom roku podarilo do MŠ dostať plánovaný počet </w:t>
      </w:r>
      <w:r>
        <w:rPr>
          <w:b/>
        </w:rPr>
        <w:t>pedagogických asistentov</w:t>
      </w:r>
      <w:r w:rsidRPr="00191E3C">
        <w:t xml:space="preserve"> (1 </w:t>
      </w:r>
      <w:r>
        <w:t>390</w:t>
      </w:r>
      <w:r w:rsidRPr="00191E3C">
        <w:t>)</w:t>
      </w:r>
      <w:r w:rsidRPr="00C37123">
        <w:rPr>
          <w:rStyle w:val="Odkaznapoznmkupodiarou"/>
        </w:rPr>
        <w:footnoteReference w:id="105"/>
      </w:r>
      <w:r>
        <w:rPr>
          <w:b/>
        </w:rPr>
        <w:t>, stále by bol</w:t>
      </w:r>
      <w:r w:rsidRPr="00C938E6">
        <w:rPr>
          <w:b/>
        </w:rPr>
        <w:t xml:space="preserve"> </w:t>
      </w:r>
      <w:r>
        <w:rPr>
          <w:b/>
        </w:rPr>
        <w:t xml:space="preserve">priemerný </w:t>
      </w:r>
      <w:r w:rsidRPr="00C938E6">
        <w:rPr>
          <w:b/>
        </w:rPr>
        <w:t>počet znevýhodnených detí</w:t>
      </w:r>
      <w:r w:rsidRPr="00806AF3">
        <w:rPr>
          <w:rStyle w:val="Odkaznapoznmkupodiarou"/>
        </w:rPr>
        <w:footnoteReference w:id="106"/>
      </w:r>
      <w:r>
        <w:rPr>
          <w:b/>
        </w:rPr>
        <w:t xml:space="preserve"> na jedného pedagogického asistenta</w:t>
      </w:r>
      <w:r w:rsidRPr="00C938E6">
        <w:rPr>
          <w:b/>
        </w:rPr>
        <w:t xml:space="preserve"> </w:t>
      </w:r>
      <w:r>
        <w:rPr>
          <w:b/>
        </w:rPr>
        <w:t>pravdepodobne</w:t>
      </w:r>
      <w:r w:rsidR="00BA7DD9" w:rsidRPr="00806AF3">
        <w:rPr>
          <w:rStyle w:val="Odkaznapoznmkupodiarou"/>
        </w:rPr>
        <w:footnoteReference w:id="107"/>
      </w:r>
      <w:r w:rsidR="00BA7DD9">
        <w:rPr>
          <w:b/>
        </w:rPr>
        <w:t xml:space="preserve"> </w:t>
      </w:r>
      <w:r w:rsidRPr="00C938E6">
        <w:rPr>
          <w:b/>
        </w:rPr>
        <w:t>vyšší ako v roku 2020</w:t>
      </w:r>
      <w:r w:rsidRPr="0070020C">
        <w:t>, teda pr</w:t>
      </w:r>
      <w:r>
        <w:t xml:space="preserve">ed zavedením </w:t>
      </w:r>
      <w:r w:rsidRPr="0070020C">
        <w:t xml:space="preserve">povinného predprimárneho </w:t>
      </w:r>
      <w:r w:rsidRPr="00C37123">
        <w:t>vzdelávania (graf</w:t>
      </w:r>
      <w:r w:rsidR="00C37123" w:rsidRPr="00C37123">
        <w:t xml:space="preserve"> 3</w:t>
      </w:r>
      <w:r w:rsidR="00794092">
        <w:t>2</w:t>
      </w:r>
      <w:r w:rsidRPr="00C37123">
        <w:t>).</w:t>
      </w:r>
    </w:p>
    <w:p w14:paraId="3621D108" w14:textId="2DD5E1E4" w:rsidR="00441AF4" w:rsidRPr="00BC3CA3" w:rsidRDefault="00441AF4" w:rsidP="00441AF4">
      <w:pPr>
        <w:pStyle w:val="Popis"/>
        <w:keepNext/>
        <w:rPr>
          <w:color w:val="314364"/>
        </w:rPr>
      </w:pPr>
      <w:r>
        <w:rPr>
          <w:color w:val="314364"/>
        </w:rPr>
        <w:t>Graf 3</w:t>
      </w:r>
      <w:r w:rsidR="00794092">
        <w:rPr>
          <w:color w:val="314364"/>
        </w:rPr>
        <w:t>2</w:t>
      </w:r>
      <w:r>
        <w:rPr>
          <w:color w:val="314364"/>
        </w:rPr>
        <w:t xml:space="preserve">: </w:t>
      </w:r>
      <w:r w:rsidRPr="00101E9A">
        <w:rPr>
          <w:color w:val="314364"/>
        </w:rPr>
        <w:t>Pomer počtu znevýhodnených detí</w:t>
      </w:r>
      <w:r>
        <w:rPr>
          <w:color w:val="314364"/>
        </w:rPr>
        <w:t xml:space="preserve"> a pedagogických asistentov v materských školách</w:t>
      </w: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70"/>
      </w:tblGrid>
      <w:tr w:rsidR="00441AF4" w:rsidRPr="00C75134" w14:paraId="6C811F13" w14:textId="77777777" w:rsidTr="000E431B">
        <w:trPr>
          <w:trHeight w:val="2835"/>
        </w:trPr>
        <w:tc>
          <w:tcPr>
            <w:tcW w:w="5000" w:type="pct"/>
            <w:tcBorders>
              <w:top w:val="single" w:sz="4" w:space="0" w:color="314364"/>
              <w:bottom w:val="single" w:sz="4" w:space="0" w:color="314364"/>
            </w:tcBorders>
            <w:vAlign w:val="center"/>
          </w:tcPr>
          <w:p w14:paraId="4A5CFDCB" w14:textId="77777777" w:rsidR="00441AF4" w:rsidRPr="00C75134" w:rsidRDefault="00441AF4" w:rsidP="000E431B">
            <w:pPr>
              <w:spacing w:after="0"/>
              <w:jc w:val="left"/>
              <w:rPr>
                <w:b/>
                <w:color w:val="576431"/>
              </w:rPr>
            </w:pPr>
            <w:r>
              <w:rPr>
                <w:noProof/>
                <w:lang w:eastAsia="sk-SK"/>
              </w:rPr>
              <w:drawing>
                <wp:inline distT="0" distB="0" distL="0" distR="0" wp14:anchorId="24085A6E" wp14:editId="6F81F5D1">
                  <wp:extent cx="5759450" cy="1781175"/>
                  <wp:effectExtent l="0" t="0" r="0" b="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bl>
    <w:p w14:paraId="3091FCF0" w14:textId="77777777" w:rsidR="00441AF4" w:rsidRDefault="00441AF4" w:rsidP="00441AF4">
      <w:pPr>
        <w:pStyle w:val="Zdroj"/>
        <w:spacing w:after="0"/>
        <w:jc w:val="both"/>
      </w:pPr>
      <w:r>
        <w:t xml:space="preserve">Zdroj: </w:t>
      </w:r>
      <w:r w:rsidRPr="00101E9A">
        <w:t>CVTI SR, MŠVVaM SR; výpočty a spracovanie NKÚ SR.</w:t>
      </w:r>
    </w:p>
    <w:p w14:paraId="6BA13F5A" w14:textId="77777777" w:rsidR="00441AF4" w:rsidRDefault="00441AF4" w:rsidP="00441AF4">
      <w:pPr>
        <w:pStyle w:val="Zdroj"/>
        <w:jc w:val="both"/>
      </w:pPr>
      <w:r w:rsidRPr="00F85AF9">
        <w:t xml:space="preserve">Poznámka: </w:t>
      </w:r>
      <w:r w:rsidRPr="007F48AB">
        <w:t>V roku 2024 predpokladáme rovnaký medziročný nárast počtu znevýhodnených detí ako v roku 2023. Znevýhodnenými deťmi sú deti zo sociálne znevýhodneného prostredia, deti so zdravotným znevýho</w:t>
      </w:r>
      <w:r>
        <w:t>dnením a deti s nadaním. Počet</w:t>
      </w:r>
      <w:r w:rsidRPr="007F48AB">
        <w:t xml:space="preserve"> det</w:t>
      </w:r>
      <w:r>
        <w:t>í v hmotnej núdzi</w:t>
      </w:r>
      <w:r w:rsidRPr="007F48AB">
        <w:t xml:space="preserve"> CVTI SR nezisťuje.</w:t>
      </w:r>
    </w:p>
    <w:p w14:paraId="47C6E6C0" w14:textId="38A3F0A9" w:rsidR="000C763A" w:rsidRDefault="007B01D4" w:rsidP="000C763A">
      <w:r>
        <w:t>Pedagogických asistentov bolo v MŠ málo už pred zavedením povinného predprimárneho vzdelávania – nedostatok pedagogických asistentov bol druhým najväčším problémom v oblasti podpory vzdelávania žiakov so špeciálnymi výchovno-vzdelávacími potrebami v MŠ.</w:t>
      </w:r>
      <w:r>
        <w:rPr>
          <w:rStyle w:val="Odkaznapoznmkupodiarou"/>
        </w:rPr>
        <w:footnoteReference w:id="108"/>
      </w:r>
      <w:r>
        <w:t xml:space="preserve"> Ned</w:t>
      </w:r>
      <w:r w:rsidRPr="00014FB6">
        <w:t xml:space="preserve">ostatok </w:t>
      </w:r>
      <w:r w:rsidRPr="00C37123">
        <w:t>pedagogických asistentov v predprimárnom vzdelávaní je zjavný aj z medzinárodného porovnania (graf</w:t>
      </w:r>
      <w:r w:rsidR="00C37123" w:rsidRPr="00C37123">
        <w:t xml:space="preserve"> 3</w:t>
      </w:r>
      <w:r w:rsidR="00794092">
        <w:t>3</w:t>
      </w:r>
      <w:r w:rsidRPr="00C37123">
        <w:t xml:space="preserve">). </w:t>
      </w:r>
      <w:r w:rsidR="00C37123">
        <w:t>SR e</w:t>
      </w:r>
      <w:r w:rsidRPr="00C37123">
        <w:t>xtrémne zaostáva nielen za vyspelými krajinami EÚ, ale aj za Slovinskom či Litvou. Nelichotivé</w:t>
      </w:r>
      <w:r>
        <w:t xml:space="preserve"> je aj porovnanie s</w:t>
      </w:r>
      <w:r w:rsidRPr="00885FC3">
        <w:t xml:space="preserve"> Rumunskom.</w:t>
      </w:r>
    </w:p>
    <w:p w14:paraId="50CB416B" w14:textId="4F65DC13" w:rsidR="00B5522E" w:rsidRPr="00BC3CA3" w:rsidRDefault="00B5522E" w:rsidP="00B5522E">
      <w:pPr>
        <w:pStyle w:val="Popis"/>
        <w:keepNext/>
        <w:rPr>
          <w:color w:val="314364"/>
        </w:rPr>
      </w:pPr>
      <w:r>
        <w:rPr>
          <w:color w:val="314364"/>
        </w:rPr>
        <w:t>Graf 3</w:t>
      </w:r>
      <w:r w:rsidR="00794092">
        <w:rPr>
          <w:color w:val="314364"/>
        </w:rPr>
        <w:t>3</w:t>
      </w:r>
      <w:r>
        <w:rPr>
          <w:color w:val="314364"/>
        </w:rPr>
        <w:t xml:space="preserve">: </w:t>
      </w:r>
      <w:r w:rsidRPr="00101E9A">
        <w:rPr>
          <w:color w:val="314364"/>
        </w:rPr>
        <w:t>Počet pedagogických a</w:t>
      </w:r>
      <w:r>
        <w:rPr>
          <w:color w:val="314364"/>
        </w:rPr>
        <w:t>sistentov na tisíc učiteľov v materských školách</w:t>
      </w:r>
      <w:r w:rsidRPr="00101E9A">
        <w:rPr>
          <w:color w:val="314364"/>
        </w:rPr>
        <w:t xml:space="preserve"> v roku 2022</w:t>
      </w: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70"/>
      </w:tblGrid>
      <w:tr w:rsidR="00B5522E" w:rsidRPr="00C75134" w14:paraId="3D51E8F1" w14:textId="77777777" w:rsidTr="00B571E8">
        <w:trPr>
          <w:trHeight w:val="2835"/>
        </w:trPr>
        <w:tc>
          <w:tcPr>
            <w:tcW w:w="5000" w:type="pct"/>
            <w:tcBorders>
              <w:top w:val="single" w:sz="4" w:space="0" w:color="314364"/>
              <w:bottom w:val="single" w:sz="4" w:space="0" w:color="314364"/>
            </w:tcBorders>
            <w:vAlign w:val="center"/>
          </w:tcPr>
          <w:p w14:paraId="20998A0D" w14:textId="77777777" w:rsidR="00B5522E" w:rsidRPr="00C75134" w:rsidRDefault="00B5522E" w:rsidP="00B571E8">
            <w:pPr>
              <w:spacing w:after="0"/>
              <w:jc w:val="left"/>
              <w:rPr>
                <w:b/>
                <w:color w:val="576431"/>
              </w:rPr>
            </w:pPr>
            <w:r>
              <w:rPr>
                <w:noProof/>
                <w:lang w:eastAsia="sk-SK"/>
              </w:rPr>
              <w:drawing>
                <wp:inline distT="0" distB="0" distL="0" distR="0" wp14:anchorId="747BE534" wp14:editId="5014E9A9">
                  <wp:extent cx="5759450" cy="1771650"/>
                  <wp:effectExtent l="0" t="0" r="0" b="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bl>
    <w:p w14:paraId="0A6245B0" w14:textId="77777777" w:rsidR="00B5522E" w:rsidRDefault="00B5522E" w:rsidP="00B5522E">
      <w:pPr>
        <w:pStyle w:val="Zdroj"/>
        <w:spacing w:after="0"/>
        <w:jc w:val="both"/>
      </w:pPr>
      <w:r>
        <w:t xml:space="preserve">Zdroj: </w:t>
      </w:r>
      <w:r w:rsidRPr="00101E9A">
        <w:t>OECD Data Explorer; výpočty a spracovanie NKÚ SR.</w:t>
      </w:r>
    </w:p>
    <w:p w14:paraId="12964DB4" w14:textId="2B2F9C94" w:rsidR="0069712F" w:rsidRDefault="00B5522E" w:rsidP="0069712F">
      <w:pPr>
        <w:pStyle w:val="Zdroj"/>
        <w:jc w:val="both"/>
      </w:pPr>
      <w:r w:rsidRPr="00F85AF9">
        <w:t xml:space="preserve">Poznámka: </w:t>
      </w:r>
      <w:r w:rsidRPr="00101E9A">
        <w:t>Za zvyšné krajiny EÚ nebol dostupný údaj o počte pedagogických asistentov.</w:t>
      </w:r>
      <w:r w:rsidR="0069712F" w:rsidRPr="0069712F">
        <w:t xml:space="preserve"> </w:t>
      </w:r>
      <w:r w:rsidR="0069712F">
        <w:t>Spoľahlivosť a porovnateľnosť dát je v prípade niektorých krajín otázna.</w:t>
      </w:r>
    </w:p>
    <w:p w14:paraId="77182622" w14:textId="77777777" w:rsidR="00B5522E" w:rsidRDefault="00B5522E" w:rsidP="00B5522E">
      <w:pPr>
        <w:pStyle w:val="Zdroj"/>
        <w:jc w:val="both"/>
      </w:pPr>
    </w:p>
    <w:p w14:paraId="395ADBB2" w14:textId="2F2E25EB" w:rsidR="00101E9A" w:rsidRDefault="007B01D4" w:rsidP="000C763A">
      <w:pPr>
        <w:rPr>
          <w:szCs w:val="20"/>
        </w:rPr>
      </w:pPr>
      <w:r>
        <w:rPr>
          <w:b/>
          <w:szCs w:val="20"/>
        </w:rPr>
        <w:t xml:space="preserve">Návrh rozpočtu </w:t>
      </w:r>
      <w:r w:rsidRPr="006260F3">
        <w:rPr>
          <w:b/>
          <w:szCs w:val="20"/>
        </w:rPr>
        <w:t>nepočíta s navýšením počtu financovaných pracovných úväzkov pedagogických asistentov</w:t>
      </w:r>
      <w:r>
        <w:rPr>
          <w:b/>
          <w:szCs w:val="20"/>
        </w:rPr>
        <w:t xml:space="preserve"> v regionálnom školstve</w:t>
      </w:r>
      <w:r>
        <w:rPr>
          <w:szCs w:val="20"/>
        </w:rPr>
        <w:t xml:space="preserve">. </w:t>
      </w:r>
      <w:r>
        <w:t xml:space="preserve">Od 1. 9. 2024 sú pedagogickí asistenti v regionálnom školstve financovaní primárne zo ŠR. Spolu je zo ŠR od septembra 2024 financovaných 9 112 pracovných úväzkov pedagogických asistentov a </w:t>
      </w:r>
      <w:r w:rsidRPr="009D2BAC">
        <w:t>zo zdrojov EÚ</w:t>
      </w:r>
      <w:r>
        <w:t xml:space="preserve"> 350. Z celkového počtu takmer 9 500 pracovných úväzkov je MŠ pridelených 1 390</w:t>
      </w:r>
      <w:r w:rsidRPr="00C42636">
        <w:t xml:space="preserve"> </w:t>
      </w:r>
      <w:r>
        <w:t xml:space="preserve">(14,7 %). </w:t>
      </w:r>
      <w:r w:rsidRPr="006260F3">
        <w:rPr>
          <w:szCs w:val="20"/>
        </w:rPr>
        <w:t>Objem finančných prostriedkov na pedagogických asistentov financovaných zo ŠR na obdobie od 1. 9. 2024 do 31. 12. 2024 (štyri mesiace) predstavuje 52 mil.</w:t>
      </w:r>
      <w:r>
        <w:rPr>
          <w:szCs w:val="20"/>
        </w:rPr>
        <w:t xml:space="preserve"> eur. Objem rozpočtovaný na</w:t>
      </w:r>
      <w:r w:rsidRPr="006260F3">
        <w:rPr>
          <w:szCs w:val="20"/>
        </w:rPr>
        <w:t xml:space="preserve"> kalendárny rok 2025 predstavuje takmer </w:t>
      </w:r>
      <w:r w:rsidR="00AE514F">
        <w:rPr>
          <w:szCs w:val="20"/>
        </w:rPr>
        <w:t xml:space="preserve">presne </w:t>
      </w:r>
      <w:r w:rsidRPr="006260F3">
        <w:rPr>
          <w:szCs w:val="20"/>
        </w:rPr>
        <w:t>trojnásobok – 157,8 mil. eur</w:t>
      </w:r>
      <w:r>
        <w:rPr>
          <w:szCs w:val="20"/>
        </w:rPr>
        <w:t>. Aj samotné ministerstvo školstva predpokladá, že p</w:t>
      </w:r>
      <w:r w:rsidRPr="00595E56">
        <w:rPr>
          <w:szCs w:val="20"/>
        </w:rPr>
        <w:t>očet pedagogických asistentov ostan</w:t>
      </w:r>
      <w:r>
        <w:rPr>
          <w:szCs w:val="20"/>
        </w:rPr>
        <w:t>e približne na úrovni roka 2024.</w:t>
      </w:r>
      <w:r w:rsidRPr="00595E56">
        <w:rPr>
          <w:szCs w:val="20"/>
        </w:rPr>
        <w:t xml:space="preserve"> </w:t>
      </w:r>
      <w:r w:rsidR="00E34126" w:rsidRPr="00E34126">
        <w:rPr>
          <w:b/>
          <w:szCs w:val="20"/>
        </w:rPr>
        <w:t>NKÚ SR poznamenáva, že s</w:t>
      </w:r>
      <w:r w:rsidRPr="00E34126">
        <w:rPr>
          <w:b/>
          <w:szCs w:val="20"/>
        </w:rPr>
        <w:t>kvalitnenie</w:t>
      </w:r>
      <w:r w:rsidRPr="00595E56">
        <w:rPr>
          <w:b/>
          <w:szCs w:val="20"/>
        </w:rPr>
        <w:t xml:space="preserve"> vzdelávania detí z prostredia generačnej chudoby, so zdravotným postihnutím, či inak znevýhodnených detí, resp. </w:t>
      </w:r>
      <w:r w:rsidRPr="00595E56">
        <w:rPr>
          <w:b/>
          <w:bCs/>
          <w:szCs w:val="20"/>
        </w:rPr>
        <w:t>uplatňovanie</w:t>
      </w:r>
      <w:r>
        <w:rPr>
          <w:b/>
          <w:bCs/>
          <w:szCs w:val="20"/>
        </w:rPr>
        <w:t xml:space="preserve"> inkluzívnych opatrení sa pritom nachádza v PVV ako krátkodobá priorita</w:t>
      </w:r>
      <w:r>
        <w:rPr>
          <w:szCs w:val="20"/>
        </w:rPr>
        <w:t>.</w:t>
      </w:r>
    </w:p>
    <w:p w14:paraId="13ADDA08" w14:textId="62C2CB92" w:rsidR="00B60ABD" w:rsidRPr="00B60ABD" w:rsidRDefault="00B60ABD" w:rsidP="00B60ABD">
      <w:pPr>
        <w:pStyle w:val="Nadpis3"/>
      </w:pPr>
      <w:r>
        <w:t xml:space="preserve"> </w:t>
      </w:r>
      <w:bookmarkStart w:id="54" w:name="_Toc182559202"/>
      <w:r>
        <w:t>Nízke kapitálové výdavky na</w:t>
      </w:r>
      <w:r w:rsidRPr="00B60ABD">
        <w:t xml:space="preserve"> vedu a techniku</w:t>
      </w:r>
      <w:bookmarkEnd w:id="54"/>
    </w:p>
    <w:p w14:paraId="5498DA52" w14:textId="0FEF2699" w:rsidR="003D01FD" w:rsidRPr="00202878" w:rsidRDefault="003D01FD" w:rsidP="003D01FD">
      <w:pPr>
        <w:rPr>
          <w:rFonts w:cs="Segoe UI"/>
          <w:szCs w:val="20"/>
        </w:rPr>
      </w:pPr>
      <w:r>
        <w:rPr>
          <w:rFonts w:cs="Segoe UI"/>
          <w:b/>
          <w:szCs w:val="20"/>
        </w:rPr>
        <w:t>Rozpočet výdavkov</w:t>
      </w:r>
      <w:r w:rsidRPr="00CE5725">
        <w:rPr>
          <w:rFonts w:cs="Segoe UI"/>
          <w:b/>
          <w:szCs w:val="20"/>
        </w:rPr>
        <w:t xml:space="preserve"> </w:t>
      </w:r>
      <w:r>
        <w:rPr>
          <w:rFonts w:cs="Segoe UI"/>
          <w:b/>
          <w:szCs w:val="20"/>
        </w:rPr>
        <w:t>na vedu a techniku sa budúci rok medziročne zvýši o približne 84 mil. eur</w:t>
      </w:r>
      <w:r>
        <w:rPr>
          <w:rFonts w:cs="Segoe UI"/>
          <w:szCs w:val="20"/>
        </w:rPr>
        <w:t xml:space="preserve"> (graf 34)</w:t>
      </w:r>
      <w:r>
        <w:rPr>
          <w:rFonts w:cs="Segoe UI"/>
          <w:b/>
          <w:szCs w:val="20"/>
        </w:rPr>
        <w:t xml:space="preserve">, avšak kapitálové výdavky nemajú dosiahnuť ani objem tohto zvýšenia. </w:t>
      </w:r>
      <w:r>
        <w:rPr>
          <w:rFonts w:cs="Segoe UI"/>
          <w:szCs w:val="20"/>
        </w:rPr>
        <w:t xml:space="preserve">Rozpočtovaná suma na rok 2025 na vedu a techniku bude vo výške 552,4 mil. eur. </w:t>
      </w:r>
      <w:r w:rsidR="00B464BA">
        <w:rPr>
          <w:rFonts w:cs="Segoe UI"/>
          <w:szCs w:val="20"/>
        </w:rPr>
        <w:t>Z toho bude</w:t>
      </w:r>
      <w:r>
        <w:rPr>
          <w:rFonts w:cs="Segoe UI"/>
          <w:szCs w:val="20"/>
        </w:rPr>
        <w:t xml:space="preserve"> alokovaných až 320,4 mil. eur na Národnú stratégiu pre vedu, výskum a inovácie a tak časť rozpočtu na vedu a techniku bude plniť aj tento účel. Očakáva sa veľmi malá alokácia kapitálových výdavkoch na vedu a techniku, keď podľa investičného plánu MŠVVaM SR v roku 2025 majú predstavovať 37,1 tis. eur.</w:t>
      </w:r>
      <w:r>
        <w:rPr>
          <w:rStyle w:val="Odkaznapoznmkupodiarou"/>
          <w:rFonts w:cs="Segoe UI"/>
          <w:szCs w:val="20"/>
        </w:rPr>
        <w:footnoteReference w:id="109"/>
      </w:r>
    </w:p>
    <w:p w14:paraId="747EA518" w14:textId="3762A30C" w:rsidR="00B60ABD" w:rsidRPr="00BC3CA3" w:rsidRDefault="00B60ABD" w:rsidP="00B60ABD">
      <w:pPr>
        <w:pStyle w:val="Popis"/>
        <w:keepNext/>
        <w:rPr>
          <w:color w:val="314364"/>
        </w:rPr>
      </w:pPr>
      <w:r>
        <w:rPr>
          <w:color w:val="314364"/>
        </w:rPr>
        <w:t xml:space="preserve">Graf </w:t>
      </w:r>
      <w:r w:rsidR="00477D49">
        <w:rPr>
          <w:color w:val="314364"/>
        </w:rPr>
        <w:t>3</w:t>
      </w:r>
      <w:r w:rsidR="00794092">
        <w:rPr>
          <w:color w:val="314364"/>
        </w:rPr>
        <w:t>4</w:t>
      </w:r>
      <w:r w:rsidR="00477D49">
        <w:rPr>
          <w:color w:val="314364"/>
        </w:rPr>
        <w:t>: Výdavky na ved</w:t>
      </w:r>
      <w:r>
        <w:rPr>
          <w:color w:val="314364"/>
        </w:rPr>
        <w:t>u a techniku (v mil. eur)</w:t>
      </w: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70"/>
      </w:tblGrid>
      <w:tr w:rsidR="00B60ABD" w:rsidRPr="00C75134" w14:paraId="7A5B2538" w14:textId="77777777" w:rsidTr="00E82B4A">
        <w:trPr>
          <w:trHeight w:val="3118"/>
        </w:trPr>
        <w:tc>
          <w:tcPr>
            <w:tcW w:w="9070" w:type="dxa"/>
            <w:tcBorders>
              <w:top w:val="single" w:sz="4" w:space="0" w:color="314364"/>
              <w:bottom w:val="single" w:sz="4" w:space="0" w:color="314364"/>
            </w:tcBorders>
            <w:vAlign w:val="center"/>
          </w:tcPr>
          <w:p w14:paraId="399092C3" w14:textId="77777777" w:rsidR="00B60ABD" w:rsidRPr="00C75134" w:rsidRDefault="00B60ABD" w:rsidP="00E82B4A">
            <w:pPr>
              <w:spacing w:after="0"/>
              <w:jc w:val="left"/>
              <w:rPr>
                <w:b/>
                <w:color w:val="576431"/>
              </w:rPr>
            </w:pPr>
            <w:r>
              <w:rPr>
                <w:noProof/>
                <w:lang w:eastAsia="sk-SK"/>
              </w:rPr>
              <w:drawing>
                <wp:inline distT="0" distB="0" distL="0" distR="0" wp14:anchorId="12B7AF08" wp14:editId="2BC2721E">
                  <wp:extent cx="5759450" cy="1896534"/>
                  <wp:effectExtent l="0" t="0" r="0" b="8890"/>
                  <wp:docPr id="53" name="Graf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bl>
    <w:p w14:paraId="15AFC224" w14:textId="48DEE731" w:rsidR="00B60ABD" w:rsidRPr="00143890" w:rsidRDefault="00B60ABD" w:rsidP="00B60ABD">
      <w:pPr>
        <w:pStyle w:val="Zdroj"/>
        <w:spacing w:after="0"/>
        <w:jc w:val="both"/>
      </w:pPr>
      <w:r>
        <w:t xml:space="preserve">Zdroj: Návrh RVS na 2025 až 2027, </w:t>
      </w:r>
      <w:r w:rsidRPr="00101E9A">
        <w:t>spracovanie NKÚ SR.</w:t>
      </w:r>
    </w:p>
    <w:p w14:paraId="6271591E" w14:textId="47CDBA94" w:rsidR="00FA1775" w:rsidRDefault="00D6774D" w:rsidP="000D631B">
      <w:pPr>
        <w:pStyle w:val="Nadpis2"/>
      </w:pPr>
      <w:bookmarkStart w:id="55" w:name="_Toc182559203"/>
      <w:r>
        <w:t>Životné prostredie</w:t>
      </w:r>
      <w:bookmarkEnd w:id="55"/>
    </w:p>
    <w:p w14:paraId="4ECDBE73" w14:textId="0C159CF9" w:rsidR="00624D25" w:rsidRDefault="00705B40" w:rsidP="00705B40">
      <w:pPr>
        <w:rPr>
          <w:rFonts w:cs="Segoe UI"/>
          <w:szCs w:val="20"/>
        </w:rPr>
      </w:pPr>
      <w:r w:rsidRPr="00CE5725">
        <w:rPr>
          <w:rFonts w:cs="Segoe UI"/>
          <w:b/>
          <w:szCs w:val="20"/>
        </w:rPr>
        <w:t xml:space="preserve">Výdavky </w:t>
      </w:r>
      <w:r w:rsidR="00AB6FD9">
        <w:rPr>
          <w:rFonts w:cs="Segoe UI"/>
          <w:b/>
          <w:szCs w:val="20"/>
        </w:rPr>
        <w:t xml:space="preserve">do </w:t>
      </w:r>
      <w:r>
        <w:rPr>
          <w:rFonts w:cs="Segoe UI"/>
          <w:b/>
          <w:szCs w:val="20"/>
        </w:rPr>
        <w:t>oblas</w:t>
      </w:r>
      <w:r w:rsidR="00AB6FD9">
        <w:rPr>
          <w:rFonts w:cs="Segoe UI"/>
          <w:b/>
          <w:szCs w:val="20"/>
        </w:rPr>
        <w:t>ti</w:t>
      </w:r>
      <w:r w:rsidRPr="00CE5725">
        <w:rPr>
          <w:rFonts w:cs="Segoe UI"/>
          <w:b/>
          <w:szCs w:val="20"/>
        </w:rPr>
        <w:t xml:space="preserve"> životného prostredia </w:t>
      </w:r>
      <w:r>
        <w:rPr>
          <w:rFonts w:cs="Segoe UI"/>
          <w:b/>
          <w:szCs w:val="20"/>
        </w:rPr>
        <w:t>v roku 2025 majú dosiahnuť spolu 1,2</w:t>
      </w:r>
      <w:r w:rsidR="00080172">
        <w:rPr>
          <w:rFonts w:cs="Segoe UI"/>
          <w:b/>
          <w:szCs w:val="20"/>
        </w:rPr>
        <w:t>5</w:t>
      </w:r>
      <w:r w:rsidRPr="00CE5725">
        <w:rPr>
          <w:rFonts w:cs="Segoe UI"/>
          <w:b/>
          <w:szCs w:val="20"/>
        </w:rPr>
        <w:t xml:space="preserve"> ml</w:t>
      </w:r>
      <w:r w:rsidR="00080172">
        <w:rPr>
          <w:rFonts w:cs="Segoe UI"/>
          <w:b/>
          <w:szCs w:val="20"/>
        </w:rPr>
        <w:t>d</w:t>
      </w:r>
      <w:r w:rsidRPr="00CE5725">
        <w:rPr>
          <w:rFonts w:cs="Segoe UI"/>
          <w:b/>
          <w:szCs w:val="20"/>
        </w:rPr>
        <w:t xml:space="preserve">. eur, čo </w:t>
      </w:r>
      <w:r>
        <w:rPr>
          <w:rFonts w:cs="Segoe UI"/>
          <w:b/>
          <w:szCs w:val="20"/>
        </w:rPr>
        <w:t>predstavuje</w:t>
      </w:r>
      <w:r w:rsidRPr="00CE5725">
        <w:rPr>
          <w:rFonts w:cs="Segoe UI"/>
          <w:b/>
          <w:szCs w:val="20"/>
        </w:rPr>
        <w:t xml:space="preserve"> </w:t>
      </w:r>
      <w:r>
        <w:rPr>
          <w:rFonts w:cs="Segoe UI"/>
          <w:b/>
          <w:szCs w:val="20"/>
        </w:rPr>
        <w:t xml:space="preserve">5 % nárast </w:t>
      </w:r>
      <w:r w:rsidRPr="00CE5725">
        <w:rPr>
          <w:rFonts w:cs="Segoe UI"/>
          <w:b/>
          <w:szCs w:val="20"/>
        </w:rPr>
        <w:t>oproti schválenému rozpočtu na rok 2024.</w:t>
      </w:r>
      <w:r w:rsidRPr="00CE5725">
        <w:rPr>
          <w:rFonts w:cs="Segoe UI"/>
          <w:szCs w:val="20"/>
        </w:rPr>
        <w:t xml:space="preserve"> </w:t>
      </w:r>
      <w:r>
        <w:rPr>
          <w:rFonts w:cs="Segoe UI"/>
          <w:szCs w:val="20"/>
        </w:rPr>
        <w:t>Z toho 395</w:t>
      </w:r>
      <w:r w:rsidRPr="00CE5725">
        <w:rPr>
          <w:rFonts w:cs="Segoe UI"/>
          <w:szCs w:val="20"/>
        </w:rPr>
        <w:t xml:space="preserve"> mil. eur </w:t>
      </w:r>
      <w:r>
        <w:rPr>
          <w:rFonts w:cs="Segoe UI"/>
          <w:szCs w:val="20"/>
        </w:rPr>
        <w:t xml:space="preserve">je určených pre </w:t>
      </w:r>
      <w:r w:rsidRPr="00CE5725">
        <w:rPr>
          <w:rFonts w:cs="Segoe UI"/>
          <w:szCs w:val="20"/>
        </w:rPr>
        <w:t>kapitol</w:t>
      </w:r>
      <w:r>
        <w:rPr>
          <w:rFonts w:cs="Segoe UI"/>
          <w:szCs w:val="20"/>
        </w:rPr>
        <w:t>u</w:t>
      </w:r>
      <w:r w:rsidRPr="00CE5725">
        <w:rPr>
          <w:rFonts w:cs="Segoe UI"/>
          <w:szCs w:val="20"/>
        </w:rPr>
        <w:t xml:space="preserve"> MŽP </w:t>
      </w:r>
      <w:r w:rsidRPr="00D671BF">
        <w:rPr>
          <w:rFonts w:cs="Segoe UI"/>
          <w:szCs w:val="20"/>
        </w:rPr>
        <w:t xml:space="preserve">SR, čo </w:t>
      </w:r>
      <w:r>
        <w:rPr>
          <w:rFonts w:cs="Segoe UI"/>
          <w:szCs w:val="20"/>
        </w:rPr>
        <w:t>prinesie medziročný pokles</w:t>
      </w:r>
      <w:r w:rsidRPr="00D671BF">
        <w:rPr>
          <w:rFonts w:cs="Segoe UI"/>
          <w:szCs w:val="20"/>
        </w:rPr>
        <w:t xml:space="preserve"> o 11 %. Významná časť z celkových výdavkov v tejto oblasti (679 mil. eur) </w:t>
      </w:r>
      <w:r>
        <w:rPr>
          <w:rFonts w:cs="Segoe UI"/>
          <w:szCs w:val="20"/>
        </w:rPr>
        <w:t xml:space="preserve">pochádza </w:t>
      </w:r>
      <w:r w:rsidRPr="00D671BF">
        <w:rPr>
          <w:rFonts w:cs="Segoe UI"/>
          <w:szCs w:val="20"/>
        </w:rPr>
        <w:t>zo zdrojov Modernizačného (384 mil. eur) a Environmentálneho fondu.</w:t>
      </w:r>
      <w:r w:rsidR="004F4118" w:rsidRPr="004F4118">
        <w:rPr>
          <w:rFonts w:cs="Segoe UI"/>
          <w:szCs w:val="20"/>
        </w:rPr>
        <w:t xml:space="preserve"> </w:t>
      </w:r>
    </w:p>
    <w:p w14:paraId="0EFE4B15" w14:textId="77777777" w:rsidR="007C4E07" w:rsidRDefault="00705B40" w:rsidP="00705B40">
      <w:pPr>
        <w:rPr>
          <w:rFonts w:cs="Segoe UI"/>
          <w:szCs w:val="20"/>
        </w:rPr>
      </w:pPr>
      <w:r w:rsidRPr="004F4118">
        <w:rPr>
          <w:rFonts w:cs="Segoe UI"/>
          <w:b/>
          <w:szCs w:val="20"/>
        </w:rPr>
        <w:t xml:space="preserve">V rámci </w:t>
      </w:r>
      <w:r w:rsidR="004A7603" w:rsidRPr="004F4118">
        <w:rPr>
          <w:rFonts w:cs="Segoe UI"/>
          <w:b/>
          <w:szCs w:val="20"/>
        </w:rPr>
        <w:t>E</w:t>
      </w:r>
      <w:r w:rsidRPr="004F4118">
        <w:rPr>
          <w:rFonts w:cs="Segoe UI"/>
          <w:b/>
          <w:szCs w:val="20"/>
        </w:rPr>
        <w:t xml:space="preserve">nvironmentálneho fondu sú výdavky plánované vo výške 296 mil. eur, čo </w:t>
      </w:r>
      <w:r w:rsidR="004A7603" w:rsidRPr="004F4118">
        <w:rPr>
          <w:rFonts w:cs="Segoe UI"/>
          <w:b/>
          <w:szCs w:val="20"/>
        </w:rPr>
        <w:t xml:space="preserve">je </w:t>
      </w:r>
      <w:r w:rsidRPr="004F4118">
        <w:rPr>
          <w:rFonts w:cs="Segoe UI"/>
          <w:b/>
          <w:szCs w:val="20"/>
        </w:rPr>
        <w:t>medziročn</w:t>
      </w:r>
      <w:r w:rsidR="004A7603" w:rsidRPr="004F4118">
        <w:rPr>
          <w:rFonts w:cs="Segoe UI"/>
          <w:b/>
          <w:szCs w:val="20"/>
        </w:rPr>
        <w:t>e viac</w:t>
      </w:r>
      <w:r w:rsidRPr="004F4118">
        <w:rPr>
          <w:rFonts w:cs="Segoe UI"/>
          <w:b/>
          <w:szCs w:val="20"/>
        </w:rPr>
        <w:t xml:space="preserve"> o 22,6 mil. eur.</w:t>
      </w:r>
      <w:r w:rsidRPr="00D671BF">
        <w:rPr>
          <w:rFonts w:cs="Segoe UI"/>
          <w:szCs w:val="20"/>
        </w:rPr>
        <w:t xml:space="preserve"> Toto navýšenie je </w:t>
      </w:r>
      <w:r>
        <w:rPr>
          <w:rFonts w:cs="Segoe UI"/>
          <w:szCs w:val="20"/>
        </w:rPr>
        <w:t xml:space="preserve">výsledkom </w:t>
      </w:r>
      <w:r w:rsidRPr="00D671BF">
        <w:rPr>
          <w:rFonts w:cs="Segoe UI"/>
          <w:szCs w:val="20"/>
        </w:rPr>
        <w:t>schválen</w:t>
      </w:r>
      <w:r>
        <w:rPr>
          <w:rFonts w:cs="Segoe UI"/>
          <w:szCs w:val="20"/>
        </w:rPr>
        <w:t>ej novely</w:t>
      </w:r>
      <w:r w:rsidRPr="00D671BF">
        <w:rPr>
          <w:rFonts w:cs="Segoe UI"/>
          <w:szCs w:val="20"/>
        </w:rPr>
        <w:t xml:space="preserve"> </w:t>
      </w:r>
      <w:r>
        <w:rPr>
          <w:rFonts w:cs="Segoe UI"/>
          <w:szCs w:val="20"/>
        </w:rPr>
        <w:t>zákona</w:t>
      </w:r>
      <w:r w:rsidRPr="00D671BF">
        <w:rPr>
          <w:rFonts w:cs="Segoe UI"/>
          <w:szCs w:val="20"/>
        </w:rPr>
        <w:t xml:space="preserve"> o obchodovaní s emisnými kvótami, ktorá zvýšila </w:t>
      </w:r>
      <w:r>
        <w:rPr>
          <w:rFonts w:cs="Segoe UI"/>
          <w:szCs w:val="20"/>
        </w:rPr>
        <w:t>podiel</w:t>
      </w:r>
      <w:r w:rsidRPr="00D671BF">
        <w:rPr>
          <w:rFonts w:cs="Segoe UI"/>
          <w:szCs w:val="20"/>
        </w:rPr>
        <w:t xml:space="preserve"> výnos</w:t>
      </w:r>
      <w:r>
        <w:rPr>
          <w:rFonts w:cs="Segoe UI"/>
          <w:szCs w:val="20"/>
        </w:rPr>
        <w:t>ov</w:t>
      </w:r>
      <w:r w:rsidRPr="00D671BF">
        <w:rPr>
          <w:rFonts w:cs="Segoe UI"/>
          <w:szCs w:val="20"/>
        </w:rPr>
        <w:t xml:space="preserve"> z predaja emisných kvót na burze zo 40 % na 50 % v roku 2025. </w:t>
      </w:r>
      <w:r w:rsidR="004F4118" w:rsidRPr="00D671BF">
        <w:rPr>
          <w:rFonts w:cs="Segoe UI"/>
          <w:szCs w:val="20"/>
        </w:rPr>
        <w:t>V</w:t>
      </w:r>
      <w:r w:rsidR="004F4118">
        <w:rPr>
          <w:rFonts w:cs="Segoe UI"/>
          <w:szCs w:val="20"/>
        </w:rPr>
        <w:t xml:space="preserve"> období rokov </w:t>
      </w:r>
      <w:r w:rsidR="004F4118" w:rsidRPr="00D671BF">
        <w:rPr>
          <w:rFonts w:cs="Segoe UI"/>
          <w:szCs w:val="20"/>
        </w:rPr>
        <w:t xml:space="preserve">2015 </w:t>
      </w:r>
      <w:r w:rsidR="004F4118">
        <w:rPr>
          <w:rFonts w:cs="Segoe UI"/>
          <w:szCs w:val="20"/>
        </w:rPr>
        <w:t>až</w:t>
      </w:r>
      <w:r w:rsidR="004F4118" w:rsidRPr="00D671BF">
        <w:rPr>
          <w:rFonts w:cs="Segoe UI"/>
          <w:szCs w:val="20"/>
        </w:rPr>
        <w:t xml:space="preserve"> 2022 sa </w:t>
      </w:r>
      <w:r w:rsidR="004F4118">
        <w:rPr>
          <w:rFonts w:cs="Segoe UI"/>
          <w:szCs w:val="20"/>
        </w:rPr>
        <w:t xml:space="preserve">však </w:t>
      </w:r>
      <w:r w:rsidR="004F4118" w:rsidRPr="00D671BF">
        <w:rPr>
          <w:rFonts w:cs="Segoe UI"/>
          <w:szCs w:val="20"/>
        </w:rPr>
        <w:t>na environmentálne opatrenia vynaložilo len 22 % príjmov</w:t>
      </w:r>
      <w:r w:rsidR="004F4118">
        <w:rPr>
          <w:rFonts w:cs="Segoe UI"/>
          <w:szCs w:val="20"/>
        </w:rPr>
        <w:t xml:space="preserve"> fondu</w:t>
      </w:r>
      <w:r w:rsidR="004F4118" w:rsidRPr="00D671BF">
        <w:rPr>
          <w:rFonts w:cs="Segoe UI"/>
          <w:szCs w:val="20"/>
        </w:rPr>
        <w:t>.</w:t>
      </w:r>
      <w:r w:rsidR="004F4118">
        <w:rPr>
          <w:rFonts w:cs="Segoe UI"/>
          <w:szCs w:val="20"/>
        </w:rPr>
        <w:t xml:space="preserve"> </w:t>
      </w:r>
      <w:r w:rsidRPr="00D671BF">
        <w:rPr>
          <w:rFonts w:cs="Segoe UI"/>
          <w:szCs w:val="20"/>
        </w:rPr>
        <w:lastRenderedPageBreak/>
        <w:t xml:space="preserve">Fond </w:t>
      </w:r>
      <w:r>
        <w:rPr>
          <w:rFonts w:cs="Segoe UI"/>
          <w:szCs w:val="20"/>
        </w:rPr>
        <w:t xml:space="preserve">doteraz </w:t>
      </w:r>
      <w:r w:rsidRPr="00D671BF">
        <w:rPr>
          <w:rFonts w:cs="Segoe UI"/>
          <w:szCs w:val="20"/>
        </w:rPr>
        <w:t>financ</w:t>
      </w:r>
      <w:r>
        <w:rPr>
          <w:rFonts w:cs="Segoe UI"/>
          <w:szCs w:val="20"/>
        </w:rPr>
        <w:t>oval</w:t>
      </w:r>
      <w:r w:rsidRPr="00D671BF">
        <w:rPr>
          <w:rFonts w:cs="Segoe UI"/>
          <w:szCs w:val="20"/>
        </w:rPr>
        <w:t xml:space="preserve"> približne 10 % verejných investícií do životného prostredia, predovšetkým </w:t>
      </w:r>
      <w:r>
        <w:rPr>
          <w:rFonts w:cs="Segoe UI"/>
          <w:szCs w:val="20"/>
        </w:rPr>
        <w:t>v oblasti</w:t>
      </w:r>
      <w:r w:rsidRPr="00D671BF">
        <w:rPr>
          <w:rFonts w:cs="Segoe UI"/>
          <w:szCs w:val="20"/>
        </w:rPr>
        <w:t xml:space="preserve"> vodného hospodárstva.</w:t>
      </w:r>
    </w:p>
    <w:p w14:paraId="52138ED8" w14:textId="4FB9339F" w:rsidR="00705B40" w:rsidRPr="007C4E07" w:rsidRDefault="00705B40" w:rsidP="00705B40">
      <w:pPr>
        <w:rPr>
          <w:rFonts w:cs="Segoe UI"/>
          <w:b/>
          <w:szCs w:val="20"/>
        </w:rPr>
      </w:pPr>
      <w:r w:rsidRPr="007C4E07">
        <w:rPr>
          <w:rFonts w:cs="Segoe UI"/>
          <w:b/>
          <w:szCs w:val="20"/>
        </w:rPr>
        <w:t>Prostriedky z EÚ a spolufinancovania vo výške 203 mil. eur sú alokované najmä do vodného hospodárstva, zatiaľ čo 88 mil. eur z POO sa zameriava na zlepšenie energetickej hospodárnosti rodinných domov.</w:t>
      </w:r>
    </w:p>
    <w:p w14:paraId="535BE10A" w14:textId="3B556E09" w:rsidR="00705B40" w:rsidRPr="00396BE6" w:rsidRDefault="00705B40" w:rsidP="00705B40">
      <w:pPr>
        <w:rPr>
          <w:rFonts w:cs="Segoe UI"/>
          <w:szCs w:val="20"/>
        </w:rPr>
      </w:pPr>
      <w:r w:rsidRPr="003169E6">
        <w:rPr>
          <w:rFonts w:cs="Segoe UI"/>
          <w:b/>
          <w:szCs w:val="20"/>
        </w:rPr>
        <w:t>Vzhľadom na dlhodobo neuspokojivú situáciu v oblastiach</w:t>
      </w:r>
      <w:r w:rsidRPr="00823580">
        <w:rPr>
          <w:rFonts w:cs="Segoe UI"/>
          <w:b/>
          <w:szCs w:val="20"/>
        </w:rPr>
        <w:t xml:space="preserve">, akými sú </w:t>
      </w:r>
      <w:r w:rsidRPr="000C6806">
        <w:rPr>
          <w:rFonts w:cs="Segoe UI"/>
          <w:b/>
          <w:szCs w:val="20"/>
        </w:rPr>
        <w:t xml:space="preserve">environmentálne záťaže, odpadové hospodárstvo, ochrana ovzdušia, nízkouhlíkové hospodárstvo a iné, </w:t>
      </w:r>
      <w:r w:rsidRPr="003169E6">
        <w:rPr>
          <w:rFonts w:cs="Segoe UI"/>
          <w:b/>
          <w:szCs w:val="20"/>
        </w:rPr>
        <w:t>rozpočtované prostriedky na rok 2025</w:t>
      </w:r>
      <w:r w:rsidRPr="000C6806">
        <w:rPr>
          <w:rFonts w:cs="Segoe UI"/>
          <w:b/>
          <w:szCs w:val="20"/>
        </w:rPr>
        <w:t xml:space="preserve"> nedokážu pokryť </w:t>
      </w:r>
      <w:r w:rsidRPr="003169E6">
        <w:rPr>
          <w:rFonts w:cs="Segoe UI"/>
          <w:b/>
          <w:szCs w:val="20"/>
        </w:rPr>
        <w:t>nevyhnutn</w:t>
      </w:r>
      <w:r w:rsidRPr="00823580">
        <w:rPr>
          <w:rFonts w:cs="Segoe UI"/>
          <w:b/>
          <w:szCs w:val="20"/>
        </w:rPr>
        <w:t>é úlohy</w:t>
      </w:r>
      <w:r w:rsidRPr="00222BC4">
        <w:rPr>
          <w:rFonts w:cs="Segoe UI"/>
          <w:b/>
          <w:szCs w:val="20"/>
        </w:rPr>
        <w:t xml:space="preserve"> rezort</w:t>
      </w:r>
      <w:r w:rsidRPr="00A17A20">
        <w:rPr>
          <w:rFonts w:cs="Segoe UI"/>
          <w:b/>
          <w:szCs w:val="20"/>
        </w:rPr>
        <w:t>u</w:t>
      </w:r>
      <w:r>
        <w:rPr>
          <w:rFonts w:cs="Segoe UI"/>
          <w:b/>
          <w:szCs w:val="20"/>
        </w:rPr>
        <w:t xml:space="preserve">. </w:t>
      </w:r>
      <w:r w:rsidRPr="000C6806">
        <w:rPr>
          <w:rFonts w:cs="Segoe UI"/>
          <w:szCs w:val="20"/>
        </w:rPr>
        <w:t>Tieto finančné limity zároveň</w:t>
      </w:r>
      <w:r w:rsidRPr="003169E6">
        <w:rPr>
          <w:rFonts w:cs="Segoe UI"/>
          <w:szCs w:val="20"/>
        </w:rPr>
        <w:t xml:space="preserve"> </w:t>
      </w:r>
      <w:r w:rsidRPr="000C6806">
        <w:rPr>
          <w:rFonts w:cs="Segoe UI"/>
          <w:szCs w:val="20"/>
        </w:rPr>
        <w:t xml:space="preserve">nezohľadňujú </w:t>
      </w:r>
      <w:r>
        <w:rPr>
          <w:rFonts w:cs="Segoe UI"/>
          <w:szCs w:val="20"/>
        </w:rPr>
        <w:t xml:space="preserve">záväzky SR voči EÚ ani </w:t>
      </w:r>
      <w:r w:rsidRPr="000C6806">
        <w:rPr>
          <w:rFonts w:cs="Segoe UI"/>
          <w:szCs w:val="20"/>
        </w:rPr>
        <w:t>legislatív</w:t>
      </w:r>
      <w:r>
        <w:rPr>
          <w:rFonts w:cs="Segoe UI"/>
          <w:szCs w:val="20"/>
        </w:rPr>
        <w:t>ne požiadavky na národnej úrovni.</w:t>
      </w:r>
      <w:r w:rsidRPr="00CE5725">
        <w:rPr>
          <w:rFonts w:cs="Segoe UI"/>
          <w:szCs w:val="20"/>
        </w:rPr>
        <w:t xml:space="preserve"> </w:t>
      </w:r>
      <w:r>
        <w:rPr>
          <w:rFonts w:cs="Segoe UI"/>
          <w:szCs w:val="20"/>
        </w:rPr>
        <w:t>P</w:t>
      </w:r>
      <w:r w:rsidRPr="00CE5725">
        <w:rPr>
          <w:rFonts w:cs="Segoe UI"/>
          <w:szCs w:val="20"/>
        </w:rPr>
        <w:t>lnenie základných  cieľov Envirostratégie 2030 a Agendy 2030</w:t>
      </w:r>
      <w:r>
        <w:rPr>
          <w:rFonts w:cs="Segoe UI"/>
          <w:szCs w:val="20"/>
        </w:rPr>
        <w:t xml:space="preserve"> tak bude značne problematické</w:t>
      </w:r>
      <w:r w:rsidRPr="00CE5725">
        <w:rPr>
          <w:rFonts w:cs="Segoe UI"/>
          <w:szCs w:val="20"/>
        </w:rPr>
        <w:t>.</w:t>
      </w:r>
    </w:p>
    <w:p w14:paraId="06D51E0B" w14:textId="20E97EF1" w:rsidR="00705B40" w:rsidRPr="00396BE6" w:rsidRDefault="00705B40" w:rsidP="00705B40">
      <w:pPr>
        <w:pStyle w:val="Nadpis3"/>
      </w:pPr>
      <w:r>
        <w:t xml:space="preserve"> </w:t>
      </w:r>
      <w:bookmarkStart w:id="56" w:name="_Toc181959245"/>
      <w:bookmarkStart w:id="57" w:name="_Toc182559204"/>
      <w:r>
        <w:t>Nedostatočná</w:t>
      </w:r>
      <w:r w:rsidRPr="00A91A71">
        <w:t xml:space="preserve"> </w:t>
      </w:r>
      <w:r w:rsidR="001B3311">
        <w:t xml:space="preserve">výstavba </w:t>
      </w:r>
      <w:r>
        <w:t>verejn</w:t>
      </w:r>
      <w:r w:rsidR="00891069">
        <w:t>ej</w:t>
      </w:r>
      <w:r>
        <w:t xml:space="preserve"> kanalizáci</w:t>
      </w:r>
      <w:r w:rsidR="00891069">
        <w:t>e</w:t>
      </w:r>
      <w:r>
        <w:t xml:space="preserve"> </w:t>
      </w:r>
      <w:r w:rsidRPr="00396BE6">
        <w:t>a</w:t>
      </w:r>
      <w:r>
        <w:t> riziko nízkej efektivity ochrany</w:t>
      </w:r>
      <w:r w:rsidRPr="00396BE6">
        <w:t xml:space="preserve"> prírod</w:t>
      </w:r>
      <w:r w:rsidR="00891069">
        <w:t>y</w:t>
      </w:r>
      <w:bookmarkEnd w:id="56"/>
      <w:bookmarkEnd w:id="57"/>
    </w:p>
    <w:p w14:paraId="38EE4491" w14:textId="19504875" w:rsidR="00705B40" w:rsidRDefault="00272915" w:rsidP="00705B40">
      <w:pPr>
        <w:spacing w:before="97"/>
        <w:ind w:right="3"/>
        <w:rPr>
          <w:rFonts w:cs="Segoe UI"/>
          <w:szCs w:val="20"/>
        </w:rPr>
      </w:pPr>
      <w:r>
        <w:rPr>
          <w:rFonts w:cs="Segoe UI"/>
          <w:b/>
          <w:szCs w:val="20"/>
        </w:rPr>
        <w:t>V súčasnosti</w:t>
      </w:r>
      <w:r w:rsidR="00705B40">
        <w:rPr>
          <w:rFonts w:cs="Segoe UI"/>
          <w:b/>
          <w:szCs w:val="20"/>
        </w:rPr>
        <w:t xml:space="preserve"> nie je na sy</w:t>
      </w:r>
      <w:r>
        <w:rPr>
          <w:rFonts w:cs="Segoe UI"/>
          <w:b/>
          <w:szCs w:val="20"/>
        </w:rPr>
        <w:t>s</w:t>
      </w:r>
      <w:r w:rsidR="00705B40">
        <w:rPr>
          <w:rFonts w:cs="Segoe UI"/>
          <w:b/>
          <w:szCs w:val="20"/>
        </w:rPr>
        <w:t xml:space="preserve">tém verejnej kanalizácie </w:t>
      </w:r>
      <w:r>
        <w:rPr>
          <w:rFonts w:cs="Segoe UI"/>
          <w:b/>
          <w:szCs w:val="20"/>
        </w:rPr>
        <w:t xml:space="preserve">v SR </w:t>
      </w:r>
      <w:r w:rsidR="00705B40">
        <w:rPr>
          <w:rFonts w:cs="Segoe UI"/>
          <w:b/>
          <w:szCs w:val="20"/>
        </w:rPr>
        <w:t xml:space="preserve">pripojených približne </w:t>
      </w:r>
      <w:r w:rsidR="00705B40" w:rsidRPr="00254724">
        <w:rPr>
          <w:rFonts w:cs="Segoe UI"/>
          <w:b/>
          <w:szCs w:val="20"/>
        </w:rPr>
        <w:t>1,5 mil</w:t>
      </w:r>
      <w:r>
        <w:rPr>
          <w:rFonts w:cs="Segoe UI"/>
          <w:b/>
          <w:szCs w:val="20"/>
        </w:rPr>
        <w:t>.</w:t>
      </w:r>
      <w:r w:rsidR="00705B40" w:rsidRPr="00254724">
        <w:rPr>
          <w:rFonts w:cs="Segoe UI"/>
          <w:b/>
          <w:szCs w:val="20"/>
        </w:rPr>
        <w:t xml:space="preserve"> </w:t>
      </w:r>
      <w:r>
        <w:rPr>
          <w:rFonts w:cs="Segoe UI"/>
          <w:b/>
          <w:szCs w:val="20"/>
        </w:rPr>
        <w:t>obyvateľov</w:t>
      </w:r>
      <w:r w:rsidR="00705B40" w:rsidRPr="00254724">
        <w:rPr>
          <w:rFonts w:cs="Segoe UI"/>
          <w:b/>
          <w:szCs w:val="20"/>
        </w:rPr>
        <w:t xml:space="preserve">, </w:t>
      </w:r>
      <w:r w:rsidR="00705B40">
        <w:rPr>
          <w:rFonts w:cs="Segoe UI"/>
          <w:b/>
          <w:szCs w:val="20"/>
        </w:rPr>
        <w:t xml:space="preserve">pričom </w:t>
      </w:r>
      <w:r w:rsidR="00705B40" w:rsidRPr="00254724">
        <w:rPr>
          <w:rFonts w:cs="Segoe UI"/>
          <w:b/>
          <w:szCs w:val="20"/>
        </w:rPr>
        <w:t>pripojen</w:t>
      </w:r>
      <w:r w:rsidR="00705B40">
        <w:rPr>
          <w:rFonts w:cs="Segoe UI"/>
          <w:b/>
          <w:szCs w:val="20"/>
        </w:rPr>
        <w:t xml:space="preserve">ie má </w:t>
      </w:r>
      <w:r w:rsidR="00705B40" w:rsidRPr="00254724">
        <w:rPr>
          <w:rFonts w:cs="Segoe UI"/>
          <w:b/>
          <w:szCs w:val="20"/>
        </w:rPr>
        <w:t xml:space="preserve">71 % </w:t>
      </w:r>
      <w:r>
        <w:rPr>
          <w:rFonts w:cs="Segoe UI"/>
          <w:b/>
          <w:szCs w:val="20"/>
        </w:rPr>
        <w:t>populácie</w:t>
      </w:r>
      <w:r w:rsidR="00705B40" w:rsidRPr="000C6806">
        <w:rPr>
          <w:rFonts w:cs="Segoe UI"/>
          <w:b/>
          <w:szCs w:val="20"/>
        </w:rPr>
        <w:t>, čo je</w:t>
      </w:r>
      <w:r w:rsidR="00705B40" w:rsidRPr="00254724">
        <w:rPr>
          <w:rFonts w:cs="Segoe UI"/>
          <w:b/>
          <w:szCs w:val="20"/>
        </w:rPr>
        <w:t xml:space="preserve"> </w:t>
      </w:r>
      <w:r w:rsidR="009A5DA2">
        <w:rPr>
          <w:rFonts w:cs="Segoe UI"/>
          <w:b/>
          <w:szCs w:val="20"/>
        </w:rPr>
        <w:t>pod</w:t>
      </w:r>
      <w:r w:rsidR="00705B40">
        <w:rPr>
          <w:rFonts w:cs="Segoe UI"/>
          <w:b/>
          <w:szCs w:val="20"/>
        </w:rPr>
        <w:t xml:space="preserve"> priemer</w:t>
      </w:r>
      <w:r w:rsidR="009A5DA2">
        <w:rPr>
          <w:rFonts w:cs="Segoe UI"/>
          <w:b/>
          <w:szCs w:val="20"/>
        </w:rPr>
        <w:t>om</w:t>
      </w:r>
      <w:r w:rsidR="00705B40" w:rsidRPr="00254724">
        <w:rPr>
          <w:rFonts w:cs="Segoe UI"/>
          <w:b/>
          <w:szCs w:val="20"/>
        </w:rPr>
        <w:t xml:space="preserve"> EÚ</w:t>
      </w:r>
      <w:r w:rsidR="009A5DA2">
        <w:rPr>
          <w:rFonts w:cs="Segoe UI"/>
          <w:b/>
          <w:szCs w:val="20"/>
        </w:rPr>
        <w:t xml:space="preserve"> </w:t>
      </w:r>
      <w:r w:rsidR="009A5DA2" w:rsidRPr="00272915">
        <w:rPr>
          <w:rFonts w:cs="Segoe UI"/>
          <w:szCs w:val="20"/>
        </w:rPr>
        <w:t>(graf 3</w:t>
      </w:r>
      <w:r w:rsidR="00794092">
        <w:rPr>
          <w:rFonts w:cs="Segoe UI"/>
          <w:szCs w:val="20"/>
        </w:rPr>
        <w:t>5</w:t>
      </w:r>
      <w:r w:rsidR="009A5DA2" w:rsidRPr="00272915">
        <w:rPr>
          <w:rFonts w:cs="Segoe UI"/>
          <w:szCs w:val="20"/>
        </w:rPr>
        <w:t>)</w:t>
      </w:r>
      <w:r w:rsidR="009A5DA2">
        <w:rPr>
          <w:rFonts w:cs="Segoe UI"/>
          <w:szCs w:val="20"/>
        </w:rPr>
        <w:t>.</w:t>
      </w:r>
      <w:r w:rsidR="00705B40" w:rsidRPr="00254724">
        <w:rPr>
          <w:rFonts w:cs="Segoe UI"/>
          <w:szCs w:val="20"/>
        </w:rPr>
        <w:t xml:space="preserve"> </w:t>
      </w:r>
      <w:r w:rsidR="009A5DA2">
        <w:rPr>
          <w:rFonts w:cs="Segoe UI"/>
          <w:szCs w:val="20"/>
        </w:rPr>
        <w:t>V rámci</w:t>
      </w:r>
      <w:r w:rsidR="00705B40" w:rsidRPr="000C6806">
        <w:rPr>
          <w:rFonts w:cs="Segoe UI"/>
          <w:szCs w:val="20"/>
        </w:rPr>
        <w:t xml:space="preserve"> krajín V4 </w:t>
      </w:r>
      <w:r w:rsidR="009A5DA2">
        <w:rPr>
          <w:rFonts w:cs="Segoe UI"/>
          <w:szCs w:val="20"/>
        </w:rPr>
        <w:t>je</w:t>
      </w:r>
      <w:r w:rsidR="00705B40" w:rsidRPr="000C6806">
        <w:rPr>
          <w:rFonts w:cs="Segoe UI"/>
          <w:szCs w:val="20"/>
        </w:rPr>
        <w:t xml:space="preserve"> S</w:t>
      </w:r>
      <w:r w:rsidR="009A5DA2">
        <w:rPr>
          <w:rFonts w:cs="Segoe UI"/>
          <w:szCs w:val="20"/>
        </w:rPr>
        <w:t>R</w:t>
      </w:r>
      <w:r w:rsidR="00705B40" w:rsidRPr="000C6806">
        <w:rPr>
          <w:rFonts w:cs="Segoe UI"/>
          <w:szCs w:val="20"/>
        </w:rPr>
        <w:t xml:space="preserve"> na poslednom mieste. Od roku 2002 sa dĺžka kanalizačnej siete zvýšila zo 6</w:t>
      </w:r>
      <w:r w:rsidR="009A5DA2">
        <w:rPr>
          <w:rFonts w:cs="Segoe UI"/>
          <w:szCs w:val="20"/>
        </w:rPr>
        <w:t xml:space="preserve"> </w:t>
      </w:r>
      <w:r w:rsidR="00705B40" w:rsidRPr="000C6806">
        <w:rPr>
          <w:rFonts w:cs="Segoe UI"/>
          <w:szCs w:val="20"/>
        </w:rPr>
        <w:t xml:space="preserve">500 km na </w:t>
      </w:r>
      <w:r w:rsidR="00705B40">
        <w:rPr>
          <w:rFonts w:cs="Segoe UI"/>
          <w:szCs w:val="20"/>
        </w:rPr>
        <w:t>súčasných</w:t>
      </w:r>
      <w:r w:rsidR="00705B40" w:rsidRPr="000C6806">
        <w:rPr>
          <w:rFonts w:cs="Segoe UI"/>
          <w:szCs w:val="20"/>
        </w:rPr>
        <w:t xml:space="preserve"> 15 500 km</w:t>
      </w:r>
      <w:r w:rsidR="00705B40">
        <w:rPr>
          <w:rFonts w:cs="Segoe UI"/>
          <w:szCs w:val="20"/>
        </w:rPr>
        <w:t>, no</w:t>
      </w:r>
      <w:r w:rsidR="00705B40" w:rsidRPr="000C6806">
        <w:rPr>
          <w:rFonts w:cs="Segoe UI"/>
          <w:szCs w:val="20"/>
        </w:rPr>
        <w:t xml:space="preserve"> </w:t>
      </w:r>
      <w:r w:rsidR="00705B40">
        <w:rPr>
          <w:rFonts w:cs="Segoe UI"/>
          <w:szCs w:val="20"/>
        </w:rPr>
        <w:t>p</w:t>
      </w:r>
      <w:r w:rsidR="00705B40" w:rsidRPr="000C6806">
        <w:rPr>
          <w:rFonts w:cs="Segoe UI"/>
          <w:szCs w:val="20"/>
        </w:rPr>
        <w:t xml:space="preserve">ri tomto tempe by mohla byť SR úplne odkanalizovaná </w:t>
      </w:r>
      <w:r w:rsidR="00705B40">
        <w:rPr>
          <w:rFonts w:cs="Segoe UI"/>
          <w:szCs w:val="20"/>
        </w:rPr>
        <w:t xml:space="preserve">až </w:t>
      </w:r>
      <w:r w:rsidR="00705B40" w:rsidRPr="000C6806">
        <w:rPr>
          <w:rFonts w:cs="Segoe UI"/>
          <w:szCs w:val="20"/>
        </w:rPr>
        <w:t>v rokoch 2050 – 2060</w:t>
      </w:r>
      <w:r w:rsidR="00705B40" w:rsidRPr="000C6806">
        <w:rPr>
          <w:rStyle w:val="Odkaznapoznmkupodiarou"/>
          <w:rFonts w:cs="Segoe UI"/>
          <w:szCs w:val="20"/>
        </w:rPr>
        <w:footnoteReference w:id="110"/>
      </w:r>
      <w:r w:rsidR="00705B40" w:rsidRPr="000C6806">
        <w:rPr>
          <w:rFonts w:cs="Segoe UI"/>
          <w:szCs w:val="20"/>
        </w:rPr>
        <w:t>.</w:t>
      </w:r>
      <w:r w:rsidR="00705B40" w:rsidRPr="00823580">
        <w:rPr>
          <w:rFonts w:cs="Segoe UI"/>
          <w:szCs w:val="20"/>
        </w:rPr>
        <w:t xml:space="preserve"> </w:t>
      </w:r>
      <w:r w:rsidR="00705B40" w:rsidRPr="00254724">
        <w:rPr>
          <w:rFonts w:cs="Segoe UI"/>
          <w:szCs w:val="20"/>
        </w:rPr>
        <w:t xml:space="preserve"> </w:t>
      </w:r>
    </w:p>
    <w:p w14:paraId="2C52644F" w14:textId="0E0F1EF5" w:rsidR="009A5DA2" w:rsidRPr="00BC3CA3" w:rsidRDefault="009A5DA2" w:rsidP="009A5DA2">
      <w:pPr>
        <w:pStyle w:val="Popis"/>
        <w:keepNext/>
        <w:rPr>
          <w:color w:val="314364"/>
        </w:rPr>
      </w:pPr>
      <w:r>
        <w:rPr>
          <w:color w:val="314364"/>
        </w:rPr>
        <w:t>Graf 3</w:t>
      </w:r>
      <w:r w:rsidR="00794092">
        <w:rPr>
          <w:color w:val="314364"/>
        </w:rPr>
        <w:t>5</w:t>
      </w:r>
      <w:r>
        <w:rPr>
          <w:color w:val="314364"/>
        </w:rPr>
        <w:t>: Miera pripojenia obyvateľov na kanalizáciu v krajinách EÚ v roku 2022 (v %)</w:t>
      </w:r>
    </w:p>
    <w:tbl>
      <w:tblPr>
        <w:tblStyle w:val="Mriekatabuky"/>
        <w:tblW w:w="9071" w:type="dxa"/>
        <w:tblLook w:val="04A0" w:firstRow="1" w:lastRow="0" w:firstColumn="1" w:lastColumn="0" w:noHBand="0" w:noVBand="1"/>
      </w:tblPr>
      <w:tblGrid>
        <w:gridCol w:w="9071"/>
      </w:tblGrid>
      <w:tr w:rsidR="009A5DA2" w14:paraId="59C3B38B" w14:textId="77777777" w:rsidTr="00B571E8">
        <w:trPr>
          <w:trHeight w:val="3118"/>
        </w:trPr>
        <w:tc>
          <w:tcPr>
            <w:tcW w:w="9071" w:type="dxa"/>
            <w:tcBorders>
              <w:top w:val="single" w:sz="4" w:space="0" w:color="314364" w:themeColor="text2"/>
              <w:left w:val="nil"/>
              <w:bottom w:val="single" w:sz="4" w:space="0" w:color="314364" w:themeColor="text2"/>
              <w:right w:val="nil"/>
            </w:tcBorders>
          </w:tcPr>
          <w:p w14:paraId="6FDF04AF" w14:textId="77777777" w:rsidR="009A5DA2" w:rsidRDefault="009A5DA2" w:rsidP="00B571E8">
            <w:pPr>
              <w:spacing w:after="0"/>
              <w:ind w:right="3"/>
              <w:rPr>
                <w:rFonts w:cs="Segoe UI"/>
                <w:szCs w:val="20"/>
              </w:rPr>
            </w:pPr>
            <w:r>
              <w:rPr>
                <w:noProof/>
                <w:lang w:eastAsia="sk-SK"/>
              </w:rPr>
              <w:drawing>
                <wp:inline distT="0" distB="0" distL="0" distR="0" wp14:anchorId="7D6AC2B3" wp14:editId="03BC381B">
                  <wp:extent cx="5619750" cy="1943100"/>
                  <wp:effectExtent l="0" t="0" r="0" b="0"/>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bl>
    <w:p w14:paraId="43CBD302" w14:textId="5554073C" w:rsidR="009A5DA2" w:rsidRPr="002E5B13" w:rsidRDefault="009A5DA2" w:rsidP="009A5DA2">
      <w:pPr>
        <w:rPr>
          <w:i/>
          <w:color w:val="314364" w:themeColor="text2"/>
          <w:sz w:val="16"/>
        </w:rPr>
      </w:pPr>
      <w:r w:rsidRPr="00441AF4">
        <w:rPr>
          <w:i/>
          <w:color w:val="314364" w:themeColor="text2"/>
          <w:sz w:val="16"/>
        </w:rPr>
        <w:t>Zdroj:</w:t>
      </w:r>
      <w:r>
        <w:rPr>
          <w:i/>
          <w:color w:val="314364" w:themeColor="text2"/>
          <w:sz w:val="16"/>
        </w:rPr>
        <w:t xml:space="preserve"> Eurostat</w:t>
      </w:r>
      <w:r w:rsidR="00B5522E">
        <w:rPr>
          <w:i/>
          <w:color w:val="314364" w:themeColor="text2"/>
          <w:sz w:val="16"/>
        </w:rPr>
        <w:t>.</w:t>
      </w:r>
      <w:r>
        <w:rPr>
          <w:i/>
          <w:color w:val="314364" w:themeColor="text2"/>
          <w:sz w:val="16"/>
        </w:rPr>
        <w:t xml:space="preserve">  </w:t>
      </w:r>
      <w:r w:rsidRPr="002E5B13">
        <w:rPr>
          <w:i/>
          <w:color w:val="314364" w:themeColor="text2"/>
          <w:sz w:val="16"/>
        </w:rPr>
        <w:t>*</w:t>
      </w:r>
      <w:r w:rsidR="00B5522E">
        <w:rPr>
          <w:i/>
          <w:color w:val="314364" w:themeColor="text2"/>
          <w:sz w:val="16"/>
        </w:rPr>
        <w:t xml:space="preserve"> P</w:t>
      </w:r>
      <w:r w:rsidRPr="002E5B13">
        <w:rPr>
          <w:i/>
          <w:color w:val="314364" w:themeColor="text2"/>
          <w:sz w:val="16"/>
        </w:rPr>
        <w:t>osledné dostupné údaje</w:t>
      </w:r>
      <w:r w:rsidR="00B5522E">
        <w:rPr>
          <w:i/>
          <w:color w:val="314364" w:themeColor="text2"/>
          <w:sz w:val="16"/>
        </w:rPr>
        <w:t>.</w:t>
      </w:r>
    </w:p>
    <w:p w14:paraId="27C94DD6" w14:textId="590957E9" w:rsidR="00705B40" w:rsidRDefault="00705B40" w:rsidP="00705B40">
      <w:pPr>
        <w:spacing w:before="97"/>
        <w:ind w:right="3"/>
        <w:rPr>
          <w:rFonts w:cs="Segoe UI"/>
          <w:szCs w:val="20"/>
        </w:rPr>
      </w:pPr>
      <w:r w:rsidRPr="000C6806">
        <w:rPr>
          <w:rFonts w:cs="Segoe UI"/>
          <w:b/>
          <w:szCs w:val="20"/>
        </w:rPr>
        <w:t>Napriek záväzkom smernic</w:t>
      </w:r>
      <w:r w:rsidR="00272915">
        <w:rPr>
          <w:rFonts w:cs="Segoe UI"/>
          <w:b/>
          <w:szCs w:val="20"/>
        </w:rPr>
        <w:t>e</w:t>
      </w:r>
      <w:r w:rsidRPr="000C6806">
        <w:rPr>
          <w:rFonts w:cs="Segoe UI"/>
          <w:b/>
          <w:szCs w:val="20"/>
        </w:rPr>
        <w:t xml:space="preserve"> EK o čistení komunálnych odpadových vôd, ktorá vyžad</w:t>
      </w:r>
      <w:r w:rsidR="009A5DA2">
        <w:rPr>
          <w:rFonts w:cs="Segoe UI"/>
          <w:b/>
          <w:szCs w:val="20"/>
        </w:rPr>
        <w:t>ovala</w:t>
      </w:r>
      <w:r w:rsidRPr="000C6806">
        <w:rPr>
          <w:rFonts w:cs="Segoe UI"/>
          <w:b/>
          <w:szCs w:val="20"/>
        </w:rPr>
        <w:t xml:space="preserve"> pripojenie aglomerácií nad 2 000 ekvivalentných obyvateľov do roku 2015, v roku 2022 dosiahl</w:t>
      </w:r>
      <w:r w:rsidR="009A5DA2">
        <w:rPr>
          <w:rFonts w:cs="Segoe UI"/>
          <w:b/>
          <w:szCs w:val="20"/>
        </w:rPr>
        <w:t>o</w:t>
      </w:r>
      <w:r w:rsidRPr="000C6806">
        <w:rPr>
          <w:rFonts w:cs="Segoe UI"/>
          <w:b/>
          <w:szCs w:val="20"/>
        </w:rPr>
        <w:t xml:space="preserve"> hranicu pripojenia 98 % EO iba 53 z celkových 356 aglomerácií</w:t>
      </w:r>
      <w:r w:rsidR="009A5DA2">
        <w:rPr>
          <w:rFonts w:cs="Segoe UI"/>
          <w:b/>
          <w:szCs w:val="20"/>
        </w:rPr>
        <w:t xml:space="preserve"> v SR</w:t>
      </w:r>
      <w:r w:rsidRPr="000C6806">
        <w:rPr>
          <w:rFonts w:cs="Segoe UI"/>
          <w:b/>
          <w:szCs w:val="20"/>
        </w:rPr>
        <w:t>.</w:t>
      </w:r>
      <w:r w:rsidRPr="00254724">
        <w:rPr>
          <w:rFonts w:cs="Segoe UI"/>
          <w:szCs w:val="20"/>
        </w:rPr>
        <w:t xml:space="preserve"> </w:t>
      </w:r>
      <w:r>
        <w:rPr>
          <w:rFonts w:cs="Segoe UI"/>
          <w:szCs w:val="20"/>
        </w:rPr>
        <w:t xml:space="preserve">Tento stav ohrozuje SR sankciami v desiatkach miliónov eur, ktoré môžu byť uvalené medzi rokmi 2030 – 2035, ak sa problém nevyrieši. Navyše, pripravovaná smernica rozšíri povinnosť </w:t>
      </w:r>
      <w:r w:rsidR="00AB6FD9">
        <w:rPr>
          <w:rFonts w:cs="Segoe UI"/>
          <w:szCs w:val="20"/>
        </w:rPr>
        <w:t xml:space="preserve">odkanalizovať </w:t>
      </w:r>
      <w:r>
        <w:rPr>
          <w:rFonts w:cs="Segoe UI"/>
          <w:szCs w:val="20"/>
        </w:rPr>
        <w:t xml:space="preserve">aglomerácie </w:t>
      </w:r>
      <w:r w:rsidR="00AB6FD9">
        <w:rPr>
          <w:rFonts w:cs="Segoe UI"/>
          <w:szCs w:val="20"/>
        </w:rPr>
        <w:t>už o</w:t>
      </w:r>
      <w:r>
        <w:rPr>
          <w:rFonts w:cs="Segoe UI"/>
          <w:szCs w:val="20"/>
        </w:rPr>
        <w:t xml:space="preserve">d 1 000 </w:t>
      </w:r>
      <w:r w:rsidR="0083753F">
        <w:rPr>
          <w:rFonts w:cs="Segoe UI"/>
          <w:szCs w:val="20"/>
        </w:rPr>
        <w:t>ekvivalentných obyvateľov</w:t>
      </w:r>
      <w:r>
        <w:rPr>
          <w:rFonts w:cs="Segoe UI"/>
          <w:szCs w:val="20"/>
        </w:rPr>
        <w:t>.</w:t>
      </w:r>
    </w:p>
    <w:p w14:paraId="70BBD871" w14:textId="4616DDC6" w:rsidR="00705B40" w:rsidRDefault="00705B40" w:rsidP="00705B40">
      <w:pPr>
        <w:spacing w:before="97"/>
        <w:ind w:right="3"/>
        <w:rPr>
          <w:rFonts w:cs="Segoe UI"/>
          <w:szCs w:val="20"/>
        </w:rPr>
      </w:pPr>
      <w:r w:rsidRPr="000C6806">
        <w:rPr>
          <w:rFonts w:cs="Segoe UI"/>
          <w:b/>
          <w:szCs w:val="20"/>
        </w:rPr>
        <w:t>Národný program pre implementáciu smernice 91/271/EHS o čist</w:t>
      </w:r>
      <w:r w:rsidR="009A5DA2">
        <w:rPr>
          <w:rFonts w:cs="Segoe UI"/>
          <w:b/>
          <w:szCs w:val="20"/>
        </w:rPr>
        <w:t>ení komunálnych odpadových vôd je orientovaný predovšetkým na</w:t>
      </w:r>
      <w:r w:rsidRPr="000C6806">
        <w:rPr>
          <w:rFonts w:cs="Segoe UI"/>
          <w:b/>
          <w:szCs w:val="20"/>
        </w:rPr>
        <w:t xml:space="preserve"> finančné prostriedky EÚ, no takmer polovica jej investičných potrieb </w:t>
      </w:r>
      <w:r w:rsidRPr="009A5DA2">
        <w:rPr>
          <w:rFonts w:cs="Segoe UI"/>
          <w:szCs w:val="20"/>
        </w:rPr>
        <w:t>(1,6 mld. eur do roku 2027)</w:t>
      </w:r>
      <w:r w:rsidRPr="000C6806">
        <w:rPr>
          <w:rFonts w:cs="Segoe UI"/>
          <w:b/>
          <w:szCs w:val="20"/>
        </w:rPr>
        <w:t xml:space="preserve"> stále nemá pokryté financovanie.</w:t>
      </w:r>
      <w:r w:rsidRPr="00254724">
        <w:rPr>
          <w:rFonts w:cs="Segoe UI"/>
          <w:szCs w:val="20"/>
        </w:rPr>
        <w:t xml:space="preserve"> </w:t>
      </w:r>
      <w:r w:rsidR="00A3462A">
        <w:rPr>
          <w:rFonts w:cs="Segoe UI"/>
          <w:szCs w:val="20"/>
        </w:rPr>
        <w:t>Poplatky</w:t>
      </w:r>
      <w:r w:rsidRPr="00254724">
        <w:rPr>
          <w:rFonts w:cs="Segoe UI"/>
          <w:szCs w:val="20"/>
        </w:rPr>
        <w:t xml:space="preserve"> za vodohospodárske služby</w:t>
      </w:r>
      <w:r>
        <w:rPr>
          <w:rFonts w:cs="Segoe UI"/>
          <w:szCs w:val="20"/>
        </w:rPr>
        <w:t>,</w:t>
      </w:r>
      <w:r w:rsidRPr="00254724">
        <w:rPr>
          <w:rFonts w:cs="Segoe UI"/>
          <w:szCs w:val="20"/>
        </w:rPr>
        <w:t xml:space="preserve"> najmä v prípade malých obcí</w:t>
      </w:r>
      <w:r>
        <w:rPr>
          <w:rFonts w:cs="Segoe UI"/>
          <w:szCs w:val="20"/>
        </w:rPr>
        <w:t>,</w:t>
      </w:r>
      <w:r w:rsidRPr="00254724">
        <w:rPr>
          <w:rFonts w:cs="Segoe UI"/>
          <w:szCs w:val="20"/>
        </w:rPr>
        <w:t xml:space="preserve"> sú príliš nízke na pokry</w:t>
      </w:r>
      <w:r>
        <w:rPr>
          <w:rFonts w:cs="Segoe UI"/>
          <w:szCs w:val="20"/>
        </w:rPr>
        <w:t>tie</w:t>
      </w:r>
      <w:r w:rsidRPr="00254724">
        <w:rPr>
          <w:rFonts w:cs="Segoe UI"/>
          <w:szCs w:val="20"/>
        </w:rPr>
        <w:t xml:space="preserve"> náklad</w:t>
      </w:r>
      <w:r>
        <w:rPr>
          <w:rFonts w:cs="Segoe UI"/>
          <w:szCs w:val="20"/>
        </w:rPr>
        <w:t>ov</w:t>
      </w:r>
      <w:r w:rsidRPr="00254724">
        <w:rPr>
          <w:rFonts w:cs="Segoe UI"/>
          <w:szCs w:val="20"/>
        </w:rPr>
        <w:t xml:space="preserve"> na ich poskytovanie. </w:t>
      </w:r>
      <w:r>
        <w:rPr>
          <w:rFonts w:cs="Segoe UI"/>
          <w:szCs w:val="20"/>
        </w:rPr>
        <w:t>V</w:t>
      </w:r>
      <w:r w:rsidRPr="00254724">
        <w:rPr>
          <w:rFonts w:cs="Segoe UI"/>
          <w:szCs w:val="20"/>
        </w:rPr>
        <w:t>ýstavb</w:t>
      </w:r>
      <w:r>
        <w:rPr>
          <w:rFonts w:cs="Segoe UI"/>
          <w:szCs w:val="20"/>
        </w:rPr>
        <w:t>a a údržba</w:t>
      </w:r>
      <w:r w:rsidRPr="00254724">
        <w:rPr>
          <w:rFonts w:cs="Segoe UI"/>
          <w:szCs w:val="20"/>
        </w:rPr>
        <w:t xml:space="preserve"> </w:t>
      </w:r>
      <w:r>
        <w:rPr>
          <w:rFonts w:cs="Segoe UI"/>
          <w:szCs w:val="20"/>
        </w:rPr>
        <w:t xml:space="preserve">kanalizačnej siete je </w:t>
      </w:r>
      <w:r w:rsidRPr="00254724">
        <w:rPr>
          <w:rFonts w:cs="Segoe UI"/>
          <w:szCs w:val="20"/>
        </w:rPr>
        <w:t>investíciou vo verejnom záujme</w:t>
      </w:r>
      <w:r>
        <w:rPr>
          <w:rFonts w:cs="Segoe UI"/>
          <w:szCs w:val="20"/>
        </w:rPr>
        <w:t>, keďže</w:t>
      </w:r>
      <w:r w:rsidRPr="00254724">
        <w:rPr>
          <w:rFonts w:cs="Segoe UI"/>
          <w:szCs w:val="20"/>
        </w:rPr>
        <w:t xml:space="preserve"> komunálne odpadové vody</w:t>
      </w:r>
      <w:r>
        <w:rPr>
          <w:rFonts w:cs="Segoe UI"/>
          <w:szCs w:val="20"/>
        </w:rPr>
        <w:t xml:space="preserve"> sa často</w:t>
      </w:r>
      <w:r w:rsidRPr="00254724">
        <w:rPr>
          <w:rFonts w:cs="Segoe UI"/>
          <w:szCs w:val="20"/>
        </w:rPr>
        <w:t xml:space="preserve"> </w:t>
      </w:r>
      <w:r>
        <w:rPr>
          <w:rFonts w:cs="Segoe UI"/>
          <w:szCs w:val="20"/>
        </w:rPr>
        <w:lastRenderedPageBreak/>
        <w:t>ukladajú</w:t>
      </w:r>
      <w:r w:rsidRPr="00254724">
        <w:rPr>
          <w:rFonts w:cs="Segoe UI"/>
          <w:szCs w:val="20"/>
        </w:rPr>
        <w:t xml:space="preserve"> do individuálnych systémov čistenia (najmä žumpy a malé čistiarne odpadových vôd)</w:t>
      </w:r>
      <w:r>
        <w:rPr>
          <w:rFonts w:cs="Segoe UI"/>
          <w:szCs w:val="20"/>
        </w:rPr>
        <w:t>, ktoré nedosahujú potrebnú efektivitu a predstavujú environmentálne riziko.</w:t>
      </w:r>
    </w:p>
    <w:p w14:paraId="1CD0589E" w14:textId="40DE1DA0" w:rsidR="00E7761D" w:rsidRDefault="00E7761D" w:rsidP="00E7761D">
      <w:pPr>
        <w:spacing w:before="97"/>
        <w:ind w:right="3"/>
        <w:rPr>
          <w:rFonts w:cs="Segoe UI"/>
          <w:szCs w:val="20"/>
        </w:rPr>
      </w:pPr>
      <w:r w:rsidRPr="000C6806">
        <w:rPr>
          <w:rFonts w:cs="Segoe UI"/>
          <w:b/>
          <w:szCs w:val="20"/>
        </w:rPr>
        <w:t xml:space="preserve">NKÚ SR upozorňuje </w:t>
      </w:r>
      <w:r w:rsidR="00B80ABA">
        <w:rPr>
          <w:rFonts w:cs="Segoe UI"/>
          <w:b/>
          <w:szCs w:val="20"/>
        </w:rPr>
        <w:t xml:space="preserve">aj </w:t>
      </w:r>
      <w:r w:rsidRPr="000C6806">
        <w:rPr>
          <w:rFonts w:cs="Segoe UI"/>
          <w:b/>
          <w:szCs w:val="20"/>
        </w:rPr>
        <w:t>na skutočnosť, že stav vodárenskej infraštruktúry je v nevyhovujúcom, miestami až v kritickom stave.</w:t>
      </w:r>
      <w:r w:rsidRPr="002B3093">
        <w:rPr>
          <w:rFonts w:cs="Segoe UI"/>
          <w:szCs w:val="20"/>
        </w:rPr>
        <w:t xml:space="preserve"> </w:t>
      </w:r>
      <w:r>
        <w:rPr>
          <w:rFonts w:cs="Segoe UI"/>
          <w:szCs w:val="20"/>
        </w:rPr>
        <w:t xml:space="preserve">Podľa Strategického plánu rozvoja verejných vodovodov a </w:t>
      </w:r>
      <w:r w:rsidRPr="002B3093">
        <w:rPr>
          <w:rFonts w:cs="Segoe UI"/>
          <w:szCs w:val="20"/>
        </w:rPr>
        <w:t>kanalizácií na roky 2021 až 2027</w:t>
      </w:r>
      <w:r>
        <w:rPr>
          <w:rFonts w:cs="Segoe UI"/>
          <w:szCs w:val="20"/>
        </w:rPr>
        <w:t xml:space="preserve"> sa má vynaložiť na obnovu a rozvoj tejto infraštruktúry približne 5,7 mld. eur (len na samotnú obnovu by malo ísť približne 3,4 mld. eur), avšak na tieto ciele boli </w:t>
      </w:r>
      <w:r w:rsidR="00B80ABA">
        <w:rPr>
          <w:rFonts w:cs="Segoe UI"/>
          <w:szCs w:val="20"/>
        </w:rPr>
        <w:t xml:space="preserve">z toho </w:t>
      </w:r>
      <w:r>
        <w:rPr>
          <w:rFonts w:cs="Segoe UI"/>
          <w:szCs w:val="20"/>
        </w:rPr>
        <w:t xml:space="preserve">vynaložené za posledné tri roky len 3 %. Rovnako tak narastá investičný </w:t>
      </w:r>
      <w:r w:rsidRPr="002B3093">
        <w:rPr>
          <w:rFonts w:cs="Segoe UI"/>
          <w:szCs w:val="20"/>
        </w:rPr>
        <w:t>dlh, pri ktorom je tempo starnutia infraštruktúry vyššie ako tempo jej obnovy.</w:t>
      </w:r>
      <w:r>
        <w:rPr>
          <w:rFonts w:cs="Segoe UI"/>
          <w:szCs w:val="20"/>
        </w:rPr>
        <w:t xml:space="preserve"> </w:t>
      </w:r>
      <w:r w:rsidRPr="000C6806">
        <w:rPr>
          <w:rFonts w:cs="Segoe UI"/>
          <w:b/>
          <w:szCs w:val="20"/>
        </w:rPr>
        <w:t xml:space="preserve">Táto skutočnosť je v protiklade s tým, že v rozpočte na rok 2025 sú celkové výdavky smerujúce do vodného hospodárstva </w:t>
      </w:r>
      <w:r w:rsidR="00B80ABA">
        <w:rPr>
          <w:rFonts w:cs="Segoe UI"/>
          <w:b/>
          <w:szCs w:val="20"/>
        </w:rPr>
        <w:t xml:space="preserve">vo výške </w:t>
      </w:r>
      <w:r w:rsidRPr="000C6806">
        <w:rPr>
          <w:rFonts w:cs="Segoe UI"/>
          <w:b/>
          <w:szCs w:val="20"/>
        </w:rPr>
        <w:t xml:space="preserve">348 mil. eur </w:t>
      </w:r>
      <w:r w:rsidRPr="00B80ABA">
        <w:rPr>
          <w:rFonts w:cs="Segoe UI"/>
          <w:szCs w:val="20"/>
        </w:rPr>
        <w:t>(najmä zdroje EÚ a spolufinancovani</w:t>
      </w:r>
      <w:r w:rsidR="00B80ABA">
        <w:rPr>
          <w:rFonts w:cs="Segoe UI"/>
          <w:szCs w:val="20"/>
        </w:rPr>
        <w:t>e</w:t>
      </w:r>
      <w:r w:rsidRPr="00B80ABA">
        <w:rPr>
          <w:rFonts w:cs="Segoe UI"/>
          <w:szCs w:val="20"/>
        </w:rPr>
        <w:t>)</w:t>
      </w:r>
      <w:r w:rsidRPr="000C6806">
        <w:rPr>
          <w:rFonts w:cs="Segoe UI"/>
          <w:b/>
          <w:szCs w:val="20"/>
        </w:rPr>
        <w:t xml:space="preserve">, ktoré </w:t>
      </w:r>
      <w:r w:rsidR="00B80ABA">
        <w:rPr>
          <w:rFonts w:cs="Segoe UI"/>
          <w:b/>
          <w:szCs w:val="20"/>
        </w:rPr>
        <w:t xml:space="preserve">sú určené </w:t>
      </w:r>
      <w:r w:rsidRPr="000C6806">
        <w:rPr>
          <w:rFonts w:cs="Segoe UI"/>
          <w:b/>
          <w:szCs w:val="20"/>
        </w:rPr>
        <w:t>na projekty budovania a rekonštrukcie infraštruktúry.</w:t>
      </w:r>
    </w:p>
    <w:p w14:paraId="6090B111" w14:textId="77777777" w:rsidR="00AB6FD9" w:rsidRDefault="00AB6FD9" w:rsidP="00AB6FD9">
      <w:r>
        <w:rPr>
          <w:b/>
        </w:rPr>
        <w:t>V rámci</w:t>
      </w:r>
      <w:r w:rsidRPr="000C6806">
        <w:rPr>
          <w:b/>
        </w:rPr>
        <w:t> ochran</w:t>
      </w:r>
      <w:r>
        <w:rPr>
          <w:b/>
        </w:rPr>
        <w:t>y</w:t>
      </w:r>
      <w:r w:rsidRPr="000C6806">
        <w:rPr>
          <w:b/>
        </w:rPr>
        <w:t xml:space="preserve"> biodiverzity</w:t>
      </w:r>
      <w:r>
        <w:rPr>
          <w:b/>
        </w:rPr>
        <w:t xml:space="preserve"> je n</w:t>
      </w:r>
      <w:r w:rsidRPr="000C6806">
        <w:rPr>
          <w:b/>
        </w:rPr>
        <w:t>a Slovensku 75 % druhov a 60 % biotopov</w:t>
      </w:r>
      <w:r>
        <w:rPr>
          <w:b/>
        </w:rPr>
        <w:t xml:space="preserve"> v neuspokojivom stave</w:t>
      </w:r>
      <w:r w:rsidRPr="000C6806">
        <w:rPr>
          <w:b/>
        </w:rPr>
        <w:t xml:space="preserve">. </w:t>
      </w:r>
      <w:r>
        <w:t xml:space="preserve">Je to spôsobené tlakom neudržateľných poľnohospodárskych postupov, šírením nepôvodných druhov, intenzívnou ťažbou dreva, výstavbou infraštruktúry a zmenou klímy. Z tohto dôvodu </w:t>
      </w:r>
      <w:r w:rsidRPr="00254724">
        <w:t>by bolo potrebné mať k dispozícii plán na obnovu degradovaných biotopov, ako aj prijať aktualizáciu strategického rámca pre biodiverzitu (NBSAP)</w:t>
      </w:r>
      <w:r w:rsidRPr="00254724">
        <w:rPr>
          <w:rStyle w:val="Odkaznapoznmkupodiarou"/>
          <w:rFonts w:cs="Segoe UI"/>
          <w:szCs w:val="20"/>
        </w:rPr>
        <w:footnoteReference w:id="111"/>
      </w:r>
      <w:r w:rsidRPr="00254724">
        <w:t xml:space="preserve">. </w:t>
      </w:r>
    </w:p>
    <w:p w14:paraId="757921F9" w14:textId="657E4B99" w:rsidR="00705B40" w:rsidRPr="00254724" w:rsidRDefault="00705B40" w:rsidP="00705B40">
      <w:pPr>
        <w:rPr>
          <w:rFonts w:cs="Segoe UI"/>
          <w:szCs w:val="20"/>
        </w:rPr>
      </w:pPr>
      <w:r w:rsidRPr="00AE5CB3">
        <w:rPr>
          <w:rFonts w:cs="Segoe UI"/>
          <w:b/>
          <w:szCs w:val="20"/>
        </w:rPr>
        <w:t xml:space="preserve">Aj keď viac ako 37 % územia SR je chránených, menej ako 20 % národných parkov je </w:t>
      </w:r>
      <w:r w:rsidR="00AB6FD9">
        <w:rPr>
          <w:rFonts w:cs="Segoe UI"/>
          <w:b/>
          <w:szCs w:val="20"/>
        </w:rPr>
        <w:t>zaradených do stupňov najvyššej ochrany</w:t>
      </w:r>
      <w:r w:rsidRPr="00AE5CB3">
        <w:rPr>
          <w:rFonts w:cs="Segoe UI"/>
          <w:b/>
          <w:szCs w:val="20"/>
        </w:rPr>
        <w:t xml:space="preserve">. </w:t>
      </w:r>
      <w:r>
        <w:rPr>
          <w:rFonts w:cs="Segoe UI"/>
          <w:szCs w:val="20"/>
        </w:rPr>
        <w:t xml:space="preserve">V </w:t>
      </w:r>
      <w:r w:rsidRPr="00254724">
        <w:rPr>
          <w:rFonts w:cs="Segoe UI"/>
          <w:szCs w:val="20"/>
        </w:rPr>
        <w:t>dv</w:t>
      </w:r>
      <w:r>
        <w:rPr>
          <w:rFonts w:cs="Segoe UI"/>
          <w:szCs w:val="20"/>
        </w:rPr>
        <w:t>och</w:t>
      </w:r>
      <w:r w:rsidRPr="00254724">
        <w:rPr>
          <w:rFonts w:cs="Segoe UI"/>
          <w:szCs w:val="20"/>
        </w:rPr>
        <w:t xml:space="preserve"> tretin</w:t>
      </w:r>
      <w:r>
        <w:rPr>
          <w:rFonts w:cs="Segoe UI"/>
          <w:szCs w:val="20"/>
        </w:rPr>
        <w:t>ách</w:t>
      </w:r>
      <w:r w:rsidRPr="00254724">
        <w:rPr>
          <w:rFonts w:cs="Segoe UI"/>
          <w:szCs w:val="20"/>
        </w:rPr>
        <w:t xml:space="preserve"> národných parkov </w:t>
      </w:r>
      <w:r>
        <w:rPr>
          <w:rFonts w:cs="Segoe UI"/>
          <w:szCs w:val="20"/>
        </w:rPr>
        <w:t xml:space="preserve">chýba </w:t>
      </w:r>
      <w:r w:rsidRPr="00254724">
        <w:rPr>
          <w:rFonts w:cs="Segoe UI"/>
          <w:szCs w:val="20"/>
        </w:rPr>
        <w:t>zonáci</w:t>
      </w:r>
      <w:r>
        <w:rPr>
          <w:rFonts w:cs="Segoe UI"/>
          <w:szCs w:val="20"/>
        </w:rPr>
        <w:t>a</w:t>
      </w:r>
      <w:r w:rsidRPr="00254724">
        <w:rPr>
          <w:rFonts w:cs="Segoe UI"/>
          <w:szCs w:val="20"/>
        </w:rPr>
        <w:t xml:space="preserve"> a väčšin</w:t>
      </w:r>
      <w:r>
        <w:rPr>
          <w:rFonts w:cs="Segoe UI"/>
          <w:szCs w:val="20"/>
        </w:rPr>
        <w:t>a</w:t>
      </w:r>
      <w:r w:rsidRPr="00254724">
        <w:rPr>
          <w:rFonts w:cs="Segoe UI"/>
          <w:szCs w:val="20"/>
        </w:rPr>
        <w:t xml:space="preserve"> chránených území </w:t>
      </w:r>
      <w:r>
        <w:rPr>
          <w:rFonts w:cs="Segoe UI"/>
          <w:szCs w:val="20"/>
        </w:rPr>
        <w:t>nemá</w:t>
      </w:r>
      <w:r w:rsidRPr="00254724">
        <w:rPr>
          <w:rFonts w:cs="Segoe UI"/>
          <w:szCs w:val="20"/>
        </w:rPr>
        <w:t xml:space="preserve"> platné plány riadenia. </w:t>
      </w:r>
      <w:r>
        <w:rPr>
          <w:rFonts w:cs="Segoe UI"/>
          <w:szCs w:val="20"/>
        </w:rPr>
        <w:t>SR ma tiež</w:t>
      </w:r>
      <w:r w:rsidRPr="00254724">
        <w:rPr>
          <w:rFonts w:cs="Segoe UI"/>
          <w:szCs w:val="20"/>
        </w:rPr>
        <w:t xml:space="preserve"> medzery v plnení cieľov v LULUCF (Sektor využívania pôdy, zmien vo využívaní pôdy a lesného hospodárstva) do roku 2030</w:t>
      </w:r>
      <w:r>
        <w:rPr>
          <w:rFonts w:cs="Segoe UI"/>
          <w:szCs w:val="20"/>
        </w:rPr>
        <w:t xml:space="preserve"> v dôsledku zníženia schopnosti lesov absorbovať skleníkové plyny spôsobené vysokým podielom </w:t>
      </w:r>
      <w:r w:rsidR="00AB6FD9">
        <w:rPr>
          <w:rFonts w:cs="Segoe UI"/>
          <w:szCs w:val="20"/>
        </w:rPr>
        <w:t>zrelých</w:t>
      </w:r>
      <w:r>
        <w:rPr>
          <w:rFonts w:cs="Segoe UI"/>
          <w:szCs w:val="20"/>
        </w:rPr>
        <w:t xml:space="preserve"> stromových porastov</w:t>
      </w:r>
      <w:r w:rsidR="00F17978">
        <w:rPr>
          <w:rFonts w:cs="Segoe UI"/>
          <w:szCs w:val="20"/>
        </w:rPr>
        <w:t>.</w:t>
      </w:r>
    </w:p>
    <w:p w14:paraId="43195274" w14:textId="77777777" w:rsidR="00705B40" w:rsidRDefault="00705B40" w:rsidP="00705B40">
      <w:pPr>
        <w:pStyle w:val="Nadpis3"/>
        <w:rPr>
          <w:rFonts w:eastAsiaTheme="minorHAnsi"/>
        </w:rPr>
      </w:pPr>
      <w:r>
        <w:rPr>
          <w:rFonts w:eastAsiaTheme="minorHAnsi"/>
        </w:rPr>
        <w:t xml:space="preserve"> </w:t>
      </w:r>
      <w:bookmarkStart w:id="58" w:name="_Toc181959246"/>
      <w:bookmarkStart w:id="59" w:name="_Toc182559205"/>
      <w:r>
        <w:rPr>
          <w:rFonts w:eastAsiaTheme="minorHAnsi"/>
        </w:rPr>
        <w:t>Riziko súvisiace so zmenou</w:t>
      </w:r>
      <w:r w:rsidRPr="00396BE6">
        <w:rPr>
          <w:rFonts w:eastAsiaTheme="minorHAnsi"/>
        </w:rPr>
        <w:t xml:space="preserve"> klímy a</w:t>
      </w:r>
      <w:r>
        <w:rPr>
          <w:rFonts w:eastAsiaTheme="minorHAnsi"/>
        </w:rPr>
        <w:t xml:space="preserve"> nedostatočná </w:t>
      </w:r>
      <w:r w:rsidRPr="00396BE6">
        <w:rPr>
          <w:rFonts w:eastAsiaTheme="minorHAnsi"/>
        </w:rPr>
        <w:t>ochrana ovzdušia</w:t>
      </w:r>
      <w:bookmarkEnd w:id="58"/>
      <w:bookmarkEnd w:id="59"/>
    </w:p>
    <w:p w14:paraId="3D7D15DD" w14:textId="422BEFD2" w:rsidR="00705B40" w:rsidRPr="00254724" w:rsidRDefault="00705B40" w:rsidP="00705B40">
      <w:pPr>
        <w:spacing w:before="97"/>
        <w:ind w:right="3"/>
        <w:rPr>
          <w:rFonts w:cs="Segoe UI"/>
          <w:szCs w:val="20"/>
        </w:rPr>
      </w:pPr>
      <w:r w:rsidRPr="00254724">
        <w:rPr>
          <w:rFonts w:cs="Segoe UI"/>
          <w:b/>
          <w:szCs w:val="20"/>
        </w:rPr>
        <w:t xml:space="preserve">V rozpočte na rok 2025 nie sú vyčlenené výdavky na </w:t>
      </w:r>
      <w:r>
        <w:rPr>
          <w:rFonts w:cs="Segoe UI"/>
          <w:b/>
          <w:szCs w:val="20"/>
        </w:rPr>
        <w:t>r</w:t>
      </w:r>
      <w:r w:rsidRPr="00254724">
        <w:rPr>
          <w:rFonts w:cs="Segoe UI"/>
          <w:b/>
          <w:szCs w:val="20"/>
        </w:rPr>
        <w:t>iadenie rizík a mimoriadnych udalostí</w:t>
      </w:r>
      <w:r w:rsidR="00AE5CB3">
        <w:rPr>
          <w:rFonts w:cs="Segoe UI"/>
          <w:b/>
          <w:szCs w:val="20"/>
        </w:rPr>
        <w:t xml:space="preserve"> v súvislosti so zmenou klímy</w:t>
      </w:r>
      <w:r>
        <w:rPr>
          <w:rFonts w:cs="Segoe UI"/>
          <w:b/>
          <w:szCs w:val="20"/>
        </w:rPr>
        <w:t xml:space="preserve">, čo je zásadný nedostatok vzhľadom na zvyšujúce sa riziko sucha a extrémnych teplotných výkyvov. </w:t>
      </w:r>
      <w:r>
        <w:rPr>
          <w:rFonts w:cs="Segoe UI"/>
          <w:szCs w:val="20"/>
        </w:rPr>
        <w:t xml:space="preserve">Južné regióny </w:t>
      </w:r>
      <w:r w:rsidRPr="00254724">
        <w:rPr>
          <w:rFonts w:cs="Segoe UI"/>
          <w:szCs w:val="20"/>
        </w:rPr>
        <w:t xml:space="preserve">SR </w:t>
      </w:r>
      <w:r>
        <w:rPr>
          <w:rFonts w:cs="Segoe UI"/>
          <w:szCs w:val="20"/>
        </w:rPr>
        <w:t xml:space="preserve">sú najviac ohrozené suchom v dôsledku </w:t>
      </w:r>
      <w:r w:rsidRPr="00254724">
        <w:rPr>
          <w:rFonts w:cs="Segoe UI"/>
          <w:szCs w:val="20"/>
        </w:rPr>
        <w:t>poklesu pôdnej vlhkosti</w:t>
      </w:r>
      <w:r>
        <w:rPr>
          <w:rFonts w:cs="Segoe UI"/>
          <w:szCs w:val="20"/>
        </w:rPr>
        <w:t xml:space="preserve"> a </w:t>
      </w:r>
      <w:r w:rsidRPr="00254724">
        <w:rPr>
          <w:rFonts w:cs="Segoe UI"/>
          <w:szCs w:val="20"/>
        </w:rPr>
        <w:t>zm</w:t>
      </w:r>
      <w:r>
        <w:rPr>
          <w:rFonts w:cs="Segoe UI"/>
          <w:szCs w:val="20"/>
        </w:rPr>
        <w:t>i</w:t>
      </w:r>
      <w:r w:rsidRPr="00254724">
        <w:rPr>
          <w:rFonts w:cs="Segoe UI"/>
          <w:szCs w:val="20"/>
        </w:rPr>
        <w:t xml:space="preserve">en </w:t>
      </w:r>
      <w:r>
        <w:rPr>
          <w:rFonts w:cs="Segoe UI"/>
          <w:szCs w:val="20"/>
        </w:rPr>
        <w:t xml:space="preserve">v </w:t>
      </w:r>
      <w:r w:rsidRPr="00254724">
        <w:rPr>
          <w:rFonts w:cs="Segoe UI"/>
          <w:szCs w:val="20"/>
        </w:rPr>
        <w:t>zrážk</w:t>
      </w:r>
      <w:r>
        <w:rPr>
          <w:rFonts w:cs="Segoe UI"/>
          <w:szCs w:val="20"/>
        </w:rPr>
        <w:t>ových trendoch</w:t>
      </w:r>
      <w:r w:rsidRPr="00254724">
        <w:rPr>
          <w:rFonts w:cs="Segoe UI"/>
          <w:szCs w:val="20"/>
        </w:rPr>
        <w:t xml:space="preserve">. Adaptácia </w:t>
      </w:r>
      <w:r>
        <w:rPr>
          <w:rFonts w:cs="Segoe UI"/>
          <w:szCs w:val="20"/>
        </w:rPr>
        <w:t xml:space="preserve">na klimatické zmeny predstavuje naliehavú politickú, ekonomickú a sociálnu </w:t>
      </w:r>
      <w:r w:rsidR="00AE5CB3">
        <w:rPr>
          <w:rFonts w:cs="Segoe UI"/>
          <w:szCs w:val="20"/>
        </w:rPr>
        <w:t>výzvu</w:t>
      </w:r>
      <w:r w:rsidRPr="00254724">
        <w:rPr>
          <w:rFonts w:cs="Segoe UI"/>
          <w:szCs w:val="20"/>
        </w:rPr>
        <w:t xml:space="preserve">, ktorá </w:t>
      </w:r>
      <w:r>
        <w:rPr>
          <w:rFonts w:cs="Segoe UI"/>
          <w:szCs w:val="20"/>
        </w:rPr>
        <w:t xml:space="preserve">si vyžaduje cielené opatrenia podľa špecifík jednotlivých regiónov na zmiernenie </w:t>
      </w:r>
      <w:r w:rsidRPr="00254724">
        <w:rPr>
          <w:rFonts w:cs="Segoe UI"/>
          <w:szCs w:val="20"/>
        </w:rPr>
        <w:t>zraniteľnosti ľudských a ekologických systémov</w:t>
      </w:r>
      <w:r>
        <w:rPr>
          <w:rFonts w:cs="Segoe UI"/>
          <w:szCs w:val="20"/>
        </w:rPr>
        <w:t>.</w:t>
      </w:r>
    </w:p>
    <w:p w14:paraId="02BCA471" w14:textId="6EAA5A28" w:rsidR="00705B40" w:rsidRPr="00254724" w:rsidRDefault="00705B40" w:rsidP="00705B40">
      <w:pPr>
        <w:pStyle w:val="Zkladntext0"/>
        <w:spacing w:line="276" w:lineRule="auto"/>
        <w:jc w:val="both"/>
        <w:rPr>
          <w:rFonts w:ascii="Segoe UI" w:eastAsiaTheme="minorHAnsi" w:hAnsi="Segoe UI" w:cs="Segoe UI"/>
        </w:rPr>
      </w:pPr>
      <w:r w:rsidRPr="00254724">
        <w:rPr>
          <w:rFonts w:ascii="Segoe UI" w:eastAsiaTheme="minorHAnsi" w:hAnsi="Segoe UI" w:cs="Segoe UI"/>
          <w:b/>
        </w:rPr>
        <w:t>Napriek výraznému zlepšeni</w:t>
      </w:r>
      <w:r>
        <w:rPr>
          <w:rFonts w:ascii="Segoe UI" w:eastAsiaTheme="minorHAnsi" w:hAnsi="Segoe UI" w:cs="Segoe UI"/>
          <w:b/>
        </w:rPr>
        <w:t xml:space="preserve">u zostáva Slovensko jednou z krajín s najvyššou koncentráciou </w:t>
      </w:r>
      <w:r w:rsidRPr="00254724">
        <w:rPr>
          <w:rFonts w:ascii="Segoe UI" w:eastAsiaTheme="minorHAnsi" w:hAnsi="Segoe UI" w:cs="Segoe UI"/>
          <w:b/>
        </w:rPr>
        <w:t xml:space="preserve">jemných prachových častíc </w:t>
      </w:r>
      <w:r w:rsidRPr="00AE5CB3">
        <w:rPr>
          <w:rFonts w:ascii="Segoe UI" w:eastAsiaTheme="minorHAnsi" w:hAnsi="Segoe UI" w:cs="Segoe UI"/>
        </w:rPr>
        <w:t>(PM2,5)</w:t>
      </w:r>
      <w:r w:rsidRPr="00254724">
        <w:rPr>
          <w:rFonts w:ascii="Segoe UI" w:eastAsiaTheme="minorHAnsi" w:hAnsi="Segoe UI" w:cs="Segoe UI"/>
          <w:b/>
        </w:rPr>
        <w:t xml:space="preserve"> v ovzduší v rámci </w:t>
      </w:r>
      <w:r w:rsidR="00AE5CB3">
        <w:rPr>
          <w:rFonts w:ascii="Segoe UI" w:eastAsiaTheme="minorHAnsi" w:hAnsi="Segoe UI" w:cs="Segoe UI"/>
          <w:b/>
        </w:rPr>
        <w:t xml:space="preserve">krajín </w:t>
      </w:r>
      <w:r w:rsidRPr="00254724">
        <w:rPr>
          <w:rFonts w:ascii="Segoe UI" w:eastAsiaTheme="minorHAnsi" w:hAnsi="Segoe UI" w:cs="Segoe UI"/>
          <w:b/>
        </w:rPr>
        <w:t>OECD v Európe.</w:t>
      </w:r>
      <w:r w:rsidRPr="00254724">
        <w:rPr>
          <w:rFonts w:ascii="Segoe UI" w:eastAsiaTheme="minorHAnsi" w:hAnsi="Segoe UI" w:cs="Segoe UI"/>
        </w:rPr>
        <w:t xml:space="preserve"> </w:t>
      </w:r>
      <w:r>
        <w:rPr>
          <w:rFonts w:ascii="Segoe UI" w:eastAsiaTheme="minorHAnsi" w:hAnsi="Segoe UI" w:cs="Segoe UI"/>
        </w:rPr>
        <w:t xml:space="preserve">Slovensko čelí opakovaným </w:t>
      </w:r>
      <w:r w:rsidRPr="00254724">
        <w:rPr>
          <w:rFonts w:ascii="Segoe UI" w:eastAsiaTheme="minorHAnsi" w:hAnsi="Segoe UI" w:cs="Segoe UI"/>
        </w:rPr>
        <w:t>konan</w:t>
      </w:r>
      <w:r>
        <w:rPr>
          <w:rFonts w:ascii="Segoe UI" w:eastAsiaTheme="minorHAnsi" w:hAnsi="Segoe UI" w:cs="Segoe UI"/>
        </w:rPr>
        <w:t>iam</w:t>
      </w:r>
      <w:r w:rsidRPr="00254724">
        <w:rPr>
          <w:rFonts w:ascii="Segoe UI" w:eastAsiaTheme="minorHAnsi" w:hAnsi="Segoe UI" w:cs="Segoe UI"/>
        </w:rPr>
        <w:t xml:space="preserve"> EÚ </w:t>
      </w:r>
      <w:r>
        <w:rPr>
          <w:rFonts w:ascii="Segoe UI" w:eastAsiaTheme="minorHAnsi" w:hAnsi="Segoe UI" w:cs="Segoe UI"/>
        </w:rPr>
        <w:t>kvôli</w:t>
      </w:r>
      <w:r w:rsidRPr="00254724">
        <w:rPr>
          <w:rFonts w:ascii="Segoe UI" w:eastAsiaTheme="minorHAnsi" w:hAnsi="Segoe UI" w:cs="Segoe UI"/>
        </w:rPr>
        <w:t xml:space="preserve"> </w:t>
      </w:r>
      <w:r>
        <w:rPr>
          <w:rFonts w:ascii="Segoe UI" w:eastAsiaTheme="minorHAnsi" w:hAnsi="Segoe UI" w:cs="Segoe UI"/>
        </w:rPr>
        <w:t>nedodržiavaniu</w:t>
      </w:r>
      <w:r w:rsidRPr="00254724">
        <w:rPr>
          <w:rFonts w:ascii="Segoe UI" w:eastAsiaTheme="minorHAnsi" w:hAnsi="Segoe UI" w:cs="Segoe UI"/>
        </w:rPr>
        <w:t xml:space="preserve"> limitných hodnôt pre častice PM10</w:t>
      </w:r>
      <w:r>
        <w:rPr>
          <w:rFonts w:ascii="Segoe UI" w:eastAsiaTheme="minorHAnsi" w:hAnsi="Segoe UI" w:cs="Segoe UI"/>
        </w:rPr>
        <w:t>, pričom h</w:t>
      </w:r>
      <w:r w:rsidRPr="00254724">
        <w:rPr>
          <w:rFonts w:ascii="Segoe UI" w:eastAsiaTheme="minorHAnsi" w:hAnsi="Segoe UI" w:cs="Segoe UI"/>
        </w:rPr>
        <w:t>lavnými zdrojmi znečistenia sú spaľovanie tuhých palív na vykurovanie domácností, cestná doprava a výroba kovov.</w:t>
      </w:r>
      <w:r w:rsidRPr="003E6BFD">
        <w:rPr>
          <w:rFonts w:ascii="Segoe UI" w:eastAsiaTheme="minorHAnsi" w:hAnsi="Segoe UI" w:cs="Segoe UI"/>
        </w:rPr>
        <w:t xml:space="preserve"> </w:t>
      </w:r>
      <w:r w:rsidRPr="00254724">
        <w:rPr>
          <w:rFonts w:ascii="Segoe UI" w:eastAsiaTheme="minorHAnsi" w:hAnsi="Segoe UI" w:cs="Segoe UI"/>
        </w:rPr>
        <w:t xml:space="preserve">V roku 2022 </w:t>
      </w:r>
      <w:r>
        <w:rPr>
          <w:rFonts w:ascii="Segoe UI" w:eastAsiaTheme="minorHAnsi" w:hAnsi="Segoe UI" w:cs="Segoe UI"/>
        </w:rPr>
        <w:t xml:space="preserve">došlo k </w:t>
      </w:r>
      <w:r w:rsidRPr="00254724">
        <w:rPr>
          <w:rFonts w:ascii="Segoe UI" w:eastAsiaTheme="minorHAnsi" w:hAnsi="Segoe UI" w:cs="Segoe UI"/>
        </w:rPr>
        <w:t>prekročeni</w:t>
      </w:r>
      <w:r>
        <w:rPr>
          <w:rFonts w:ascii="Segoe UI" w:eastAsiaTheme="minorHAnsi" w:hAnsi="Segoe UI" w:cs="Segoe UI"/>
        </w:rPr>
        <w:t>u</w:t>
      </w:r>
      <w:r w:rsidRPr="00254724">
        <w:rPr>
          <w:rFonts w:ascii="Segoe UI" w:eastAsiaTheme="minorHAnsi" w:hAnsi="Segoe UI" w:cs="Segoe UI"/>
        </w:rPr>
        <w:t xml:space="preserve"> noriem EÚ pre PM2</w:t>
      </w:r>
      <w:r w:rsidR="00AE5CB3">
        <w:rPr>
          <w:rFonts w:ascii="Segoe UI" w:eastAsiaTheme="minorHAnsi" w:hAnsi="Segoe UI" w:cs="Segoe UI"/>
        </w:rPr>
        <w:t>,</w:t>
      </w:r>
      <w:r w:rsidRPr="00254724">
        <w:rPr>
          <w:rFonts w:ascii="Segoe UI" w:eastAsiaTheme="minorHAnsi" w:hAnsi="Segoe UI" w:cs="Segoe UI"/>
        </w:rPr>
        <w:t>5, PM10, benzo[a]pyrén a prízemn</w:t>
      </w:r>
      <w:r>
        <w:rPr>
          <w:rFonts w:ascii="Segoe UI" w:eastAsiaTheme="minorHAnsi" w:hAnsi="Segoe UI" w:cs="Segoe UI"/>
        </w:rPr>
        <w:t>ý</w:t>
      </w:r>
      <w:r w:rsidRPr="00254724">
        <w:rPr>
          <w:rFonts w:ascii="Segoe UI" w:eastAsiaTheme="minorHAnsi" w:hAnsi="Segoe UI" w:cs="Segoe UI"/>
        </w:rPr>
        <w:t xml:space="preserve"> ozón. </w:t>
      </w:r>
      <w:r>
        <w:rPr>
          <w:rFonts w:ascii="Segoe UI" w:eastAsiaTheme="minorHAnsi" w:hAnsi="Segoe UI" w:cs="Segoe UI"/>
        </w:rPr>
        <w:t>N</w:t>
      </w:r>
      <w:r w:rsidRPr="00254724">
        <w:rPr>
          <w:rFonts w:ascii="Segoe UI" w:eastAsiaTheme="minorHAnsi" w:hAnsi="Segoe UI" w:cs="Segoe UI"/>
        </w:rPr>
        <w:t xml:space="preserve">ový zákon o ochrane ovzdušia z roku 2023, ktorý posilňuje právomoci miestnych </w:t>
      </w:r>
      <w:r>
        <w:rPr>
          <w:rFonts w:ascii="Segoe UI" w:eastAsiaTheme="minorHAnsi" w:hAnsi="Segoe UI" w:cs="Segoe UI"/>
        </w:rPr>
        <w:t>samospráv</w:t>
      </w:r>
      <w:r w:rsidRPr="00254724">
        <w:rPr>
          <w:rFonts w:ascii="Segoe UI" w:eastAsiaTheme="minorHAnsi" w:hAnsi="Segoe UI" w:cs="Segoe UI"/>
        </w:rPr>
        <w:t xml:space="preserve"> vrátane </w:t>
      </w:r>
      <w:r>
        <w:rPr>
          <w:rFonts w:ascii="Segoe UI" w:eastAsiaTheme="minorHAnsi" w:hAnsi="Segoe UI" w:cs="Segoe UI"/>
        </w:rPr>
        <w:t>vytvárania</w:t>
      </w:r>
      <w:r w:rsidRPr="00254724">
        <w:rPr>
          <w:rFonts w:ascii="Segoe UI" w:eastAsiaTheme="minorHAnsi" w:hAnsi="Segoe UI" w:cs="Segoe UI"/>
        </w:rPr>
        <w:t xml:space="preserve"> nízkoemisných zón, </w:t>
      </w:r>
      <w:r>
        <w:rPr>
          <w:rFonts w:ascii="Segoe UI" w:eastAsiaTheme="minorHAnsi" w:hAnsi="Segoe UI" w:cs="Segoe UI"/>
        </w:rPr>
        <w:t xml:space="preserve">by mal viesť k </w:t>
      </w:r>
      <w:r w:rsidRPr="00254724">
        <w:rPr>
          <w:rFonts w:ascii="Segoe UI" w:eastAsiaTheme="minorHAnsi" w:hAnsi="Segoe UI" w:cs="Segoe UI"/>
        </w:rPr>
        <w:t>zlepš</w:t>
      </w:r>
      <w:r>
        <w:rPr>
          <w:rFonts w:ascii="Segoe UI" w:eastAsiaTheme="minorHAnsi" w:hAnsi="Segoe UI" w:cs="Segoe UI"/>
        </w:rPr>
        <w:t>eniu</w:t>
      </w:r>
      <w:r w:rsidRPr="00254724">
        <w:rPr>
          <w:rFonts w:ascii="Segoe UI" w:eastAsiaTheme="minorHAnsi" w:hAnsi="Segoe UI" w:cs="Segoe UI"/>
        </w:rPr>
        <w:t xml:space="preserve"> kvality ovzdušia</w:t>
      </w:r>
      <w:r>
        <w:rPr>
          <w:rFonts w:ascii="Segoe UI" w:eastAsiaTheme="minorHAnsi" w:hAnsi="Segoe UI" w:cs="Segoe UI"/>
        </w:rPr>
        <w:t xml:space="preserve"> v najviac zasiahnutých oblastiach</w:t>
      </w:r>
      <w:r w:rsidRPr="00254724">
        <w:rPr>
          <w:rFonts w:ascii="Segoe UI" w:eastAsiaTheme="minorHAnsi" w:hAnsi="Segoe UI" w:cs="Segoe UI"/>
        </w:rPr>
        <w:t>.</w:t>
      </w:r>
    </w:p>
    <w:p w14:paraId="19FD3EC5" w14:textId="77777777" w:rsidR="00705B40" w:rsidRDefault="00705B40" w:rsidP="00705B40">
      <w:pPr>
        <w:pStyle w:val="Nadpis3"/>
      </w:pPr>
      <w:r>
        <w:t xml:space="preserve"> </w:t>
      </w:r>
      <w:bookmarkStart w:id="60" w:name="_Toc181959247"/>
      <w:bookmarkStart w:id="61" w:name="_Toc182559206"/>
      <w:r>
        <w:t>Absencia podpory zeleného hospodárstva</w:t>
      </w:r>
      <w:bookmarkEnd w:id="60"/>
      <w:bookmarkEnd w:id="61"/>
    </w:p>
    <w:p w14:paraId="235DDC7E" w14:textId="0CD6F7B2" w:rsidR="00705B40" w:rsidRDefault="00705B40" w:rsidP="00705B40">
      <w:pPr>
        <w:rPr>
          <w:rFonts w:cs="Segoe UI"/>
          <w:szCs w:val="20"/>
        </w:rPr>
      </w:pPr>
      <w:r>
        <w:rPr>
          <w:rFonts w:cs="Segoe UI"/>
          <w:b/>
          <w:szCs w:val="20"/>
        </w:rPr>
        <w:t>V rozpočte n</w:t>
      </w:r>
      <w:r w:rsidRPr="00254724">
        <w:rPr>
          <w:rFonts w:cs="Segoe UI"/>
          <w:b/>
          <w:szCs w:val="20"/>
        </w:rPr>
        <w:t xml:space="preserve">a rok 2025 </w:t>
      </w:r>
      <w:r>
        <w:rPr>
          <w:rFonts w:cs="Segoe UI"/>
          <w:b/>
          <w:szCs w:val="20"/>
        </w:rPr>
        <w:t xml:space="preserve">chýbajú nové výdavky na podporu </w:t>
      </w:r>
      <w:r w:rsidRPr="00254724">
        <w:rPr>
          <w:rFonts w:cs="Segoe UI"/>
          <w:b/>
          <w:szCs w:val="20"/>
        </w:rPr>
        <w:t>nízkouhlíkového hospodárstva</w:t>
      </w:r>
      <w:r>
        <w:rPr>
          <w:rFonts w:cs="Segoe UI"/>
          <w:b/>
          <w:szCs w:val="20"/>
        </w:rPr>
        <w:t xml:space="preserve">, pričom </w:t>
      </w:r>
      <w:r w:rsidRPr="00254724">
        <w:rPr>
          <w:rFonts w:cs="Segoe UI"/>
          <w:b/>
          <w:szCs w:val="20"/>
        </w:rPr>
        <w:t>sa dočerpáva</w:t>
      </w:r>
      <w:r>
        <w:rPr>
          <w:rFonts w:cs="Segoe UI"/>
          <w:b/>
          <w:szCs w:val="20"/>
        </w:rPr>
        <w:t>jú prostriedky</w:t>
      </w:r>
      <w:r w:rsidRPr="00254724">
        <w:rPr>
          <w:rFonts w:cs="Segoe UI"/>
          <w:b/>
          <w:szCs w:val="20"/>
        </w:rPr>
        <w:t xml:space="preserve"> z minulých období</w:t>
      </w:r>
      <w:r>
        <w:rPr>
          <w:rFonts w:cs="Segoe UI"/>
          <w:b/>
          <w:szCs w:val="20"/>
        </w:rPr>
        <w:t>.</w:t>
      </w:r>
      <w:r w:rsidRPr="00254724">
        <w:rPr>
          <w:rFonts w:cs="Segoe UI"/>
          <w:b/>
          <w:szCs w:val="20"/>
        </w:rPr>
        <w:t xml:space="preserve"> </w:t>
      </w:r>
      <w:r w:rsidR="00EF21A1" w:rsidRPr="00AB6FD9">
        <w:rPr>
          <w:rFonts w:cs="Segoe UI"/>
          <w:szCs w:val="20"/>
        </w:rPr>
        <w:t>A</w:t>
      </w:r>
      <w:r w:rsidRPr="000C6806">
        <w:rPr>
          <w:rFonts w:cs="Segoe UI"/>
          <w:szCs w:val="20"/>
        </w:rPr>
        <w:t xml:space="preserve">bsencia výdavkov orientovaných na podporu zeleného hospodárstva môže vyvolať pochybnosti o dlhodobej environmentálnej stratégii </w:t>
      </w:r>
      <w:r>
        <w:rPr>
          <w:rFonts w:cs="Segoe UI"/>
          <w:szCs w:val="20"/>
        </w:rPr>
        <w:t>SR</w:t>
      </w:r>
      <w:r w:rsidRPr="000C6806">
        <w:rPr>
          <w:rFonts w:cs="Segoe UI"/>
          <w:szCs w:val="20"/>
        </w:rPr>
        <w:t xml:space="preserve">. </w:t>
      </w:r>
      <w:r>
        <w:rPr>
          <w:rFonts w:cs="Segoe UI"/>
          <w:szCs w:val="20"/>
        </w:rPr>
        <w:t xml:space="preserve">Hoci </w:t>
      </w:r>
      <w:r w:rsidRPr="00254724">
        <w:rPr>
          <w:rFonts w:cs="Segoe UI"/>
          <w:szCs w:val="20"/>
        </w:rPr>
        <w:t xml:space="preserve">SR </w:t>
      </w:r>
      <w:r>
        <w:rPr>
          <w:rFonts w:cs="Segoe UI"/>
          <w:szCs w:val="20"/>
        </w:rPr>
        <w:lastRenderedPageBreak/>
        <w:t>splnila</w:t>
      </w:r>
      <w:r w:rsidRPr="00254724">
        <w:rPr>
          <w:rFonts w:cs="Segoe UI"/>
          <w:szCs w:val="20"/>
        </w:rPr>
        <w:t xml:space="preserve"> svoje klimatické ciele na rok 2020, </w:t>
      </w:r>
      <w:r>
        <w:rPr>
          <w:rFonts w:cs="Segoe UI"/>
          <w:szCs w:val="20"/>
        </w:rPr>
        <w:t>dosiahnutie</w:t>
      </w:r>
      <w:r w:rsidRPr="00254724">
        <w:rPr>
          <w:rFonts w:cs="Segoe UI"/>
          <w:szCs w:val="20"/>
        </w:rPr>
        <w:t xml:space="preserve"> uhlíkovej neutrality do roku 2050 </w:t>
      </w:r>
      <w:r>
        <w:rPr>
          <w:rFonts w:cs="Segoe UI"/>
          <w:szCs w:val="20"/>
        </w:rPr>
        <w:t>si vyžiada výraznejšie opatrenia, a to najmä v </w:t>
      </w:r>
      <w:r w:rsidRPr="00254724">
        <w:rPr>
          <w:rFonts w:cs="Segoe UI"/>
          <w:szCs w:val="20"/>
        </w:rPr>
        <w:t>e</w:t>
      </w:r>
      <w:r>
        <w:rPr>
          <w:rFonts w:cs="Segoe UI"/>
          <w:szCs w:val="20"/>
        </w:rPr>
        <w:t>nergetickom sektore a v oblastiach spadajúcich do systému obchodovania s emisiami (ETS)</w:t>
      </w:r>
      <w:r w:rsidRPr="00254724">
        <w:rPr>
          <w:rFonts w:cs="Segoe UI"/>
          <w:szCs w:val="20"/>
        </w:rPr>
        <w:t xml:space="preserve">. </w:t>
      </w:r>
      <w:r>
        <w:rPr>
          <w:rFonts w:cs="Segoe UI"/>
          <w:szCs w:val="20"/>
        </w:rPr>
        <w:t>Súčasné nízke ceny uhlíka</w:t>
      </w:r>
      <w:r w:rsidR="00FB14A5">
        <w:rPr>
          <w:rFonts w:cs="Segoe UI"/>
          <w:szCs w:val="20"/>
        </w:rPr>
        <w:t>,</w:t>
      </w:r>
      <w:r>
        <w:rPr>
          <w:rFonts w:cs="Segoe UI"/>
          <w:szCs w:val="20"/>
        </w:rPr>
        <w:t xml:space="preserve"> nerovnováha v zdanení nafty oproti benzínu </w:t>
      </w:r>
      <w:r w:rsidR="00FB14A5">
        <w:rPr>
          <w:rFonts w:cs="Segoe UI"/>
          <w:szCs w:val="20"/>
        </w:rPr>
        <w:t xml:space="preserve">a minimálna legislatívna podpora ich alternatív </w:t>
      </w:r>
      <w:r>
        <w:rPr>
          <w:rFonts w:cs="Segoe UI"/>
          <w:szCs w:val="20"/>
        </w:rPr>
        <w:t>neposkytujú dostatočné stimuly na zníženie emisií.</w:t>
      </w:r>
    </w:p>
    <w:p w14:paraId="62E09ED8" w14:textId="467AB45E" w:rsidR="00705B40" w:rsidRPr="00EF21A1" w:rsidRDefault="00705B40" w:rsidP="00705B40">
      <w:pPr>
        <w:rPr>
          <w:b/>
        </w:rPr>
      </w:pPr>
      <w:r w:rsidRPr="000C6806">
        <w:rPr>
          <w:b/>
        </w:rPr>
        <w:t xml:space="preserve">SR zrušila dotácie na elektrinu z domáceho uhlia v roku 2023, čo bol dôležitý krok, avšak sektory mimo ETS </w:t>
      </w:r>
      <w:r w:rsidRPr="00EF21A1">
        <w:t>(napr. doprava)</w:t>
      </w:r>
      <w:r w:rsidRPr="000C6806">
        <w:rPr>
          <w:b/>
        </w:rPr>
        <w:t xml:space="preserve"> a pokles kapacity lesov na zachytávanie uhlíka komplikujú plnenie cieľov do roku 2030 a 2050. </w:t>
      </w:r>
      <w:r w:rsidRPr="00E83906">
        <w:t xml:space="preserve">Absencia klimatického zákona, ktorý by integroval uhlíkovú neutralitu do legislatívy, znemožňuje strategické plánovanie a rozdeľovanie zodpovednosti medzi ministerstvami. </w:t>
      </w:r>
      <w:r w:rsidR="00EF21A1" w:rsidRPr="00EF21A1">
        <w:rPr>
          <w:b/>
        </w:rPr>
        <w:t>NKÚ SR upozorňuje, že je</w:t>
      </w:r>
      <w:r w:rsidRPr="00EF21A1">
        <w:rPr>
          <w:b/>
        </w:rPr>
        <w:t xml:space="preserve"> nutné zintenzívniť úsilie na dosiahnutie cieľa 42,5 % obnoviteľnej energie pre EÚ do roku 2030.</w:t>
      </w:r>
    </w:p>
    <w:p w14:paraId="0CEBAAF0" w14:textId="255AA44B" w:rsidR="00705B40" w:rsidRDefault="00916D76" w:rsidP="00916D76">
      <w:pPr>
        <w:rPr>
          <w:rFonts w:cs="Segoe UI"/>
          <w:szCs w:val="20"/>
        </w:rPr>
      </w:pPr>
      <w:r>
        <w:rPr>
          <w:rFonts w:cs="Segoe UI"/>
          <w:b/>
          <w:szCs w:val="20"/>
        </w:rPr>
        <w:t>Pre oblasť</w:t>
      </w:r>
      <w:r w:rsidRPr="008B3A86">
        <w:rPr>
          <w:rFonts w:cs="Segoe UI"/>
          <w:b/>
          <w:szCs w:val="20"/>
        </w:rPr>
        <w:t xml:space="preserve"> odpadové</w:t>
      </w:r>
      <w:r>
        <w:rPr>
          <w:rFonts w:cs="Segoe UI"/>
          <w:b/>
          <w:szCs w:val="20"/>
        </w:rPr>
        <w:t>ho hospodárstva</w:t>
      </w:r>
      <w:r w:rsidRPr="008B3A86">
        <w:rPr>
          <w:rFonts w:cs="Segoe UI"/>
          <w:b/>
          <w:szCs w:val="20"/>
        </w:rPr>
        <w:t xml:space="preserve"> sa v roku 2025 rozpočtujú výdavky zo zdrojov EÚ a spolufinancovania v objeme 28 mil. eur.</w:t>
      </w:r>
      <w:r>
        <w:rPr>
          <w:rFonts w:cs="Segoe UI"/>
          <w:b/>
          <w:szCs w:val="20"/>
        </w:rPr>
        <w:t xml:space="preserve"> </w:t>
      </w:r>
      <w:r w:rsidR="00705B40">
        <w:rPr>
          <w:rFonts w:cs="Segoe UI"/>
          <w:b/>
          <w:szCs w:val="20"/>
        </w:rPr>
        <w:t>SR produkuje</w:t>
      </w:r>
      <w:r w:rsidR="00705B40" w:rsidRPr="00254724">
        <w:rPr>
          <w:rFonts w:cs="Segoe UI"/>
          <w:b/>
          <w:szCs w:val="20"/>
        </w:rPr>
        <w:t xml:space="preserve"> </w:t>
      </w:r>
      <w:r w:rsidR="00705B40">
        <w:rPr>
          <w:rFonts w:cs="Segoe UI"/>
          <w:b/>
          <w:szCs w:val="20"/>
        </w:rPr>
        <w:t>menej</w:t>
      </w:r>
      <w:r w:rsidR="00705B40" w:rsidRPr="00254724">
        <w:rPr>
          <w:rFonts w:cs="Segoe UI"/>
          <w:b/>
          <w:szCs w:val="20"/>
        </w:rPr>
        <w:t xml:space="preserve"> odpadu na obyvateľa </w:t>
      </w:r>
      <w:r w:rsidR="00705B40">
        <w:rPr>
          <w:rFonts w:cs="Segoe UI"/>
          <w:b/>
          <w:szCs w:val="20"/>
        </w:rPr>
        <w:t>než</w:t>
      </w:r>
      <w:r w:rsidR="00705B40" w:rsidRPr="00254724">
        <w:rPr>
          <w:rFonts w:cs="Segoe UI"/>
          <w:b/>
          <w:szCs w:val="20"/>
        </w:rPr>
        <w:t xml:space="preserve"> priemer OECD </w:t>
      </w:r>
      <w:r w:rsidR="00705B40" w:rsidRPr="00EF21A1">
        <w:rPr>
          <w:rFonts w:cs="Segoe UI"/>
          <w:szCs w:val="20"/>
        </w:rPr>
        <w:t>(500 kg oproti 520 kg v roku 2021)</w:t>
      </w:r>
      <w:r w:rsidR="00705B40" w:rsidRPr="00254724">
        <w:rPr>
          <w:rFonts w:cs="Segoe UI"/>
          <w:b/>
          <w:szCs w:val="20"/>
        </w:rPr>
        <w:t xml:space="preserve">, zlepšila sa aj separácia odpadov, avšak </w:t>
      </w:r>
      <w:r w:rsidR="00EF21A1">
        <w:rPr>
          <w:rFonts w:cs="Segoe UI"/>
          <w:b/>
          <w:szCs w:val="20"/>
        </w:rPr>
        <w:t>za posledných 10 rokov</w:t>
      </w:r>
      <w:r w:rsidR="00705B40" w:rsidRPr="00254724">
        <w:rPr>
          <w:rFonts w:cs="Segoe UI"/>
          <w:b/>
          <w:szCs w:val="20"/>
        </w:rPr>
        <w:t xml:space="preserve"> rástla produkcia komunálneho odpadu rýchlejšie ako HDP a 41 % tohto odpadu stále končí na skládkach. </w:t>
      </w:r>
      <w:r w:rsidR="00705B40" w:rsidRPr="00254724">
        <w:rPr>
          <w:rFonts w:cs="Segoe UI"/>
          <w:szCs w:val="20"/>
        </w:rPr>
        <w:t>SR má pomerne dobre vypracovanú koncepciu politiky v oblasti odpadov, napriek tomu sa nepodarilo splniť väčšinu cieľov do roku 2020 a napredovanie napr. v oblasti recyklácie je otázn</w:t>
      </w:r>
      <w:r w:rsidR="00EF21A1">
        <w:rPr>
          <w:rFonts w:cs="Segoe UI"/>
          <w:szCs w:val="20"/>
        </w:rPr>
        <w:t>e</w:t>
      </w:r>
      <w:r w:rsidR="00705B40" w:rsidRPr="00254724">
        <w:rPr>
          <w:rFonts w:cs="Segoe UI"/>
          <w:szCs w:val="20"/>
        </w:rPr>
        <w:t>. EK a OECD odporúča</w:t>
      </w:r>
      <w:r w:rsidR="00EF21A1">
        <w:rPr>
          <w:rFonts w:cs="Segoe UI"/>
          <w:szCs w:val="20"/>
        </w:rPr>
        <w:t>jú</w:t>
      </w:r>
      <w:r w:rsidR="00705B40" w:rsidRPr="00254724">
        <w:rPr>
          <w:rFonts w:cs="Segoe UI"/>
          <w:szCs w:val="20"/>
        </w:rPr>
        <w:t xml:space="preserve"> posilniť využívanie ekonomických nástrojov v odpadovom hospodárstve</w:t>
      </w:r>
      <w:r w:rsidR="00EF21A1">
        <w:rPr>
          <w:rFonts w:cs="Segoe UI"/>
          <w:szCs w:val="20"/>
        </w:rPr>
        <w:t>, a to</w:t>
      </w:r>
      <w:r w:rsidR="00705B40" w:rsidRPr="00254724">
        <w:rPr>
          <w:rFonts w:cs="Segoe UI"/>
          <w:szCs w:val="20"/>
        </w:rPr>
        <w:t xml:space="preserve"> zvýšenie dane za skládkovanie a zefektívnenie jej výnosov, zdokonalenie systému rozšírenej zodpovednosti výrobcov, častejšie zavedenie povinnosti zeleného verejného obstarávania a rozšírenie systému „platba podľa množstva odpadu“ (v roku 2</w:t>
      </w:r>
      <w:r w:rsidR="00F17978">
        <w:rPr>
          <w:rFonts w:cs="Segoe UI"/>
          <w:szCs w:val="20"/>
        </w:rPr>
        <w:t>018 ju využívalo len 6 % obcí).</w:t>
      </w:r>
    </w:p>
    <w:p w14:paraId="22AEBEED" w14:textId="1CEF1EB4" w:rsidR="00916D76" w:rsidRPr="000C6806" w:rsidRDefault="00916D76" w:rsidP="00916D76">
      <w:pPr>
        <w:spacing w:after="0"/>
        <w:rPr>
          <w:rFonts w:cs="Segoe UI"/>
          <w:b/>
          <w:szCs w:val="20"/>
        </w:rPr>
      </w:pPr>
      <w:r w:rsidRPr="000C6806">
        <w:rPr>
          <w:rFonts w:cs="Segoe UI"/>
          <w:b/>
          <w:szCs w:val="20"/>
        </w:rPr>
        <w:t xml:space="preserve">V rámci kapitálových výdavkov sú na sanácie skládok rozpočtované výdavky zo ŠR na úrovni približne 4 mil. eur. </w:t>
      </w:r>
      <w:r w:rsidRPr="000C6806">
        <w:rPr>
          <w:rFonts w:cs="Segoe UI"/>
          <w:szCs w:val="20"/>
        </w:rPr>
        <w:t>Progres v</w:t>
      </w:r>
      <w:r>
        <w:rPr>
          <w:rFonts w:cs="Segoe UI"/>
          <w:b/>
          <w:szCs w:val="20"/>
        </w:rPr>
        <w:t xml:space="preserve"> </w:t>
      </w:r>
      <w:r w:rsidRPr="00254724">
        <w:rPr>
          <w:rFonts w:cs="Segoe UI"/>
          <w:szCs w:val="20"/>
        </w:rPr>
        <w:t>oblasti s</w:t>
      </w:r>
      <w:r>
        <w:rPr>
          <w:rFonts w:cs="Segoe UI"/>
          <w:szCs w:val="20"/>
        </w:rPr>
        <w:t xml:space="preserve">anácie environmentálnych záťaží (odstraňovanie a čistenie kontaminovaných lokalít) je vo všeobecnosti </w:t>
      </w:r>
      <w:r w:rsidRPr="00254724">
        <w:rPr>
          <w:rFonts w:cs="Segoe UI"/>
          <w:szCs w:val="20"/>
        </w:rPr>
        <w:t>zdĺhavý a pomalý. Do roku 2027 je na sanáciu potrebná viac ako 1 ml</w:t>
      </w:r>
      <w:r>
        <w:rPr>
          <w:rFonts w:cs="Segoe UI"/>
          <w:szCs w:val="20"/>
        </w:rPr>
        <w:t>d. eur.</w:t>
      </w:r>
      <w:r>
        <w:rPr>
          <w:rStyle w:val="Odkaznapoznmkupodiarou"/>
          <w:rFonts w:cs="Segoe UI"/>
          <w:szCs w:val="20"/>
        </w:rPr>
        <w:footnoteReference w:id="112"/>
      </w:r>
      <w:r w:rsidRPr="00254724">
        <w:rPr>
          <w:rFonts w:cs="Segoe UI"/>
          <w:szCs w:val="20"/>
        </w:rPr>
        <w:t xml:space="preserve"> </w:t>
      </w:r>
      <w:r>
        <w:rPr>
          <w:rFonts w:cs="Segoe UI"/>
          <w:szCs w:val="20"/>
        </w:rPr>
        <w:t>Okrem nedostatočných prostriedkov zo ŠR patria m</w:t>
      </w:r>
      <w:r w:rsidRPr="00254724">
        <w:rPr>
          <w:rFonts w:cs="Segoe UI"/>
          <w:szCs w:val="20"/>
        </w:rPr>
        <w:t>edzi hlavné problémy identifikácia znečisťovateľov alebo zodpovedných subjektov, chýbajúca legislatívna lehota na rozhodnutie, ktorým</w:t>
      </w:r>
      <w:r>
        <w:rPr>
          <w:rFonts w:cs="Segoe UI"/>
          <w:szCs w:val="20"/>
        </w:rPr>
        <w:t xml:space="preserve"> ministerstvo zabezpečí nápravu</w:t>
      </w:r>
      <w:r w:rsidRPr="00254724">
        <w:rPr>
          <w:rFonts w:cs="Segoe UI"/>
          <w:szCs w:val="20"/>
        </w:rPr>
        <w:t xml:space="preserve"> a dĺžka procesov verejného obstarávania</w:t>
      </w:r>
      <w:r>
        <w:rPr>
          <w:rFonts w:cs="Segoe UI"/>
          <w:szCs w:val="20"/>
        </w:rPr>
        <w:t>.</w:t>
      </w:r>
    </w:p>
    <w:p w14:paraId="215D9A74" w14:textId="77777777" w:rsidR="00916D76" w:rsidRDefault="00916D76" w:rsidP="00705B40">
      <w:pPr>
        <w:spacing w:after="0"/>
        <w:rPr>
          <w:rFonts w:cs="Segoe UI"/>
          <w:szCs w:val="20"/>
        </w:rPr>
      </w:pPr>
    </w:p>
    <w:p w14:paraId="4CD6E9FA" w14:textId="0BC31C65" w:rsidR="00F17978" w:rsidRDefault="00F17978">
      <w:pPr>
        <w:spacing w:after="160" w:line="259" w:lineRule="auto"/>
        <w:jc w:val="left"/>
        <w:rPr>
          <w:rFonts w:cs="Segoe UI"/>
          <w:szCs w:val="20"/>
        </w:rPr>
      </w:pPr>
      <w:r>
        <w:rPr>
          <w:rFonts w:cs="Segoe UI"/>
          <w:szCs w:val="20"/>
        </w:rPr>
        <w:br w:type="page"/>
      </w:r>
    </w:p>
    <w:p w14:paraId="09DD7397" w14:textId="297B9BBE" w:rsidR="005C7289" w:rsidRPr="00200FC0" w:rsidRDefault="005C7289" w:rsidP="005C7289">
      <w:pPr>
        <w:pStyle w:val="Nadpis1"/>
      </w:pPr>
      <w:bookmarkStart w:id="62" w:name="_Toc182559207"/>
      <w:r w:rsidRPr="00200FC0">
        <w:lastRenderedPageBreak/>
        <w:t>Rozpočtové vzťahy samosprávy a štátu</w:t>
      </w:r>
      <w:bookmarkEnd w:id="62"/>
    </w:p>
    <w:p w14:paraId="0FA82CA5" w14:textId="65930CEE" w:rsidR="005C7289" w:rsidRPr="00913EB0" w:rsidRDefault="00B5522E" w:rsidP="005C7289">
      <w:pPr>
        <w:rPr>
          <w:rFonts w:eastAsia="Times New Roman" w:cs="Segoe UI"/>
          <w:color w:val="000000"/>
          <w:szCs w:val="20"/>
          <w:lang w:eastAsia="sk-SK"/>
        </w:rPr>
      </w:pPr>
      <w:r w:rsidRPr="00913EB0">
        <w:rPr>
          <w:rFonts w:eastAsia="Times New Roman" w:cs="Segoe UI"/>
          <w:color w:val="000000"/>
          <w:szCs w:val="20"/>
          <w:lang w:eastAsia="sk-SK"/>
        </w:rPr>
        <w:t>Za účelom</w:t>
      </w:r>
      <w:r w:rsidR="005C7289" w:rsidRPr="00913EB0">
        <w:rPr>
          <w:rFonts w:eastAsia="Times New Roman" w:cs="Segoe UI"/>
          <w:color w:val="000000"/>
          <w:szCs w:val="20"/>
          <w:lang w:eastAsia="sk-SK"/>
        </w:rPr>
        <w:t xml:space="preserve"> zostavenia návrhu RVS na rok 2025 vypracovalo MF SR indikatívny súhrnný návrh rozpočtov za obce a VÚC. </w:t>
      </w:r>
    </w:p>
    <w:p w14:paraId="41C55FAD" w14:textId="3948626C" w:rsidR="005C7289" w:rsidRDefault="005C7289" w:rsidP="005C7289">
      <w:pPr>
        <w:rPr>
          <w:rFonts w:eastAsia="Times New Roman" w:cs="Segoe UI"/>
          <w:color w:val="000000"/>
          <w:szCs w:val="20"/>
          <w:highlight w:val="yellow"/>
          <w:lang w:eastAsia="sk-SK"/>
        </w:rPr>
      </w:pPr>
      <w:r w:rsidRPr="005C7289">
        <w:rPr>
          <w:rFonts w:eastAsia="Times New Roman" w:cs="Segoe UI"/>
          <w:b/>
          <w:bCs/>
          <w:color w:val="000000"/>
          <w:szCs w:val="20"/>
          <w:lang w:eastAsia="sk-SK"/>
        </w:rPr>
        <w:t xml:space="preserve">Rozpočet obcí </w:t>
      </w:r>
      <w:r w:rsidRPr="005C7289">
        <w:rPr>
          <w:rFonts w:eastAsia="Times New Roman" w:cs="Segoe UI"/>
          <w:b/>
          <w:color w:val="000000"/>
          <w:szCs w:val="20"/>
          <w:lang w:eastAsia="sk-SK"/>
        </w:rPr>
        <w:t xml:space="preserve">na rok 2025 v metodike ESA 2010 je zostavený </w:t>
      </w:r>
      <w:r w:rsidR="00D82056">
        <w:rPr>
          <w:rFonts w:eastAsia="Times New Roman" w:cs="Segoe UI"/>
          <w:b/>
          <w:color w:val="000000"/>
          <w:szCs w:val="20"/>
          <w:lang w:eastAsia="sk-SK"/>
        </w:rPr>
        <w:t>so</w:t>
      </w:r>
      <w:r w:rsidRPr="005C7289">
        <w:rPr>
          <w:rFonts w:eastAsia="Times New Roman" w:cs="Segoe UI"/>
          <w:b/>
          <w:color w:val="000000"/>
          <w:szCs w:val="20"/>
          <w:lang w:eastAsia="sk-SK"/>
        </w:rPr>
        <w:t xml:space="preserve"> schodk</w:t>
      </w:r>
      <w:r w:rsidR="00D82056">
        <w:rPr>
          <w:rFonts w:eastAsia="Times New Roman" w:cs="Segoe UI"/>
          <w:b/>
          <w:color w:val="000000"/>
          <w:szCs w:val="20"/>
          <w:lang w:eastAsia="sk-SK"/>
        </w:rPr>
        <w:t>om</w:t>
      </w:r>
      <w:r w:rsidRPr="005C7289">
        <w:rPr>
          <w:rFonts w:eastAsia="Times New Roman" w:cs="Segoe UI"/>
          <w:b/>
          <w:color w:val="000000"/>
          <w:szCs w:val="20"/>
          <w:lang w:eastAsia="sk-SK"/>
        </w:rPr>
        <w:t xml:space="preserve"> vo výške takmer 177 mil. eur</w:t>
      </w:r>
      <w:r>
        <w:rPr>
          <w:rFonts w:eastAsia="Times New Roman" w:cs="Segoe UI"/>
          <w:color w:val="000000"/>
          <w:szCs w:val="20"/>
          <w:lang w:eastAsia="sk-SK"/>
        </w:rPr>
        <w:t xml:space="preserve"> </w:t>
      </w:r>
      <w:r w:rsidRPr="005C7289">
        <w:rPr>
          <w:rFonts w:eastAsia="Times New Roman" w:cs="Segoe UI"/>
          <w:color w:val="000000"/>
          <w:szCs w:val="20"/>
          <w:lang w:eastAsia="sk-SK"/>
        </w:rPr>
        <w:t>(tabuľka</w:t>
      </w:r>
      <w:r>
        <w:rPr>
          <w:rFonts w:eastAsia="Times New Roman" w:cs="Segoe UI"/>
          <w:i/>
          <w:color w:val="000000"/>
          <w:szCs w:val="20"/>
          <w:lang w:eastAsia="sk-SK"/>
        </w:rPr>
        <w:t xml:space="preserve"> </w:t>
      </w:r>
      <w:r w:rsidRPr="005C7289">
        <w:rPr>
          <w:rFonts w:eastAsia="Times New Roman" w:cs="Segoe UI"/>
          <w:color w:val="000000"/>
          <w:szCs w:val="20"/>
          <w:lang w:eastAsia="sk-SK"/>
        </w:rPr>
        <w:t>1</w:t>
      </w:r>
      <w:r w:rsidR="00041ECD">
        <w:rPr>
          <w:rFonts w:eastAsia="Times New Roman" w:cs="Segoe UI"/>
          <w:color w:val="000000"/>
          <w:szCs w:val="20"/>
          <w:lang w:eastAsia="sk-SK"/>
        </w:rPr>
        <w:t>3</w:t>
      </w:r>
      <w:r>
        <w:rPr>
          <w:rFonts w:eastAsia="Times New Roman" w:cs="Segoe UI"/>
          <w:color w:val="000000"/>
          <w:szCs w:val="20"/>
          <w:lang w:eastAsia="sk-SK"/>
        </w:rPr>
        <w:t>).</w:t>
      </w:r>
      <w:r w:rsidRPr="00C86202">
        <w:rPr>
          <w:rFonts w:eastAsia="Times New Roman" w:cs="Segoe UI"/>
          <w:color w:val="000000"/>
          <w:szCs w:val="20"/>
          <w:lang w:eastAsia="sk-SK"/>
        </w:rPr>
        <w:t xml:space="preserve"> </w:t>
      </w:r>
      <w:r w:rsidR="00DE3D2F">
        <w:rPr>
          <w:rFonts w:eastAsia="Times New Roman" w:cs="Segoe UI"/>
          <w:color w:val="000000"/>
          <w:szCs w:val="20"/>
          <w:lang w:eastAsia="sk-SK"/>
        </w:rPr>
        <w:t>Celková bilancia obcí je pozitívna na úrovni 368 mil. eur a schodok je dosiahnutý po započítaní finančných operácií vo výške 545 mil. eur.</w:t>
      </w:r>
      <w:r w:rsidR="00DE3D2F" w:rsidRPr="00C86202">
        <w:rPr>
          <w:rFonts w:eastAsia="Times New Roman" w:cs="Segoe UI"/>
          <w:color w:val="000000"/>
          <w:szCs w:val="20"/>
          <w:lang w:eastAsia="sk-SK"/>
        </w:rPr>
        <w:t xml:space="preserve"> </w:t>
      </w:r>
      <w:r w:rsidRPr="00C86202">
        <w:rPr>
          <w:rFonts w:eastAsia="Times New Roman" w:cs="Segoe UI"/>
          <w:color w:val="000000"/>
          <w:szCs w:val="20"/>
          <w:lang w:eastAsia="sk-SK"/>
        </w:rPr>
        <w:t xml:space="preserve">Príjmy obcí </w:t>
      </w:r>
      <w:r>
        <w:rPr>
          <w:rFonts w:eastAsia="Times New Roman" w:cs="Segoe UI"/>
          <w:color w:val="000000"/>
          <w:szCs w:val="20"/>
          <w:lang w:eastAsia="sk-SK"/>
        </w:rPr>
        <w:t>by mali</w:t>
      </w:r>
      <w:r w:rsidRPr="00C86202">
        <w:rPr>
          <w:rFonts w:eastAsia="Times New Roman" w:cs="Segoe UI"/>
          <w:color w:val="000000"/>
          <w:szCs w:val="20"/>
          <w:lang w:eastAsia="sk-SK"/>
        </w:rPr>
        <w:t xml:space="preserve"> oproti r</w:t>
      </w:r>
      <w:r>
        <w:rPr>
          <w:rFonts w:eastAsia="Times New Roman" w:cs="Segoe UI"/>
          <w:color w:val="000000"/>
          <w:szCs w:val="20"/>
          <w:lang w:eastAsia="sk-SK"/>
        </w:rPr>
        <w:t>ozpočtu na rok 2024 vzrásť o vyše 510</w:t>
      </w:r>
      <w:r w:rsidRPr="00C86202">
        <w:rPr>
          <w:rFonts w:eastAsia="Times New Roman" w:cs="Segoe UI"/>
          <w:color w:val="000000"/>
          <w:szCs w:val="20"/>
          <w:lang w:eastAsia="sk-SK"/>
        </w:rPr>
        <w:t xml:space="preserve"> mil. eur</w:t>
      </w:r>
      <w:r>
        <w:rPr>
          <w:rFonts w:eastAsia="Times New Roman" w:cs="Segoe UI"/>
          <w:color w:val="000000"/>
          <w:szCs w:val="20"/>
          <w:lang w:eastAsia="sk-SK"/>
        </w:rPr>
        <w:t>.</w:t>
      </w:r>
      <w:r w:rsidRPr="00C86202">
        <w:rPr>
          <w:rFonts w:eastAsia="Times New Roman" w:cs="Segoe UI"/>
          <w:color w:val="000000"/>
          <w:szCs w:val="20"/>
          <w:lang w:eastAsia="sk-SK"/>
        </w:rPr>
        <w:t xml:space="preserve"> </w:t>
      </w:r>
      <w:r w:rsidRPr="00E85131">
        <w:rPr>
          <w:rFonts w:eastAsia="Times New Roman" w:cs="Segoe UI"/>
          <w:color w:val="000000"/>
          <w:szCs w:val="20"/>
          <w:lang w:eastAsia="sk-SK"/>
        </w:rPr>
        <w:t>Vzhľadom na súčasnú hospodársku situáciu a</w:t>
      </w:r>
      <w:r>
        <w:rPr>
          <w:rFonts w:eastAsia="Times New Roman" w:cs="Segoe UI"/>
          <w:color w:val="000000"/>
          <w:szCs w:val="20"/>
          <w:lang w:eastAsia="sk-SK"/>
        </w:rPr>
        <w:t xml:space="preserve"> rastúcu </w:t>
      </w:r>
      <w:r w:rsidRPr="00E85131">
        <w:rPr>
          <w:rFonts w:eastAsia="Times New Roman" w:cs="Segoe UI"/>
          <w:color w:val="000000"/>
          <w:szCs w:val="20"/>
          <w:lang w:eastAsia="sk-SK"/>
        </w:rPr>
        <w:t>infláciu</w:t>
      </w:r>
      <w:r>
        <w:rPr>
          <w:rFonts w:eastAsia="Times New Roman" w:cs="Segoe UI"/>
          <w:color w:val="000000"/>
          <w:szCs w:val="20"/>
          <w:lang w:eastAsia="sk-SK"/>
        </w:rPr>
        <w:t xml:space="preserve"> </w:t>
      </w:r>
      <w:r w:rsidRPr="00E85131">
        <w:rPr>
          <w:rFonts w:eastAsia="Times New Roman" w:cs="Segoe UI"/>
          <w:color w:val="000000"/>
          <w:szCs w:val="20"/>
          <w:lang w:eastAsia="sk-SK"/>
        </w:rPr>
        <w:t xml:space="preserve">môže tento nárast len čiastočne kompenzovať skutočný rast nákladov, </w:t>
      </w:r>
      <w:r w:rsidR="004F42CD">
        <w:rPr>
          <w:rFonts w:eastAsia="Times New Roman" w:cs="Segoe UI"/>
          <w:color w:val="000000"/>
          <w:szCs w:val="20"/>
          <w:lang w:eastAsia="sk-SK"/>
        </w:rPr>
        <w:t>takž</w:t>
      </w:r>
      <w:r w:rsidRPr="00E85131">
        <w:rPr>
          <w:rFonts w:eastAsia="Times New Roman" w:cs="Segoe UI"/>
          <w:color w:val="000000"/>
          <w:szCs w:val="20"/>
          <w:lang w:eastAsia="sk-SK"/>
        </w:rPr>
        <w:t xml:space="preserve">e </w:t>
      </w:r>
      <w:r w:rsidRPr="009E0B96">
        <w:rPr>
          <w:rFonts w:eastAsia="Times New Roman" w:cs="Segoe UI"/>
          <w:color w:val="000000"/>
          <w:szCs w:val="20"/>
          <w:lang w:eastAsia="sk-SK"/>
        </w:rPr>
        <w:t>schopnosť</w:t>
      </w:r>
      <w:r>
        <w:rPr>
          <w:rFonts w:eastAsia="Times New Roman" w:cs="Segoe UI"/>
          <w:color w:val="000000"/>
          <w:szCs w:val="20"/>
          <w:lang w:eastAsia="sk-SK"/>
        </w:rPr>
        <w:t xml:space="preserve"> obcí</w:t>
      </w:r>
      <w:r w:rsidRPr="009E0B96">
        <w:rPr>
          <w:rFonts w:eastAsia="Times New Roman" w:cs="Segoe UI"/>
          <w:color w:val="000000"/>
          <w:szCs w:val="20"/>
          <w:lang w:eastAsia="sk-SK"/>
        </w:rPr>
        <w:t xml:space="preserve"> financovať svoje výdavky a poskytovať služby obyvateľom</w:t>
      </w:r>
      <w:r>
        <w:rPr>
          <w:rFonts w:eastAsia="Times New Roman" w:cs="Segoe UI"/>
          <w:color w:val="000000"/>
          <w:szCs w:val="20"/>
          <w:lang w:eastAsia="sk-SK"/>
        </w:rPr>
        <w:t xml:space="preserve"> </w:t>
      </w:r>
      <w:r w:rsidRPr="00E85131">
        <w:rPr>
          <w:rFonts w:eastAsia="Times New Roman" w:cs="Segoe UI"/>
          <w:color w:val="000000"/>
          <w:szCs w:val="20"/>
          <w:lang w:eastAsia="sk-SK"/>
        </w:rPr>
        <w:t xml:space="preserve">sa môže znižovať. </w:t>
      </w:r>
      <w:r>
        <w:rPr>
          <w:rFonts w:eastAsia="Times New Roman" w:cs="Segoe UI"/>
          <w:color w:val="000000"/>
          <w:szCs w:val="20"/>
          <w:lang w:eastAsia="sk-SK"/>
        </w:rPr>
        <w:t xml:space="preserve">Na </w:t>
      </w:r>
      <w:r w:rsidRPr="000E42A7">
        <w:rPr>
          <w:rFonts w:eastAsia="Times New Roman" w:cs="Segoe UI"/>
          <w:color w:val="000000"/>
          <w:szCs w:val="20"/>
          <w:lang w:eastAsia="sk-SK"/>
        </w:rPr>
        <w:t xml:space="preserve">rok 2025 sú rozpočtované príjmy </w:t>
      </w:r>
      <w:r w:rsidR="005C5249">
        <w:rPr>
          <w:rFonts w:eastAsia="Times New Roman" w:cs="Segoe UI"/>
          <w:color w:val="000000"/>
          <w:szCs w:val="20"/>
          <w:lang w:eastAsia="sk-SK"/>
        </w:rPr>
        <w:t xml:space="preserve">o 21,1 mil. eur </w:t>
      </w:r>
      <w:r w:rsidRPr="000E42A7">
        <w:rPr>
          <w:rFonts w:eastAsia="Times New Roman" w:cs="Segoe UI"/>
          <w:color w:val="000000"/>
          <w:szCs w:val="20"/>
          <w:lang w:eastAsia="sk-SK"/>
        </w:rPr>
        <w:t>nižšie ako</w:t>
      </w:r>
      <w:r>
        <w:rPr>
          <w:rFonts w:eastAsia="Times New Roman" w:cs="Segoe UI"/>
          <w:color w:val="000000"/>
          <w:szCs w:val="20"/>
          <w:lang w:eastAsia="sk-SK"/>
        </w:rPr>
        <w:t xml:space="preserve"> očakávan</w:t>
      </w:r>
      <w:r w:rsidR="002E5B13">
        <w:rPr>
          <w:rFonts w:eastAsia="Times New Roman" w:cs="Segoe UI"/>
          <w:color w:val="000000"/>
          <w:szCs w:val="20"/>
          <w:lang w:eastAsia="sk-SK"/>
        </w:rPr>
        <w:t>é príjmy</w:t>
      </w:r>
      <w:r>
        <w:rPr>
          <w:rFonts w:eastAsia="Times New Roman" w:cs="Segoe UI"/>
          <w:color w:val="000000"/>
          <w:szCs w:val="20"/>
          <w:lang w:eastAsia="sk-SK"/>
        </w:rPr>
        <w:t xml:space="preserve"> </w:t>
      </w:r>
      <w:r w:rsidRPr="000E42A7">
        <w:rPr>
          <w:rFonts w:eastAsia="Times New Roman" w:cs="Segoe UI"/>
          <w:color w:val="000000"/>
          <w:szCs w:val="20"/>
          <w:lang w:eastAsia="sk-SK"/>
        </w:rPr>
        <w:t>v roku 2024</w:t>
      </w:r>
      <w:r>
        <w:rPr>
          <w:rFonts w:eastAsia="Times New Roman" w:cs="Segoe UI"/>
          <w:color w:val="000000"/>
          <w:szCs w:val="20"/>
          <w:lang w:eastAsia="sk-SK"/>
        </w:rPr>
        <w:t>.</w:t>
      </w:r>
      <w:r w:rsidRPr="000E42A7">
        <w:rPr>
          <w:rFonts w:eastAsia="Times New Roman" w:cs="Segoe UI"/>
          <w:color w:val="000000"/>
          <w:szCs w:val="20"/>
          <w:lang w:eastAsia="sk-SK"/>
        </w:rPr>
        <w:t xml:space="preserve"> </w:t>
      </w:r>
      <w:r>
        <w:rPr>
          <w:rFonts w:eastAsia="Times New Roman" w:cs="Segoe UI"/>
          <w:color w:val="000000"/>
          <w:szCs w:val="20"/>
          <w:lang w:eastAsia="sk-SK"/>
        </w:rPr>
        <w:t>Celkové výdavky obcí sa v roku 2025 rozpočtujú na 7,3 mld. eur, pričom ide o nárast o 453,8 mil. eur v porovnaní s rozpočtovanými výdavkami v roku 2024</w:t>
      </w:r>
      <w:r w:rsidR="002E5B13">
        <w:rPr>
          <w:rFonts w:eastAsia="Times New Roman" w:cs="Segoe UI"/>
          <w:color w:val="000000"/>
          <w:szCs w:val="20"/>
          <w:lang w:eastAsia="sk-SK"/>
        </w:rPr>
        <w:t>.</w:t>
      </w:r>
    </w:p>
    <w:p w14:paraId="227FB5E1" w14:textId="4CFE271A" w:rsidR="00B5522E" w:rsidRPr="00C86202" w:rsidRDefault="00B5522E" w:rsidP="00B5522E">
      <w:pPr>
        <w:spacing w:after="0" w:line="240" w:lineRule="auto"/>
        <w:rPr>
          <w:rFonts w:eastAsia="Calibri" w:cs="Times New Roman"/>
          <w:b/>
          <w:iCs/>
          <w:color w:val="314364"/>
          <w:szCs w:val="18"/>
        </w:rPr>
      </w:pPr>
      <w:r w:rsidRPr="005C7289">
        <w:rPr>
          <w:rFonts w:eastAsia="Calibri" w:cs="Times New Roman"/>
          <w:b/>
          <w:iCs/>
          <w:color w:val="314364"/>
          <w:szCs w:val="18"/>
        </w:rPr>
        <w:t>Tabuľka</w:t>
      </w:r>
      <w:r w:rsidRPr="00C86202">
        <w:rPr>
          <w:rFonts w:eastAsia="Calibri" w:cs="Times New Roman"/>
          <w:b/>
          <w:iCs/>
          <w:color w:val="314364"/>
          <w:szCs w:val="18"/>
        </w:rPr>
        <w:t xml:space="preserve"> </w:t>
      </w:r>
      <w:r>
        <w:rPr>
          <w:rFonts w:eastAsia="Calibri" w:cs="Times New Roman"/>
          <w:b/>
          <w:iCs/>
          <w:color w:val="314364"/>
          <w:szCs w:val="18"/>
        </w:rPr>
        <w:t>1</w:t>
      </w:r>
      <w:r w:rsidR="00041ECD">
        <w:rPr>
          <w:rFonts w:eastAsia="Calibri" w:cs="Times New Roman"/>
          <w:b/>
          <w:iCs/>
          <w:color w:val="314364"/>
          <w:szCs w:val="18"/>
        </w:rPr>
        <w:t>3</w:t>
      </w:r>
      <w:r w:rsidRPr="00C86202">
        <w:rPr>
          <w:rFonts w:eastAsia="Calibri" w:cs="Times New Roman"/>
          <w:b/>
          <w:iCs/>
          <w:color w:val="314364"/>
          <w:szCs w:val="18"/>
        </w:rPr>
        <w:t>: Bilančný zostatok obcí podľa metodiky ESA 2010 (v tis. eur)</w:t>
      </w:r>
    </w:p>
    <w:tbl>
      <w:tblPr>
        <w:tblOverlap w:val="never"/>
        <w:tblW w:w="5000" w:type="pct"/>
        <w:jc w:val="center"/>
        <w:tblCellMar>
          <w:left w:w="10" w:type="dxa"/>
          <w:right w:w="10" w:type="dxa"/>
        </w:tblCellMar>
        <w:tblLook w:val="0000" w:firstRow="0" w:lastRow="0" w:firstColumn="0" w:lastColumn="0" w:noHBand="0" w:noVBand="0"/>
      </w:tblPr>
      <w:tblGrid>
        <w:gridCol w:w="2434"/>
        <w:gridCol w:w="858"/>
        <w:gridCol w:w="1001"/>
        <w:gridCol w:w="1001"/>
        <w:gridCol w:w="1000"/>
        <w:gridCol w:w="1575"/>
        <w:gridCol w:w="1201"/>
      </w:tblGrid>
      <w:tr w:rsidR="00B5522E" w:rsidRPr="007F0877" w14:paraId="181FC3DA" w14:textId="77777777" w:rsidTr="00B571E8">
        <w:trPr>
          <w:cantSplit/>
          <w:trHeight w:val="283"/>
          <w:jc w:val="center"/>
        </w:trPr>
        <w:tc>
          <w:tcPr>
            <w:tcW w:w="1341" w:type="pct"/>
            <w:shd w:val="clear" w:color="auto" w:fill="314364"/>
            <w:vAlign w:val="center"/>
          </w:tcPr>
          <w:p w14:paraId="1871459E" w14:textId="77777777" w:rsidR="00B5522E" w:rsidRPr="007F0877" w:rsidRDefault="00B5522E" w:rsidP="00B571E8">
            <w:pPr>
              <w:keepNext/>
              <w:widowControl w:val="0"/>
              <w:spacing w:after="0" w:line="240" w:lineRule="auto"/>
              <w:jc w:val="left"/>
              <w:rPr>
                <w:rFonts w:eastAsia="Times New Roman" w:cs="Segoe UI"/>
                <w:sz w:val="18"/>
                <w:szCs w:val="18"/>
              </w:rPr>
            </w:pPr>
            <w:r w:rsidRPr="007F0877">
              <w:rPr>
                <w:rFonts w:eastAsia="Times New Roman" w:cs="Segoe UI"/>
                <w:b/>
                <w:bCs/>
                <w:color w:val="FFFFFF"/>
                <w:sz w:val="18"/>
                <w:szCs w:val="18"/>
                <w:lang w:eastAsia="sk-SK" w:bidi="sk-SK"/>
              </w:rPr>
              <w:t>Hospodárenie obcí</w:t>
            </w:r>
          </w:p>
        </w:tc>
        <w:tc>
          <w:tcPr>
            <w:tcW w:w="473" w:type="pct"/>
            <w:shd w:val="clear" w:color="auto" w:fill="314364"/>
            <w:vAlign w:val="center"/>
          </w:tcPr>
          <w:p w14:paraId="4C887FCF" w14:textId="77777777" w:rsidR="00B5522E" w:rsidRPr="007F0877" w:rsidRDefault="00B5522E" w:rsidP="00B571E8">
            <w:pPr>
              <w:keepNext/>
              <w:widowControl w:val="0"/>
              <w:spacing w:after="0" w:line="240" w:lineRule="auto"/>
              <w:jc w:val="right"/>
              <w:rPr>
                <w:rFonts w:eastAsia="Times New Roman" w:cs="Segoe UI"/>
                <w:sz w:val="18"/>
                <w:szCs w:val="18"/>
              </w:rPr>
            </w:pPr>
            <w:r w:rsidRPr="007F0877">
              <w:rPr>
                <w:rFonts w:eastAsia="Times New Roman" w:cs="Segoe UI"/>
                <w:b/>
                <w:bCs/>
                <w:color w:val="FFFFFF"/>
                <w:sz w:val="18"/>
                <w:szCs w:val="18"/>
                <w:lang w:eastAsia="sk-SK" w:bidi="sk-SK"/>
              </w:rPr>
              <w:t>2023 S</w:t>
            </w:r>
          </w:p>
        </w:tc>
        <w:tc>
          <w:tcPr>
            <w:tcW w:w="552" w:type="pct"/>
            <w:shd w:val="clear" w:color="auto" w:fill="314364"/>
            <w:vAlign w:val="center"/>
          </w:tcPr>
          <w:p w14:paraId="2B9C17FE" w14:textId="77777777" w:rsidR="00B5522E" w:rsidRPr="007F0877" w:rsidRDefault="00B5522E" w:rsidP="00B571E8">
            <w:pPr>
              <w:keepNext/>
              <w:widowControl w:val="0"/>
              <w:spacing w:after="0" w:line="240" w:lineRule="auto"/>
              <w:jc w:val="right"/>
              <w:rPr>
                <w:rFonts w:eastAsia="Times New Roman" w:cs="Segoe UI"/>
                <w:sz w:val="18"/>
                <w:szCs w:val="18"/>
              </w:rPr>
            </w:pPr>
            <w:r w:rsidRPr="007F0877">
              <w:rPr>
                <w:rFonts w:eastAsia="Times New Roman" w:cs="Segoe UI"/>
                <w:b/>
                <w:bCs/>
                <w:color w:val="FFFFFF"/>
                <w:sz w:val="18"/>
                <w:szCs w:val="18"/>
                <w:lang w:eastAsia="sk-SK" w:bidi="sk-SK"/>
              </w:rPr>
              <w:t>2024 R</w:t>
            </w:r>
          </w:p>
        </w:tc>
        <w:tc>
          <w:tcPr>
            <w:tcW w:w="552" w:type="pct"/>
            <w:shd w:val="clear" w:color="auto" w:fill="314364"/>
            <w:vAlign w:val="center"/>
          </w:tcPr>
          <w:p w14:paraId="1E51456A" w14:textId="77777777" w:rsidR="00B5522E" w:rsidRPr="007F0877" w:rsidRDefault="00B5522E" w:rsidP="00B571E8">
            <w:pPr>
              <w:keepNext/>
              <w:widowControl w:val="0"/>
              <w:spacing w:after="0" w:line="240" w:lineRule="auto"/>
              <w:jc w:val="right"/>
              <w:rPr>
                <w:rFonts w:eastAsia="Times New Roman" w:cs="Segoe UI"/>
                <w:b/>
                <w:bCs/>
                <w:color w:val="FFFFFF"/>
                <w:sz w:val="18"/>
                <w:szCs w:val="18"/>
                <w:lang w:eastAsia="sk-SK" w:bidi="sk-SK"/>
              </w:rPr>
            </w:pPr>
            <w:r w:rsidRPr="007F0877">
              <w:rPr>
                <w:rFonts w:eastAsia="Times New Roman" w:cs="Segoe UI"/>
                <w:b/>
                <w:bCs/>
                <w:color w:val="FFFFFF"/>
                <w:sz w:val="18"/>
                <w:szCs w:val="18"/>
                <w:lang w:eastAsia="sk-SK" w:bidi="sk-SK"/>
              </w:rPr>
              <w:t>2024 OS</w:t>
            </w:r>
          </w:p>
        </w:tc>
        <w:tc>
          <w:tcPr>
            <w:tcW w:w="551" w:type="pct"/>
            <w:shd w:val="clear" w:color="auto" w:fill="314364"/>
            <w:vAlign w:val="center"/>
          </w:tcPr>
          <w:p w14:paraId="2EE0BAB1" w14:textId="77777777" w:rsidR="00B5522E" w:rsidRPr="007F0877" w:rsidRDefault="00B5522E" w:rsidP="00B571E8">
            <w:pPr>
              <w:keepNext/>
              <w:widowControl w:val="0"/>
              <w:spacing w:after="0" w:line="240" w:lineRule="auto"/>
              <w:jc w:val="right"/>
              <w:rPr>
                <w:rFonts w:eastAsia="Times New Roman" w:cs="Segoe UI"/>
                <w:b/>
                <w:bCs/>
                <w:color w:val="FFFFFF"/>
                <w:sz w:val="18"/>
                <w:szCs w:val="18"/>
                <w:lang w:eastAsia="sk-SK" w:bidi="sk-SK"/>
              </w:rPr>
            </w:pPr>
            <w:r w:rsidRPr="007F0877">
              <w:rPr>
                <w:rFonts w:eastAsia="Times New Roman" w:cs="Segoe UI"/>
                <w:b/>
                <w:bCs/>
                <w:color w:val="FFFFFF"/>
                <w:sz w:val="18"/>
                <w:szCs w:val="18"/>
                <w:lang w:eastAsia="sk-SK" w:bidi="sk-SK"/>
              </w:rPr>
              <w:t>2025 N</w:t>
            </w:r>
          </w:p>
        </w:tc>
        <w:tc>
          <w:tcPr>
            <w:tcW w:w="868" w:type="pct"/>
            <w:shd w:val="clear" w:color="auto" w:fill="314364"/>
            <w:vAlign w:val="center"/>
          </w:tcPr>
          <w:p w14:paraId="7E66E134" w14:textId="77777777" w:rsidR="00B5522E" w:rsidRPr="007F0877" w:rsidRDefault="00B5522E" w:rsidP="00B571E8">
            <w:pPr>
              <w:keepNext/>
              <w:widowControl w:val="0"/>
              <w:spacing w:after="0" w:line="240" w:lineRule="auto"/>
              <w:ind w:right="205"/>
              <w:jc w:val="right"/>
              <w:rPr>
                <w:rFonts w:eastAsia="Times New Roman" w:cs="Segoe UI"/>
                <w:sz w:val="18"/>
                <w:szCs w:val="18"/>
              </w:rPr>
            </w:pPr>
            <w:r w:rsidRPr="007F0877">
              <w:rPr>
                <w:rFonts w:eastAsia="Times New Roman" w:cs="Segoe UI"/>
                <w:b/>
                <w:bCs/>
                <w:color w:val="FFFFFF"/>
                <w:sz w:val="18"/>
                <w:szCs w:val="18"/>
                <w:lang w:eastAsia="sk-SK" w:bidi="sk-SK"/>
              </w:rPr>
              <w:t>2025N-2024R</w:t>
            </w:r>
          </w:p>
        </w:tc>
        <w:tc>
          <w:tcPr>
            <w:tcW w:w="662" w:type="pct"/>
            <w:shd w:val="clear" w:color="auto" w:fill="314364"/>
            <w:vAlign w:val="center"/>
          </w:tcPr>
          <w:p w14:paraId="4BDA7DFA" w14:textId="77777777" w:rsidR="00B5522E" w:rsidRPr="007F0877" w:rsidRDefault="00B5522E" w:rsidP="00B571E8">
            <w:pPr>
              <w:keepNext/>
              <w:widowControl w:val="0"/>
              <w:spacing w:after="0" w:line="240" w:lineRule="auto"/>
              <w:jc w:val="right"/>
              <w:rPr>
                <w:rFonts w:eastAsia="Times New Roman" w:cs="Segoe UI"/>
                <w:sz w:val="18"/>
                <w:szCs w:val="18"/>
              </w:rPr>
            </w:pPr>
            <w:r w:rsidRPr="007F0877">
              <w:rPr>
                <w:rFonts w:eastAsia="Times New Roman" w:cs="Segoe UI"/>
                <w:b/>
                <w:bCs/>
                <w:color w:val="FFFFFF"/>
                <w:sz w:val="18"/>
                <w:szCs w:val="18"/>
                <w:lang w:eastAsia="sk-SK" w:bidi="sk-SK"/>
              </w:rPr>
              <w:t xml:space="preserve">2025N/2024R </w:t>
            </w:r>
          </w:p>
        </w:tc>
      </w:tr>
      <w:tr w:rsidR="00B5522E" w:rsidRPr="007F0877" w14:paraId="2F4D07FF" w14:textId="77777777" w:rsidTr="00B571E8">
        <w:trPr>
          <w:cantSplit/>
          <w:trHeight w:val="283"/>
          <w:jc w:val="center"/>
        </w:trPr>
        <w:tc>
          <w:tcPr>
            <w:tcW w:w="1341" w:type="pct"/>
            <w:shd w:val="clear" w:color="auto" w:fill="FFFFFF"/>
            <w:vAlign w:val="center"/>
          </w:tcPr>
          <w:p w14:paraId="15A9487B" w14:textId="77777777" w:rsidR="00B5522E" w:rsidRPr="007F0877" w:rsidRDefault="00B5522E" w:rsidP="00B571E8">
            <w:pPr>
              <w:keepNext/>
              <w:widowControl w:val="0"/>
              <w:spacing w:after="0"/>
              <w:jc w:val="left"/>
              <w:rPr>
                <w:rFonts w:eastAsia="Times New Roman" w:cs="Segoe UI"/>
                <w:sz w:val="18"/>
                <w:szCs w:val="18"/>
              </w:rPr>
            </w:pPr>
            <w:r w:rsidRPr="007F0877">
              <w:rPr>
                <w:rFonts w:eastAsia="Times New Roman" w:cs="Segoe UI"/>
                <w:b/>
                <w:bCs/>
                <w:color w:val="000000"/>
                <w:sz w:val="18"/>
                <w:szCs w:val="18"/>
                <w:lang w:eastAsia="sk-SK" w:bidi="sk-SK"/>
              </w:rPr>
              <w:t>Príjmy obcí spolu</w:t>
            </w:r>
          </w:p>
        </w:tc>
        <w:tc>
          <w:tcPr>
            <w:tcW w:w="473" w:type="pct"/>
            <w:shd w:val="clear" w:color="auto" w:fill="FFFFFF"/>
            <w:vAlign w:val="center"/>
          </w:tcPr>
          <w:p w14:paraId="1A4E58B3" w14:textId="77777777" w:rsidR="00B5522E" w:rsidRPr="007F0877" w:rsidRDefault="00B5522E" w:rsidP="00B571E8">
            <w:pPr>
              <w:keepNext/>
              <w:widowControl w:val="0"/>
              <w:spacing w:after="0"/>
              <w:jc w:val="right"/>
              <w:rPr>
                <w:rFonts w:eastAsia="Times New Roman" w:cs="Segoe UI"/>
                <w:b/>
                <w:sz w:val="18"/>
                <w:szCs w:val="18"/>
              </w:rPr>
            </w:pPr>
            <w:r w:rsidRPr="007F0877">
              <w:rPr>
                <w:rFonts w:eastAsia="Times New Roman" w:cs="Segoe UI"/>
                <w:b/>
                <w:sz w:val="18"/>
                <w:szCs w:val="18"/>
              </w:rPr>
              <w:t>8 206 526</w:t>
            </w:r>
          </w:p>
        </w:tc>
        <w:tc>
          <w:tcPr>
            <w:tcW w:w="552" w:type="pct"/>
            <w:shd w:val="clear" w:color="auto" w:fill="FFFFFF"/>
            <w:vAlign w:val="center"/>
          </w:tcPr>
          <w:p w14:paraId="4AAD7F7A" w14:textId="77777777" w:rsidR="00B5522E" w:rsidRPr="007F0877" w:rsidRDefault="00B5522E" w:rsidP="00B571E8">
            <w:pPr>
              <w:keepNext/>
              <w:widowControl w:val="0"/>
              <w:spacing w:after="0"/>
              <w:jc w:val="right"/>
              <w:rPr>
                <w:rFonts w:eastAsia="Times New Roman" w:cs="Segoe UI"/>
                <w:sz w:val="18"/>
                <w:szCs w:val="18"/>
              </w:rPr>
            </w:pPr>
            <w:r w:rsidRPr="007F0877">
              <w:rPr>
                <w:rFonts w:eastAsia="Times New Roman" w:cs="Segoe UI"/>
                <w:b/>
                <w:bCs/>
                <w:color w:val="000000"/>
                <w:sz w:val="18"/>
                <w:szCs w:val="18"/>
                <w:lang w:eastAsia="sk-SK" w:bidi="sk-SK"/>
              </w:rPr>
              <w:t>7 133 599</w:t>
            </w:r>
          </w:p>
        </w:tc>
        <w:tc>
          <w:tcPr>
            <w:tcW w:w="552" w:type="pct"/>
            <w:shd w:val="clear" w:color="auto" w:fill="FFFFFF"/>
            <w:vAlign w:val="center"/>
          </w:tcPr>
          <w:p w14:paraId="7D004ADA" w14:textId="77777777" w:rsidR="00B5522E" w:rsidRPr="007F0877" w:rsidRDefault="00B5522E" w:rsidP="00B571E8">
            <w:pPr>
              <w:keepNext/>
              <w:widowControl w:val="0"/>
              <w:spacing w:after="0"/>
              <w:jc w:val="right"/>
              <w:rPr>
                <w:rFonts w:eastAsia="Times New Roman" w:cs="Segoe UI"/>
                <w:b/>
                <w:sz w:val="18"/>
                <w:szCs w:val="18"/>
              </w:rPr>
            </w:pPr>
            <w:r w:rsidRPr="007F0877">
              <w:rPr>
                <w:rFonts w:eastAsia="Times New Roman" w:cs="Segoe UI"/>
                <w:b/>
                <w:sz w:val="18"/>
                <w:szCs w:val="18"/>
              </w:rPr>
              <w:t>7 664 734</w:t>
            </w:r>
          </w:p>
        </w:tc>
        <w:tc>
          <w:tcPr>
            <w:tcW w:w="551" w:type="pct"/>
            <w:shd w:val="clear" w:color="auto" w:fill="FFFFFF"/>
            <w:vAlign w:val="center"/>
          </w:tcPr>
          <w:p w14:paraId="0F447DBE" w14:textId="77777777" w:rsidR="00B5522E" w:rsidRPr="007F0877" w:rsidRDefault="00B5522E" w:rsidP="00B571E8">
            <w:pPr>
              <w:keepNext/>
              <w:widowControl w:val="0"/>
              <w:spacing w:after="0"/>
              <w:jc w:val="right"/>
              <w:rPr>
                <w:rFonts w:eastAsia="Times New Roman" w:cs="Segoe UI"/>
                <w:b/>
                <w:sz w:val="18"/>
                <w:szCs w:val="18"/>
              </w:rPr>
            </w:pPr>
            <w:r w:rsidRPr="007F0877">
              <w:rPr>
                <w:rFonts w:eastAsia="Times New Roman" w:cs="Segoe UI"/>
                <w:b/>
                <w:sz w:val="18"/>
                <w:szCs w:val="18"/>
              </w:rPr>
              <w:t>7 643 629</w:t>
            </w:r>
          </w:p>
        </w:tc>
        <w:tc>
          <w:tcPr>
            <w:tcW w:w="868" w:type="pct"/>
            <w:shd w:val="clear" w:color="auto" w:fill="FFFFFF"/>
            <w:vAlign w:val="center"/>
          </w:tcPr>
          <w:p w14:paraId="51988EE8" w14:textId="77777777" w:rsidR="00B5522E" w:rsidRPr="007F0877" w:rsidRDefault="00B5522E" w:rsidP="00B571E8">
            <w:pPr>
              <w:keepNext/>
              <w:widowControl w:val="0"/>
              <w:spacing w:after="0"/>
              <w:ind w:right="205"/>
              <w:jc w:val="right"/>
              <w:rPr>
                <w:rFonts w:eastAsia="Times New Roman" w:cs="Segoe UI"/>
                <w:b/>
                <w:sz w:val="18"/>
                <w:szCs w:val="18"/>
              </w:rPr>
            </w:pPr>
            <w:r w:rsidRPr="007F0877">
              <w:rPr>
                <w:rFonts w:eastAsia="Times New Roman" w:cs="Segoe UI"/>
                <w:b/>
                <w:sz w:val="18"/>
                <w:szCs w:val="18"/>
              </w:rPr>
              <w:t>510 030</w:t>
            </w:r>
          </w:p>
        </w:tc>
        <w:tc>
          <w:tcPr>
            <w:tcW w:w="662" w:type="pct"/>
            <w:shd w:val="clear" w:color="auto" w:fill="FFFFFF"/>
            <w:vAlign w:val="center"/>
          </w:tcPr>
          <w:p w14:paraId="64AF2C8D" w14:textId="77777777" w:rsidR="00B5522E" w:rsidRPr="007F0877" w:rsidRDefault="00B5522E" w:rsidP="00B571E8">
            <w:pPr>
              <w:keepNext/>
              <w:widowControl w:val="0"/>
              <w:spacing w:after="0"/>
              <w:jc w:val="right"/>
              <w:rPr>
                <w:rFonts w:eastAsia="Times New Roman" w:cs="Segoe UI"/>
                <w:b/>
                <w:sz w:val="18"/>
                <w:szCs w:val="18"/>
              </w:rPr>
            </w:pPr>
            <w:r w:rsidRPr="007F0877">
              <w:rPr>
                <w:rFonts w:eastAsia="Times New Roman" w:cs="Segoe UI"/>
                <w:b/>
                <w:sz w:val="18"/>
                <w:szCs w:val="18"/>
              </w:rPr>
              <w:t>107,1</w:t>
            </w:r>
          </w:p>
        </w:tc>
      </w:tr>
      <w:tr w:rsidR="00B5522E" w:rsidRPr="007F0877" w14:paraId="747A83CB" w14:textId="77777777" w:rsidTr="00B571E8">
        <w:trPr>
          <w:cantSplit/>
          <w:trHeight w:val="283"/>
          <w:jc w:val="center"/>
        </w:trPr>
        <w:tc>
          <w:tcPr>
            <w:tcW w:w="1341" w:type="pct"/>
            <w:shd w:val="clear" w:color="auto" w:fill="FFFFFF"/>
            <w:vAlign w:val="center"/>
          </w:tcPr>
          <w:p w14:paraId="39389542" w14:textId="77777777" w:rsidR="00B5522E" w:rsidRPr="007F0877" w:rsidRDefault="00B5522E" w:rsidP="00B571E8">
            <w:pPr>
              <w:keepNext/>
              <w:widowControl w:val="0"/>
              <w:spacing w:after="0"/>
              <w:jc w:val="left"/>
              <w:rPr>
                <w:rFonts w:eastAsia="Times New Roman" w:cs="Segoe UI"/>
                <w:sz w:val="18"/>
                <w:szCs w:val="18"/>
              </w:rPr>
            </w:pPr>
            <w:r w:rsidRPr="007F0877">
              <w:rPr>
                <w:rFonts w:eastAsia="Times New Roman" w:cs="Segoe UI"/>
                <w:b/>
                <w:bCs/>
                <w:color w:val="000000"/>
                <w:sz w:val="18"/>
                <w:szCs w:val="18"/>
                <w:lang w:eastAsia="sk-SK" w:bidi="sk-SK"/>
              </w:rPr>
              <w:t>Výdavky obcí spolu</w:t>
            </w:r>
          </w:p>
        </w:tc>
        <w:tc>
          <w:tcPr>
            <w:tcW w:w="473" w:type="pct"/>
            <w:shd w:val="clear" w:color="auto" w:fill="FFFFFF"/>
            <w:vAlign w:val="center"/>
          </w:tcPr>
          <w:p w14:paraId="4AC2D3BA" w14:textId="77777777" w:rsidR="00B5522E" w:rsidRPr="007F0877" w:rsidRDefault="00B5522E" w:rsidP="00B571E8">
            <w:pPr>
              <w:keepNext/>
              <w:widowControl w:val="0"/>
              <w:spacing w:after="0"/>
              <w:jc w:val="right"/>
              <w:rPr>
                <w:rFonts w:eastAsia="Times New Roman" w:cs="Segoe UI"/>
                <w:sz w:val="18"/>
                <w:szCs w:val="18"/>
              </w:rPr>
            </w:pPr>
            <w:r w:rsidRPr="007F0877">
              <w:rPr>
                <w:rFonts w:eastAsia="Times New Roman" w:cs="Segoe UI"/>
                <w:b/>
                <w:bCs/>
                <w:color w:val="000000"/>
                <w:sz w:val="18"/>
                <w:szCs w:val="18"/>
                <w:lang w:eastAsia="sk-SK" w:bidi="sk-SK"/>
              </w:rPr>
              <w:t>7 580 396</w:t>
            </w:r>
          </w:p>
        </w:tc>
        <w:tc>
          <w:tcPr>
            <w:tcW w:w="552" w:type="pct"/>
            <w:shd w:val="clear" w:color="auto" w:fill="FFFFFF"/>
            <w:vAlign w:val="center"/>
          </w:tcPr>
          <w:p w14:paraId="2F415CBD" w14:textId="77777777" w:rsidR="00B5522E" w:rsidRPr="007F0877" w:rsidRDefault="00B5522E" w:rsidP="00B571E8">
            <w:pPr>
              <w:keepNext/>
              <w:widowControl w:val="0"/>
              <w:spacing w:after="0"/>
              <w:jc w:val="right"/>
              <w:rPr>
                <w:rFonts w:eastAsia="Times New Roman" w:cs="Segoe UI"/>
                <w:sz w:val="18"/>
                <w:szCs w:val="18"/>
              </w:rPr>
            </w:pPr>
            <w:r w:rsidRPr="007F0877">
              <w:rPr>
                <w:rFonts w:eastAsia="Times New Roman" w:cs="Segoe UI"/>
                <w:b/>
                <w:bCs/>
                <w:color w:val="000000"/>
                <w:sz w:val="18"/>
                <w:szCs w:val="18"/>
                <w:lang w:eastAsia="sk-SK" w:bidi="sk-SK"/>
              </w:rPr>
              <w:t>6 821 849</w:t>
            </w:r>
          </w:p>
        </w:tc>
        <w:tc>
          <w:tcPr>
            <w:tcW w:w="552" w:type="pct"/>
            <w:shd w:val="clear" w:color="auto" w:fill="FFFFFF"/>
            <w:vAlign w:val="center"/>
          </w:tcPr>
          <w:p w14:paraId="798F9426" w14:textId="77777777" w:rsidR="00B5522E" w:rsidRPr="007F0877" w:rsidRDefault="00B5522E" w:rsidP="00B571E8">
            <w:pPr>
              <w:keepNext/>
              <w:widowControl w:val="0"/>
              <w:spacing w:after="0"/>
              <w:jc w:val="right"/>
              <w:rPr>
                <w:rFonts w:eastAsia="Times New Roman" w:cs="Segoe UI"/>
                <w:b/>
                <w:sz w:val="18"/>
                <w:szCs w:val="18"/>
              </w:rPr>
            </w:pPr>
            <w:r w:rsidRPr="007F0877">
              <w:rPr>
                <w:rFonts w:eastAsia="Times New Roman" w:cs="Segoe UI"/>
                <w:b/>
                <w:sz w:val="18"/>
                <w:szCs w:val="18"/>
              </w:rPr>
              <w:t>7 315 758</w:t>
            </w:r>
          </w:p>
        </w:tc>
        <w:tc>
          <w:tcPr>
            <w:tcW w:w="551" w:type="pct"/>
            <w:shd w:val="clear" w:color="auto" w:fill="FFFFFF"/>
            <w:vAlign w:val="center"/>
          </w:tcPr>
          <w:p w14:paraId="14337FAD" w14:textId="77777777" w:rsidR="00B5522E" w:rsidRPr="007F0877" w:rsidRDefault="00B5522E" w:rsidP="00B571E8">
            <w:pPr>
              <w:keepNext/>
              <w:widowControl w:val="0"/>
              <w:spacing w:after="0"/>
              <w:jc w:val="right"/>
              <w:rPr>
                <w:rFonts w:eastAsia="Times New Roman" w:cs="Segoe UI"/>
                <w:b/>
                <w:sz w:val="18"/>
                <w:szCs w:val="18"/>
              </w:rPr>
            </w:pPr>
            <w:r w:rsidRPr="007F0877">
              <w:rPr>
                <w:rFonts w:eastAsia="Times New Roman" w:cs="Segoe UI"/>
                <w:b/>
                <w:sz w:val="18"/>
                <w:szCs w:val="18"/>
              </w:rPr>
              <w:t>7 275 615</w:t>
            </w:r>
          </w:p>
        </w:tc>
        <w:tc>
          <w:tcPr>
            <w:tcW w:w="868" w:type="pct"/>
            <w:shd w:val="clear" w:color="auto" w:fill="FFFFFF"/>
            <w:vAlign w:val="center"/>
          </w:tcPr>
          <w:p w14:paraId="16B5CBB8" w14:textId="77777777" w:rsidR="00B5522E" w:rsidRPr="007F0877" w:rsidRDefault="00B5522E" w:rsidP="00B571E8">
            <w:pPr>
              <w:keepNext/>
              <w:widowControl w:val="0"/>
              <w:spacing w:after="0"/>
              <w:ind w:right="205"/>
              <w:jc w:val="right"/>
              <w:rPr>
                <w:rFonts w:eastAsia="Times New Roman" w:cs="Segoe UI"/>
                <w:b/>
                <w:sz w:val="18"/>
                <w:szCs w:val="18"/>
              </w:rPr>
            </w:pPr>
            <w:r w:rsidRPr="007F0877">
              <w:rPr>
                <w:rFonts w:eastAsia="Times New Roman" w:cs="Segoe UI"/>
                <w:b/>
                <w:sz w:val="18"/>
                <w:szCs w:val="18"/>
              </w:rPr>
              <w:t>453 766</w:t>
            </w:r>
          </w:p>
        </w:tc>
        <w:tc>
          <w:tcPr>
            <w:tcW w:w="662" w:type="pct"/>
            <w:shd w:val="clear" w:color="auto" w:fill="FFFFFF"/>
            <w:vAlign w:val="center"/>
          </w:tcPr>
          <w:p w14:paraId="57550A57" w14:textId="77777777" w:rsidR="00B5522E" w:rsidRPr="007F0877" w:rsidRDefault="00B5522E" w:rsidP="00B571E8">
            <w:pPr>
              <w:keepNext/>
              <w:widowControl w:val="0"/>
              <w:spacing w:after="0"/>
              <w:jc w:val="right"/>
              <w:rPr>
                <w:rFonts w:eastAsia="Times New Roman" w:cs="Segoe UI"/>
                <w:b/>
                <w:sz w:val="18"/>
                <w:szCs w:val="18"/>
              </w:rPr>
            </w:pPr>
            <w:r w:rsidRPr="007F0877">
              <w:rPr>
                <w:rFonts w:eastAsia="Times New Roman" w:cs="Segoe UI"/>
                <w:b/>
                <w:sz w:val="18"/>
                <w:szCs w:val="18"/>
              </w:rPr>
              <w:t>106,7</w:t>
            </w:r>
          </w:p>
        </w:tc>
      </w:tr>
      <w:tr w:rsidR="00B5522E" w:rsidRPr="007F0877" w14:paraId="2A572192" w14:textId="77777777" w:rsidTr="00B571E8">
        <w:trPr>
          <w:cantSplit/>
          <w:trHeight w:val="283"/>
          <w:jc w:val="center"/>
        </w:trPr>
        <w:tc>
          <w:tcPr>
            <w:tcW w:w="1341" w:type="pct"/>
            <w:shd w:val="clear" w:color="auto" w:fill="FFFFFF"/>
            <w:vAlign w:val="center"/>
          </w:tcPr>
          <w:p w14:paraId="1B1EFAEF" w14:textId="77777777" w:rsidR="00B5522E" w:rsidRPr="007F0877" w:rsidRDefault="00B5522E" w:rsidP="00B571E8">
            <w:pPr>
              <w:keepNext/>
              <w:widowControl w:val="0"/>
              <w:spacing w:after="0"/>
              <w:jc w:val="left"/>
              <w:rPr>
                <w:rFonts w:eastAsia="Times New Roman" w:cs="Segoe UI"/>
                <w:sz w:val="18"/>
                <w:szCs w:val="18"/>
              </w:rPr>
            </w:pPr>
            <w:r w:rsidRPr="007F0877">
              <w:rPr>
                <w:rFonts w:eastAsia="Times New Roman" w:cs="Segoe UI"/>
                <w:b/>
                <w:bCs/>
                <w:color w:val="000000"/>
                <w:sz w:val="18"/>
                <w:szCs w:val="18"/>
                <w:lang w:eastAsia="sk-SK" w:bidi="sk-SK"/>
              </w:rPr>
              <w:t>Celková bilancia obcí</w:t>
            </w:r>
          </w:p>
        </w:tc>
        <w:tc>
          <w:tcPr>
            <w:tcW w:w="473" w:type="pct"/>
            <w:shd w:val="clear" w:color="auto" w:fill="FFFFFF"/>
            <w:vAlign w:val="center"/>
          </w:tcPr>
          <w:p w14:paraId="0E8D63CA" w14:textId="77777777" w:rsidR="00B5522E" w:rsidRPr="007F0877" w:rsidRDefault="00B5522E" w:rsidP="00B571E8">
            <w:pPr>
              <w:keepNext/>
              <w:widowControl w:val="0"/>
              <w:spacing w:after="0"/>
              <w:jc w:val="right"/>
              <w:rPr>
                <w:rFonts w:eastAsia="Times New Roman" w:cs="Segoe UI"/>
                <w:sz w:val="18"/>
                <w:szCs w:val="18"/>
              </w:rPr>
            </w:pPr>
            <w:r w:rsidRPr="007F0877">
              <w:rPr>
                <w:rFonts w:eastAsia="Times New Roman" w:cs="Segoe UI"/>
                <w:b/>
                <w:bCs/>
                <w:color w:val="000000"/>
                <w:sz w:val="18"/>
                <w:szCs w:val="18"/>
                <w:lang w:eastAsia="sk-SK" w:bidi="sk-SK"/>
              </w:rPr>
              <w:t>626 130</w:t>
            </w:r>
          </w:p>
        </w:tc>
        <w:tc>
          <w:tcPr>
            <w:tcW w:w="552" w:type="pct"/>
            <w:shd w:val="clear" w:color="auto" w:fill="FFFFFF"/>
            <w:vAlign w:val="center"/>
          </w:tcPr>
          <w:p w14:paraId="613A025D" w14:textId="77777777" w:rsidR="00B5522E" w:rsidRPr="007F0877" w:rsidRDefault="00B5522E" w:rsidP="00B571E8">
            <w:pPr>
              <w:keepNext/>
              <w:widowControl w:val="0"/>
              <w:spacing w:after="0"/>
              <w:jc w:val="right"/>
              <w:rPr>
                <w:rFonts w:eastAsia="Times New Roman" w:cs="Segoe UI"/>
                <w:b/>
                <w:sz w:val="18"/>
                <w:szCs w:val="18"/>
              </w:rPr>
            </w:pPr>
            <w:r w:rsidRPr="007F0877">
              <w:rPr>
                <w:rFonts w:eastAsia="Times New Roman" w:cs="Segoe UI"/>
                <w:b/>
                <w:sz w:val="18"/>
                <w:szCs w:val="18"/>
              </w:rPr>
              <w:t>311 750</w:t>
            </w:r>
          </w:p>
        </w:tc>
        <w:tc>
          <w:tcPr>
            <w:tcW w:w="552" w:type="pct"/>
            <w:shd w:val="clear" w:color="auto" w:fill="FFFFFF"/>
            <w:vAlign w:val="center"/>
          </w:tcPr>
          <w:p w14:paraId="09799CA7" w14:textId="77777777" w:rsidR="00B5522E" w:rsidRPr="007F0877" w:rsidRDefault="00B5522E" w:rsidP="00B571E8">
            <w:pPr>
              <w:keepNext/>
              <w:widowControl w:val="0"/>
              <w:spacing w:after="0"/>
              <w:jc w:val="right"/>
              <w:rPr>
                <w:rFonts w:eastAsia="Times New Roman" w:cs="Segoe UI"/>
                <w:b/>
                <w:sz w:val="18"/>
                <w:szCs w:val="18"/>
              </w:rPr>
            </w:pPr>
            <w:r w:rsidRPr="007F0877">
              <w:rPr>
                <w:rFonts w:eastAsia="Times New Roman" w:cs="Segoe UI"/>
                <w:b/>
                <w:sz w:val="18"/>
                <w:szCs w:val="18"/>
              </w:rPr>
              <w:t>348 976</w:t>
            </w:r>
          </w:p>
        </w:tc>
        <w:tc>
          <w:tcPr>
            <w:tcW w:w="551" w:type="pct"/>
            <w:shd w:val="clear" w:color="auto" w:fill="FFFFFF"/>
            <w:vAlign w:val="center"/>
          </w:tcPr>
          <w:p w14:paraId="197B779B" w14:textId="77777777" w:rsidR="00B5522E" w:rsidRPr="007F0877" w:rsidRDefault="00B5522E" w:rsidP="00B571E8">
            <w:pPr>
              <w:keepNext/>
              <w:widowControl w:val="0"/>
              <w:spacing w:after="0"/>
              <w:jc w:val="right"/>
              <w:rPr>
                <w:rFonts w:eastAsia="Times New Roman" w:cs="Segoe UI"/>
                <w:b/>
                <w:sz w:val="18"/>
                <w:szCs w:val="18"/>
              </w:rPr>
            </w:pPr>
            <w:r w:rsidRPr="007F0877">
              <w:rPr>
                <w:rFonts w:eastAsia="Times New Roman" w:cs="Segoe UI"/>
                <w:b/>
                <w:sz w:val="18"/>
                <w:szCs w:val="18"/>
              </w:rPr>
              <w:t>368 014</w:t>
            </w:r>
          </w:p>
        </w:tc>
        <w:tc>
          <w:tcPr>
            <w:tcW w:w="868" w:type="pct"/>
            <w:shd w:val="clear" w:color="auto" w:fill="FFFFFF"/>
            <w:vAlign w:val="center"/>
          </w:tcPr>
          <w:p w14:paraId="30A82CFB" w14:textId="77777777" w:rsidR="00B5522E" w:rsidRPr="007F0877" w:rsidRDefault="00B5522E" w:rsidP="00B571E8">
            <w:pPr>
              <w:keepNext/>
              <w:widowControl w:val="0"/>
              <w:spacing w:after="0"/>
              <w:ind w:right="205"/>
              <w:jc w:val="right"/>
              <w:rPr>
                <w:rFonts w:eastAsia="Times New Roman" w:cs="Segoe UI"/>
                <w:b/>
                <w:sz w:val="18"/>
                <w:szCs w:val="18"/>
              </w:rPr>
            </w:pPr>
            <w:r w:rsidRPr="007F0877">
              <w:rPr>
                <w:rFonts w:eastAsia="Times New Roman" w:cs="Segoe UI"/>
                <w:b/>
                <w:sz w:val="18"/>
                <w:szCs w:val="18"/>
              </w:rPr>
              <w:t>56 264</w:t>
            </w:r>
          </w:p>
        </w:tc>
        <w:tc>
          <w:tcPr>
            <w:tcW w:w="662" w:type="pct"/>
            <w:shd w:val="clear" w:color="auto" w:fill="FFFFFF"/>
            <w:vAlign w:val="center"/>
          </w:tcPr>
          <w:p w14:paraId="3ED27173" w14:textId="77777777" w:rsidR="00B5522E" w:rsidRPr="007F0877" w:rsidRDefault="00B5522E" w:rsidP="00B571E8">
            <w:pPr>
              <w:keepNext/>
              <w:widowControl w:val="0"/>
              <w:spacing w:after="0"/>
              <w:jc w:val="right"/>
              <w:rPr>
                <w:rFonts w:eastAsia="Times New Roman" w:cs="Segoe UI"/>
                <w:b/>
                <w:sz w:val="18"/>
                <w:szCs w:val="18"/>
              </w:rPr>
            </w:pPr>
            <w:r w:rsidRPr="007F0877">
              <w:rPr>
                <w:rFonts w:eastAsia="Times New Roman" w:cs="Segoe UI"/>
                <w:b/>
                <w:sz w:val="18"/>
                <w:szCs w:val="18"/>
              </w:rPr>
              <w:t>118,0</w:t>
            </w:r>
          </w:p>
        </w:tc>
      </w:tr>
      <w:tr w:rsidR="00B5522E" w:rsidRPr="007F0877" w14:paraId="38E52BEF" w14:textId="77777777" w:rsidTr="00B571E8">
        <w:trPr>
          <w:cantSplit/>
          <w:trHeight w:val="283"/>
          <w:jc w:val="center"/>
        </w:trPr>
        <w:tc>
          <w:tcPr>
            <w:tcW w:w="1341" w:type="pct"/>
            <w:shd w:val="clear" w:color="auto" w:fill="FFFFFF"/>
            <w:vAlign w:val="center"/>
          </w:tcPr>
          <w:p w14:paraId="6BAF9AE1" w14:textId="77777777" w:rsidR="00B5522E" w:rsidRPr="007F0877" w:rsidRDefault="00B5522E" w:rsidP="00B571E8">
            <w:pPr>
              <w:keepNext/>
              <w:widowControl w:val="0"/>
              <w:spacing w:after="0"/>
              <w:jc w:val="left"/>
              <w:rPr>
                <w:rFonts w:eastAsia="Times New Roman" w:cs="Segoe UI"/>
                <w:sz w:val="18"/>
                <w:szCs w:val="18"/>
              </w:rPr>
            </w:pPr>
            <w:r w:rsidRPr="007F0877">
              <w:rPr>
                <w:rFonts w:eastAsia="Times New Roman" w:cs="Segoe UI"/>
                <w:i/>
                <w:iCs/>
                <w:color w:val="000000"/>
                <w:sz w:val="18"/>
                <w:szCs w:val="18"/>
                <w:lang w:eastAsia="sk-SK" w:bidi="sk-SK"/>
              </w:rPr>
              <w:t>Vylúčenie finančných operácií</w:t>
            </w:r>
          </w:p>
        </w:tc>
        <w:tc>
          <w:tcPr>
            <w:tcW w:w="473" w:type="pct"/>
            <w:shd w:val="clear" w:color="auto" w:fill="FFFFFF"/>
            <w:vAlign w:val="center"/>
          </w:tcPr>
          <w:p w14:paraId="4AD59675" w14:textId="77777777" w:rsidR="00B5522E" w:rsidRPr="007F0877" w:rsidRDefault="00B5522E" w:rsidP="00B571E8">
            <w:pPr>
              <w:keepNext/>
              <w:widowControl w:val="0"/>
              <w:spacing w:after="0"/>
              <w:jc w:val="right"/>
              <w:rPr>
                <w:rFonts w:eastAsia="Times New Roman" w:cs="Segoe UI"/>
                <w:sz w:val="18"/>
                <w:szCs w:val="18"/>
              </w:rPr>
            </w:pPr>
            <w:r w:rsidRPr="007F0877">
              <w:rPr>
                <w:rFonts w:eastAsia="Times New Roman" w:cs="Segoe UI"/>
                <w:color w:val="000000"/>
                <w:sz w:val="18"/>
                <w:szCs w:val="18"/>
                <w:lang w:eastAsia="sk-SK" w:bidi="sk-SK"/>
              </w:rPr>
              <w:t>-614 422</w:t>
            </w:r>
          </w:p>
        </w:tc>
        <w:tc>
          <w:tcPr>
            <w:tcW w:w="552" w:type="pct"/>
            <w:shd w:val="clear" w:color="auto" w:fill="FFFFFF"/>
            <w:vAlign w:val="center"/>
          </w:tcPr>
          <w:p w14:paraId="7EF9F5EB" w14:textId="77777777" w:rsidR="00B5522E" w:rsidRPr="007F0877" w:rsidRDefault="00B5522E" w:rsidP="00B571E8">
            <w:pPr>
              <w:keepNext/>
              <w:widowControl w:val="0"/>
              <w:spacing w:after="0"/>
              <w:jc w:val="right"/>
              <w:rPr>
                <w:rFonts w:eastAsia="Times New Roman" w:cs="Segoe UI"/>
                <w:sz w:val="18"/>
                <w:szCs w:val="18"/>
              </w:rPr>
            </w:pPr>
            <w:r w:rsidRPr="007F0877">
              <w:rPr>
                <w:rFonts w:eastAsia="Times New Roman" w:cs="Segoe UI"/>
                <w:color w:val="000000"/>
                <w:sz w:val="18"/>
                <w:szCs w:val="18"/>
                <w:lang w:eastAsia="sk-SK" w:bidi="sk-SK"/>
              </w:rPr>
              <w:t>-595 000</w:t>
            </w:r>
          </w:p>
        </w:tc>
        <w:tc>
          <w:tcPr>
            <w:tcW w:w="552" w:type="pct"/>
            <w:shd w:val="clear" w:color="auto" w:fill="FFFFFF"/>
            <w:vAlign w:val="center"/>
          </w:tcPr>
          <w:p w14:paraId="565C3C65" w14:textId="77777777" w:rsidR="00B5522E" w:rsidRPr="007F0877" w:rsidRDefault="00B5522E" w:rsidP="00B571E8">
            <w:pPr>
              <w:keepNext/>
              <w:widowControl w:val="0"/>
              <w:spacing w:after="0"/>
              <w:jc w:val="right"/>
              <w:rPr>
                <w:rFonts w:eastAsia="Times New Roman" w:cs="Segoe UI"/>
                <w:sz w:val="18"/>
                <w:szCs w:val="18"/>
              </w:rPr>
            </w:pPr>
            <w:r w:rsidRPr="007F0877">
              <w:rPr>
                <w:rFonts w:eastAsia="Times New Roman" w:cs="Segoe UI"/>
                <w:sz w:val="18"/>
                <w:szCs w:val="18"/>
              </w:rPr>
              <w:t>-545 000</w:t>
            </w:r>
          </w:p>
        </w:tc>
        <w:tc>
          <w:tcPr>
            <w:tcW w:w="551" w:type="pct"/>
            <w:shd w:val="clear" w:color="auto" w:fill="FFFFFF"/>
            <w:vAlign w:val="center"/>
          </w:tcPr>
          <w:p w14:paraId="2B85CAA1" w14:textId="77777777" w:rsidR="00B5522E" w:rsidRPr="007F0877" w:rsidRDefault="00B5522E" w:rsidP="00B571E8">
            <w:pPr>
              <w:keepNext/>
              <w:widowControl w:val="0"/>
              <w:spacing w:after="0"/>
              <w:jc w:val="right"/>
              <w:rPr>
                <w:rFonts w:eastAsia="Times New Roman" w:cs="Segoe UI"/>
                <w:sz w:val="18"/>
                <w:szCs w:val="18"/>
              </w:rPr>
            </w:pPr>
            <w:r w:rsidRPr="007F0877">
              <w:rPr>
                <w:rFonts w:eastAsia="Times New Roman" w:cs="Segoe UI"/>
                <w:sz w:val="18"/>
                <w:szCs w:val="18"/>
              </w:rPr>
              <w:t>-545 000</w:t>
            </w:r>
          </w:p>
        </w:tc>
        <w:tc>
          <w:tcPr>
            <w:tcW w:w="868" w:type="pct"/>
            <w:shd w:val="clear" w:color="auto" w:fill="FFFFFF"/>
            <w:vAlign w:val="center"/>
          </w:tcPr>
          <w:p w14:paraId="46BB5775" w14:textId="77777777" w:rsidR="00B5522E" w:rsidRPr="007F0877" w:rsidRDefault="00B5522E" w:rsidP="00B571E8">
            <w:pPr>
              <w:keepNext/>
              <w:widowControl w:val="0"/>
              <w:spacing w:after="0"/>
              <w:ind w:right="205"/>
              <w:jc w:val="right"/>
              <w:rPr>
                <w:rFonts w:eastAsia="Times New Roman" w:cs="Segoe UI"/>
                <w:sz w:val="18"/>
                <w:szCs w:val="18"/>
              </w:rPr>
            </w:pPr>
            <w:r w:rsidRPr="007F0877">
              <w:rPr>
                <w:rFonts w:eastAsia="Times New Roman" w:cs="Segoe UI"/>
                <w:sz w:val="18"/>
                <w:szCs w:val="18"/>
              </w:rPr>
              <w:t>50 000</w:t>
            </w:r>
          </w:p>
        </w:tc>
        <w:tc>
          <w:tcPr>
            <w:tcW w:w="662" w:type="pct"/>
            <w:shd w:val="clear" w:color="auto" w:fill="FFFFFF"/>
            <w:vAlign w:val="center"/>
          </w:tcPr>
          <w:p w14:paraId="1C16FC99" w14:textId="77777777" w:rsidR="00B5522E" w:rsidRPr="007F0877" w:rsidRDefault="00B5522E" w:rsidP="00B571E8">
            <w:pPr>
              <w:keepNext/>
              <w:widowControl w:val="0"/>
              <w:spacing w:after="0"/>
              <w:jc w:val="right"/>
              <w:rPr>
                <w:rFonts w:eastAsia="Times New Roman" w:cs="Segoe UI"/>
                <w:sz w:val="18"/>
                <w:szCs w:val="18"/>
              </w:rPr>
            </w:pPr>
            <w:r w:rsidRPr="007F0877">
              <w:rPr>
                <w:rFonts w:eastAsia="Times New Roman" w:cs="Segoe UI"/>
                <w:sz w:val="18"/>
                <w:szCs w:val="18"/>
              </w:rPr>
              <w:t>91,6</w:t>
            </w:r>
          </w:p>
        </w:tc>
      </w:tr>
      <w:tr w:rsidR="00B5522E" w:rsidRPr="007F0877" w14:paraId="103CB5C9" w14:textId="77777777" w:rsidTr="00B571E8">
        <w:trPr>
          <w:cantSplit/>
          <w:trHeight w:val="283"/>
          <w:jc w:val="center"/>
        </w:trPr>
        <w:tc>
          <w:tcPr>
            <w:tcW w:w="1341" w:type="pct"/>
            <w:tcBorders>
              <w:bottom w:val="single" w:sz="4" w:space="0" w:color="314364" w:themeColor="text2"/>
            </w:tcBorders>
            <w:shd w:val="clear" w:color="auto" w:fill="FFFFFF"/>
            <w:vAlign w:val="center"/>
          </w:tcPr>
          <w:p w14:paraId="4AD34C10" w14:textId="77777777" w:rsidR="00B5522E" w:rsidRPr="007F0877" w:rsidRDefault="00B5522E" w:rsidP="00B571E8">
            <w:pPr>
              <w:keepNext/>
              <w:widowControl w:val="0"/>
              <w:spacing w:after="0"/>
              <w:jc w:val="left"/>
              <w:rPr>
                <w:rFonts w:eastAsia="Times New Roman" w:cs="Segoe UI"/>
                <w:sz w:val="18"/>
                <w:szCs w:val="18"/>
              </w:rPr>
            </w:pPr>
            <w:r w:rsidRPr="007F0877">
              <w:rPr>
                <w:rFonts w:eastAsia="Times New Roman" w:cs="Segoe UI"/>
                <w:i/>
                <w:iCs/>
                <w:color w:val="000000"/>
                <w:sz w:val="18"/>
                <w:szCs w:val="18"/>
                <w:lang w:eastAsia="sk-SK" w:bidi="sk-SK"/>
              </w:rPr>
              <w:t>Zahrnutie časového rozlíšenia a ostatné úpravy</w:t>
            </w:r>
          </w:p>
        </w:tc>
        <w:tc>
          <w:tcPr>
            <w:tcW w:w="473" w:type="pct"/>
            <w:tcBorders>
              <w:bottom w:val="single" w:sz="4" w:space="0" w:color="314364" w:themeColor="text2"/>
            </w:tcBorders>
            <w:shd w:val="clear" w:color="auto" w:fill="FFFFFF"/>
            <w:vAlign w:val="center"/>
          </w:tcPr>
          <w:p w14:paraId="2719CC4B" w14:textId="77777777" w:rsidR="00B5522E" w:rsidRPr="007F0877" w:rsidRDefault="00B5522E" w:rsidP="00B571E8">
            <w:pPr>
              <w:keepNext/>
              <w:widowControl w:val="0"/>
              <w:spacing w:after="0"/>
              <w:jc w:val="right"/>
              <w:rPr>
                <w:rFonts w:eastAsia="Times New Roman" w:cs="Segoe UI"/>
                <w:sz w:val="18"/>
                <w:szCs w:val="18"/>
              </w:rPr>
            </w:pPr>
            <w:r w:rsidRPr="007F0877">
              <w:rPr>
                <w:rFonts w:eastAsia="Times New Roman" w:cs="Segoe UI"/>
                <w:color w:val="000000"/>
                <w:sz w:val="18"/>
                <w:szCs w:val="18"/>
                <w:lang w:eastAsia="sk-SK" w:bidi="sk-SK"/>
              </w:rPr>
              <w:t>113 071</w:t>
            </w:r>
          </w:p>
        </w:tc>
        <w:tc>
          <w:tcPr>
            <w:tcW w:w="552" w:type="pct"/>
            <w:tcBorders>
              <w:bottom w:val="single" w:sz="4" w:space="0" w:color="314364" w:themeColor="text2"/>
            </w:tcBorders>
            <w:shd w:val="clear" w:color="auto" w:fill="FFFFFF"/>
            <w:vAlign w:val="center"/>
          </w:tcPr>
          <w:p w14:paraId="23BF21DB" w14:textId="77777777" w:rsidR="00B5522E" w:rsidRPr="007F0877" w:rsidRDefault="00B5522E" w:rsidP="00B571E8">
            <w:pPr>
              <w:keepNext/>
              <w:widowControl w:val="0"/>
              <w:spacing w:after="0"/>
              <w:jc w:val="right"/>
              <w:rPr>
                <w:rFonts w:eastAsia="Times New Roman" w:cs="Segoe UI"/>
                <w:sz w:val="18"/>
                <w:szCs w:val="18"/>
              </w:rPr>
            </w:pPr>
            <w:r w:rsidRPr="007F0877">
              <w:rPr>
                <w:rFonts w:eastAsia="Times New Roman" w:cs="Segoe UI"/>
                <w:color w:val="000000"/>
                <w:sz w:val="18"/>
                <w:szCs w:val="18"/>
                <w:lang w:eastAsia="sk-SK" w:bidi="sk-SK"/>
              </w:rPr>
              <w:t>0</w:t>
            </w:r>
          </w:p>
        </w:tc>
        <w:tc>
          <w:tcPr>
            <w:tcW w:w="552" w:type="pct"/>
            <w:tcBorders>
              <w:bottom w:val="single" w:sz="4" w:space="0" w:color="314364" w:themeColor="text2"/>
            </w:tcBorders>
            <w:shd w:val="clear" w:color="auto" w:fill="FFFFFF"/>
            <w:vAlign w:val="center"/>
          </w:tcPr>
          <w:p w14:paraId="76828268" w14:textId="77777777" w:rsidR="00B5522E" w:rsidRPr="007F0877" w:rsidRDefault="00B5522E" w:rsidP="00B571E8">
            <w:pPr>
              <w:keepNext/>
              <w:widowControl w:val="0"/>
              <w:spacing w:after="0"/>
              <w:jc w:val="right"/>
              <w:rPr>
                <w:rFonts w:eastAsia="Times New Roman" w:cs="Segoe UI"/>
                <w:sz w:val="18"/>
                <w:szCs w:val="18"/>
              </w:rPr>
            </w:pPr>
            <w:r w:rsidRPr="007F0877">
              <w:rPr>
                <w:rFonts w:eastAsia="Times New Roman" w:cs="Segoe UI"/>
                <w:sz w:val="18"/>
                <w:szCs w:val="18"/>
              </w:rPr>
              <w:t>0</w:t>
            </w:r>
          </w:p>
        </w:tc>
        <w:tc>
          <w:tcPr>
            <w:tcW w:w="551" w:type="pct"/>
            <w:tcBorders>
              <w:bottom w:val="single" w:sz="4" w:space="0" w:color="314364" w:themeColor="text2"/>
            </w:tcBorders>
            <w:shd w:val="clear" w:color="auto" w:fill="FFFFFF"/>
            <w:vAlign w:val="center"/>
          </w:tcPr>
          <w:p w14:paraId="07D1C44C" w14:textId="77777777" w:rsidR="00B5522E" w:rsidRPr="007F0877" w:rsidRDefault="00B5522E" w:rsidP="00B571E8">
            <w:pPr>
              <w:keepNext/>
              <w:widowControl w:val="0"/>
              <w:spacing w:after="0"/>
              <w:jc w:val="right"/>
              <w:rPr>
                <w:rFonts w:eastAsia="Times New Roman" w:cs="Segoe UI"/>
                <w:sz w:val="18"/>
                <w:szCs w:val="18"/>
              </w:rPr>
            </w:pPr>
            <w:r w:rsidRPr="007F0877">
              <w:rPr>
                <w:rFonts w:eastAsia="Times New Roman" w:cs="Segoe UI"/>
                <w:sz w:val="18"/>
                <w:szCs w:val="18"/>
              </w:rPr>
              <w:t>0</w:t>
            </w:r>
          </w:p>
        </w:tc>
        <w:tc>
          <w:tcPr>
            <w:tcW w:w="868" w:type="pct"/>
            <w:tcBorders>
              <w:bottom w:val="single" w:sz="4" w:space="0" w:color="314364" w:themeColor="text2"/>
            </w:tcBorders>
            <w:shd w:val="clear" w:color="auto" w:fill="FFFFFF"/>
            <w:vAlign w:val="center"/>
          </w:tcPr>
          <w:p w14:paraId="15645C79" w14:textId="77777777" w:rsidR="00B5522E" w:rsidRPr="007F0877" w:rsidRDefault="00B5522E" w:rsidP="00B571E8">
            <w:pPr>
              <w:keepNext/>
              <w:widowControl w:val="0"/>
              <w:spacing w:after="0"/>
              <w:ind w:right="205"/>
              <w:jc w:val="right"/>
              <w:rPr>
                <w:rFonts w:eastAsia="Times New Roman" w:cs="Segoe UI"/>
                <w:sz w:val="18"/>
                <w:szCs w:val="18"/>
              </w:rPr>
            </w:pPr>
            <w:r w:rsidRPr="007F0877">
              <w:rPr>
                <w:rFonts w:eastAsia="Times New Roman" w:cs="Segoe UI"/>
                <w:color w:val="000000"/>
                <w:sz w:val="18"/>
                <w:szCs w:val="18"/>
                <w:lang w:eastAsia="sk-SK" w:bidi="sk-SK"/>
              </w:rPr>
              <w:t>0</w:t>
            </w:r>
          </w:p>
        </w:tc>
        <w:tc>
          <w:tcPr>
            <w:tcW w:w="662" w:type="pct"/>
            <w:tcBorders>
              <w:bottom w:val="single" w:sz="4" w:space="0" w:color="314364" w:themeColor="text2"/>
            </w:tcBorders>
            <w:shd w:val="clear" w:color="auto" w:fill="FFFFFF"/>
            <w:vAlign w:val="center"/>
          </w:tcPr>
          <w:p w14:paraId="463C3EA9" w14:textId="77777777" w:rsidR="00B5522E" w:rsidRPr="007F0877" w:rsidRDefault="00B5522E" w:rsidP="00B571E8">
            <w:pPr>
              <w:keepNext/>
              <w:widowControl w:val="0"/>
              <w:spacing w:after="0"/>
              <w:jc w:val="right"/>
              <w:rPr>
                <w:rFonts w:eastAsia="Times New Roman" w:cs="Segoe UI"/>
                <w:sz w:val="18"/>
                <w:szCs w:val="18"/>
              </w:rPr>
            </w:pPr>
            <w:r w:rsidRPr="007F0877">
              <w:rPr>
                <w:rFonts w:eastAsia="Times New Roman" w:cs="Segoe UI"/>
                <w:sz w:val="18"/>
                <w:szCs w:val="18"/>
              </w:rPr>
              <w:t>-</w:t>
            </w:r>
          </w:p>
        </w:tc>
      </w:tr>
      <w:tr w:rsidR="00B5522E" w:rsidRPr="007F0877" w14:paraId="38E65106" w14:textId="77777777" w:rsidTr="00B571E8">
        <w:trPr>
          <w:cantSplit/>
          <w:trHeight w:val="283"/>
          <w:jc w:val="center"/>
        </w:trPr>
        <w:tc>
          <w:tcPr>
            <w:tcW w:w="1341" w:type="pct"/>
            <w:tcBorders>
              <w:top w:val="single" w:sz="4" w:space="0" w:color="314364" w:themeColor="text2"/>
              <w:bottom w:val="single" w:sz="4" w:space="0" w:color="314364" w:themeColor="text2"/>
            </w:tcBorders>
            <w:shd w:val="clear" w:color="auto" w:fill="FFFFFF"/>
            <w:vAlign w:val="center"/>
          </w:tcPr>
          <w:p w14:paraId="04169213" w14:textId="77777777" w:rsidR="00B5522E" w:rsidRPr="007F0877" w:rsidRDefault="00B5522E" w:rsidP="00B571E8">
            <w:pPr>
              <w:keepNext/>
              <w:widowControl w:val="0"/>
              <w:spacing w:after="0"/>
              <w:jc w:val="left"/>
              <w:rPr>
                <w:rFonts w:eastAsia="Times New Roman" w:cs="Segoe UI"/>
                <w:sz w:val="18"/>
                <w:szCs w:val="18"/>
              </w:rPr>
            </w:pPr>
            <w:r w:rsidRPr="007F0877">
              <w:rPr>
                <w:rFonts w:eastAsia="Times New Roman" w:cs="Segoe UI"/>
                <w:b/>
                <w:bCs/>
                <w:color w:val="000000"/>
                <w:sz w:val="18"/>
                <w:szCs w:val="18"/>
                <w:lang w:eastAsia="sk-SK" w:bidi="sk-SK"/>
              </w:rPr>
              <w:t xml:space="preserve">Prebytok (+) / schodok (-) </w:t>
            </w:r>
          </w:p>
        </w:tc>
        <w:tc>
          <w:tcPr>
            <w:tcW w:w="473" w:type="pct"/>
            <w:tcBorders>
              <w:top w:val="single" w:sz="4" w:space="0" w:color="314364" w:themeColor="text2"/>
              <w:bottom w:val="single" w:sz="4" w:space="0" w:color="314364" w:themeColor="text2"/>
            </w:tcBorders>
            <w:shd w:val="clear" w:color="auto" w:fill="FFFFFF"/>
            <w:vAlign w:val="center"/>
          </w:tcPr>
          <w:p w14:paraId="70EEA343" w14:textId="77777777" w:rsidR="00B5522E" w:rsidRPr="007F0877" w:rsidRDefault="00B5522E" w:rsidP="00B571E8">
            <w:pPr>
              <w:keepNext/>
              <w:widowControl w:val="0"/>
              <w:spacing w:after="0"/>
              <w:jc w:val="right"/>
              <w:rPr>
                <w:rFonts w:eastAsia="Times New Roman" w:cs="Segoe UI"/>
                <w:sz w:val="18"/>
                <w:szCs w:val="18"/>
              </w:rPr>
            </w:pPr>
            <w:r w:rsidRPr="007F0877">
              <w:rPr>
                <w:rFonts w:eastAsia="Times New Roman" w:cs="Segoe UI"/>
                <w:b/>
                <w:bCs/>
                <w:color w:val="000000"/>
                <w:sz w:val="18"/>
                <w:szCs w:val="18"/>
                <w:lang w:eastAsia="sk-SK" w:bidi="sk-SK"/>
              </w:rPr>
              <w:t>124 779</w:t>
            </w:r>
          </w:p>
        </w:tc>
        <w:tc>
          <w:tcPr>
            <w:tcW w:w="552" w:type="pct"/>
            <w:tcBorders>
              <w:top w:val="single" w:sz="4" w:space="0" w:color="314364" w:themeColor="text2"/>
              <w:bottom w:val="single" w:sz="4" w:space="0" w:color="314364" w:themeColor="text2"/>
            </w:tcBorders>
            <w:shd w:val="clear" w:color="auto" w:fill="FFFFFF"/>
            <w:vAlign w:val="center"/>
          </w:tcPr>
          <w:p w14:paraId="0DFA42AB" w14:textId="77777777" w:rsidR="00B5522E" w:rsidRPr="007F0877" w:rsidRDefault="00B5522E" w:rsidP="00B571E8">
            <w:pPr>
              <w:keepNext/>
              <w:widowControl w:val="0"/>
              <w:spacing w:after="0"/>
              <w:jc w:val="right"/>
              <w:rPr>
                <w:rFonts w:eastAsia="Times New Roman" w:cs="Segoe UI"/>
                <w:b/>
                <w:sz w:val="18"/>
                <w:szCs w:val="18"/>
              </w:rPr>
            </w:pPr>
            <w:r w:rsidRPr="007F0877">
              <w:rPr>
                <w:rFonts w:eastAsia="Times New Roman" w:cs="Segoe UI"/>
                <w:b/>
                <w:sz w:val="18"/>
                <w:szCs w:val="18"/>
              </w:rPr>
              <w:t>-283 250</w:t>
            </w:r>
          </w:p>
        </w:tc>
        <w:tc>
          <w:tcPr>
            <w:tcW w:w="552" w:type="pct"/>
            <w:tcBorders>
              <w:top w:val="single" w:sz="4" w:space="0" w:color="314364" w:themeColor="text2"/>
              <w:bottom w:val="single" w:sz="4" w:space="0" w:color="314364" w:themeColor="text2"/>
            </w:tcBorders>
            <w:shd w:val="clear" w:color="auto" w:fill="FFFFFF"/>
            <w:vAlign w:val="center"/>
          </w:tcPr>
          <w:p w14:paraId="54DC6161" w14:textId="77777777" w:rsidR="00B5522E" w:rsidRPr="007F0877" w:rsidRDefault="00B5522E" w:rsidP="00B571E8">
            <w:pPr>
              <w:keepNext/>
              <w:widowControl w:val="0"/>
              <w:spacing w:after="0"/>
              <w:jc w:val="right"/>
              <w:rPr>
                <w:rFonts w:eastAsia="Times New Roman" w:cs="Segoe UI"/>
                <w:b/>
                <w:sz w:val="18"/>
                <w:szCs w:val="18"/>
              </w:rPr>
            </w:pPr>
            <w:r w:rsidRPr="007F0877">
              <w:rPr>
                <w:rFonts w:eastAsia="Times New Roman" w:cs="Segoe UI"/>
                <w:b/>
                <w:sz w:val="18"/>
                <w:szCs w:val="18"/>
              </w:rPr>
              <w:t>-196 024</w:t>
            </w:r>
          </w:p>
        </w:tc>
        <w:tc>
          <w:tcPr>
            <w:tcW w:w="551" w:type="pct"/>
            <w:tcBorders>
              <w:top w:val="single" w:sz="4" w:space="0" w:color="314364" w:themeColor="text2"/>
              <w:bottom w:val="single" w:sz="4" w:space="0" w:color="314364" w:themeColor="text2"/>
            </w:tcBorders>
            <w:shd w:val="clear" w:color="auto" w:fill="FFFFFF"/>
            <w:vAlign w:val="center"/>
          </w:tcPr>
          <w:p w14:paraId="2590961D" w14:textId="77777777" w:rsidR="00B5522E" w:rsidRPr="007F0877" w:rsidRDefault="00B5522E" w:rsidP="00B571E8">
            <w:pPr>
              <w:keepNext/>
              <w:widowControl w:val="0"/>
              <w:spacing w:after="0"/>
              <w:jc w:val="right"/>
              <w:rPr>
                <w:rFonts w:eastAsia="Times New Roman" w:cs="Segoe UI"/>
                <w:b/>
                <w:sz w:val="18"/>
                <w:szCs w:val="18"/>
              </w:rPr>
            </w:pPr>
            <w:r w:rsidRPr="007F0877">
              <w:rPr>
                <w:rFonts w:eastAsia="Times New Roman" w:cs="Segoe UI"/>
                <w:b/>
                <w:sz w:val="18"/>
                <w:szCs w:val="18"/>
              </w:rPr>
              <w:t>-176 986</w:t>
            </w:r>
          </w:p>
        </w:tc>
        <w:tc>
          <w:tcPr>
            <w:tcW w:w="868" w:type="pct"/>
            <w:tcBorders>
              <w:top w:val="single" w:sz="4" w:space="0" w:color="314364" w:themeColor="text2"/>
              <w:bottom w:val="single" w:sz="4" w:space="0" w:color="314364" w:themeColor="text2"/>
            </w:tcBorders>
            <w:shd w:val="clear" w:color="auto" w:fill="FFFFFF"/>
            <w:vAlign w:val="center"/>
          </w:tcPr>
          <w:p w14:paraId="36DBA224" w14:textId="77777777" w:rsidR="00B5522E" w:rsidRPr="007F0877" w:rsidRDefault="00B5522E" w:rsidP="00B571E8">
            <w:pPr>
              <w:keepNext/>
              <w:spacing w:after="0" w:line="240" w:lineRule="auto"/>
              <w:ind w:right="205"/>
              <w:jc w:val="right"/>
              <w:rPr>
                <w:rFonts w:eastAsia="Times New Roman" w:cs="Segoe UI"/>
                <w:b/>
                <w:sz w:val="18"/>
                <w:szCs w:val="18"/>
              </w:rPr>
            </w:pPr>
            <w:r w:rsidRPr="007F0877">
              <w:rPr>
                <w:rFonts w:eastAsia="Times New Roman" w:cs="Segoe UI"/>
                <w:b/>
                <w:sz w:val="18"/>
                <w:szCs w:val="18"/>
              </w:rPr>
              <w:t>106 264</w:t>
            </w:r>
          </w:p>
        </w:tc>
        <w:tc>
          <w:tcPr>
            <w:tcW w:w="662" w:type="pct"/>
            <w:tcBorders>
              <w:top w:val="single" w:sz="4" w:space="0" w:color="314364" w:themeColor="text2"/>
              <w:bottom w:val="single" w:sz="4" w:space="0" w:color="314364" w:themeColor="text2"/>
            </w:tcBorders>
            <w:shd w:val="clear" w:color="auto" w:fill="FFFFFF"/>
            <w:vAlign w:val="center"/>
          </w:tcPr>
          <w:p w14:paraId="22E7FD1F" w14:textId="77777777" w:rsidR="00B5522E" w:rsidRPr="007F0877" w:rsidRDefault="00B5522E" w:rsidP="00B571E8">
            <w:pPr>
              <w:keepNext/>
              <w:spacing w:after="0" w:line="240" w:lineRule="auto"/>
              <w:jc w:val="right"/>
              <w:rPr>
                <w:rFonts w:eastAsia="Times New Roman" w:cs="Segoe UI"/>
                <w:b/>
                <w:sz w:val="18"/>
                <w:szCs w:val="18"/>
              </w:rPr>
            </w:pPr>
            <w:r w:rsidRPr="007F0877">
              <w:rPr>
                <w:rFonts w:eastAsia="Times New Roman" w:cs="Segoe UI"/>
                <w:b/>
                <w:sz w:val="18"/>
                <w:szCs w:val="18"/>
              </w:rPr>
              <w:t>62,5</w:t>
            </w:r>
          </w:p>
        </w:tc>
      </w:tr>
    </w:tbl>
    <w:p w14:paraId="51301A16" w14:textId="77777777" w:rsidR="00B5522E" w:rsidRDefault="00B5522E" w:rsidP="00B5522E">
      <w:pPr>
        <w:rPr>
          <w:i/>
          <w:color w:val="314364" w:themeColor="text2"/>
          <w:sz w:val="16"/>
        </w:rPr>
      </w:pPr>
      <w:r w:rsidRPr="00B5522E">
        <w:rPr>
          <w:i/>
          <w:color w:val="314364" w:themeColor="text2"/>
          <w:sz w:val="16"/>
        </w:rPr>
        <w:t>Zdroj: Návrh RVS 2025 až 2027</w:t>
      </w:r>
      <w:r>
        <w:rPr>
          <w:i/>
          <w:color w:val="314364" w:themeColor="text2"/>
          <w:sz w:val="16"/>
        </w:rPr>
        <w:t>.</w:t>
      </w:r>
    </w:p>
    <w:p w14:paraId="65FDAFF1" w14:textId="742DF8FC" w:rsidR="002E5B13" w:rsidRDefault="005C7289" w:rsidP="00B5522E">
      <w:pPr>
        <w:rPr>
          <w:rFonts w:eastAsia="Times New Roman" w:cs="Segoe UI"/>
          <w:color w:val="000000"/>
          <w:szCs w:val="20"/>
          <w:lang w:eastAsia="sk-SK"/>
        </w:rPr>
      </w:pPr>
      <w:r w:rsidRPr="005C5249">
        <w:rPr>
          <w:rFonts w:eastAsia="Times New Roman" w:cs="Segoe UI"/>
          <w:b/>
          <w:color w:val="000000"/>
          <w:szCs w:val="20"/>
          <w:lang w:eastAsia="sk-SK"/>
        </w:rPr>
        <w:t xml:space="preserve">Najvýraznejšiu položku výdavkov </w:t>
      </w:r>
      <w:r w:rsidRPr="005C5249">
        <w:rPr>
          <w:rFonts w:eastAsia="Times New Roman" w:cs="Segoe UI"/>
          <w:color w:val="000000"/>
          <w:szCs w:val="20"/>
          <w:lang w:eastAsia="sk-SK"/>
        </w:rPr>
        <w:t>(tabuľka 1</w:t>
      </w:r>
      <w:r w:rsidR="00041ECD">
        <w:rPr>
          <w:rFonts w:eastAsia="Times New Roman" w:cs="Segoe UI"/>
          <w:color w:val="000000"/>
          <w:szCs w:val="20"/>
          <w:lang w:eastAsia="sk-SK"/>
        </w:rPr>
        <w:t>4</w:t>
      </w:r>
      <w:r w:rsidRPr="005C5249">
        <w:rPr>
          <w:rFonts w:eastAsia="Times New Roman" w:cs="Segoe UI"/>
          <w:color w:val="000000"/>
          <w:szCs w:val="20"/>
          <w:lang w:eastAsia="sk-SK"/>
        </w:rPr>
        <w:t>)</w:t>
      </w:r>
      <w:r w:rsidRPr="005C5249">
        <w:rPr>
          <w:rFonts w:eastAsia="Times New Roman" w:cs="Segoe UI"/>
          <w:b/>
          <w:color w:val="000000"/>
          <w:szCs w:val="20"/>
          <w:lang w:eastAsia="sk-SK"/>
        </w:rPr>
        <w:t xml:space="preserve"> tvoria bežné výdavky, na ktoré sa v roku 2025 predpokladá vynaložiť 6,3 mld. eur, čo </w:t>
      </w:r>
      <w:r w:rsidR="005C5249">
        <w:rPr>
          <w:rFonts w:eastAsia="Times New Roman" w:cs="Segoe UI"/>
          <w:b/>
          <w:color w:val="000000"/>
          <w:szCs w:val="20"/>
          <w:lang w:eastAsia="sk-SK"/>
        </w:rPr>
        <w:t xml:space="preserve">je </w:t>
      </w:r>
      <w:r w:rsidRPr="005C5249">
        <w:rPr>
          <w:rFonts w:eastAsia="Times New Roman" w:cs="Segoe UI"/>
          <w:b/>
          <w:color w:val="000000"/>
          <w:szCs w:val="20"/>
          <w:lang w:eastAsia="sk-SK"/>
        </w:rPr>
        <w:t>medziročn</w:t>
      </w:r>
      <w:r w:rsidR="005C5249">
        <w:rPr>
          <w:rFonts w:eastAsia="Times New Roman" w:cs="Segoe UI"/>
          <w:b/>
          <w:color w:val="000000"/>
          <w:szCs w:val="20"/>
          <w:lang w:eastAsia="sk-SK"/>
        </w:rPr>
        <w:t>e viac</w:t>
      </w:r>
      <w:r w:rsidRPr="005C5249">
        <w:rPr>
          <w:rFonts w:eastAsia="Times New Roman" w:cs="Segoe UI"/>
          <w:b/>
          <w:color w:val="000000"/>
          <w:szCs w:val="20"/>
          <w:lang w:eastAsia="sk-SK"/>
        </w:rPr>
        <w:t xml:space="preserve"> o 299,2 mil. eur.</w:t>
      </w:r>
      <w:r>
        <w:rPr>
          <w:rFonts w:eastAsia="Times New Roman" w:cs="Segoe UI"/>
          <w:color w:val="000000"/>
          <w:szCs w:val="20"/>
          <w:lang w:eastAsia="sk-SK"/>
        </w:rPr>
        <w:t xml:space="preserve"> Bežné výdavky zahŕňajú predovšetkým </w:t>
      </w:r>
      <w:r w:rsidR="0052700B">
        <w:rPr>
          <w:rFonts w:eastAsia="Times New Roman" w:cs="Segoe UI"/>
          <w:color w:val="000000"/>
          <w:szCs w:val="20"/>
          <w:lang w:eastAsia="sk-SK"/>
        </w:rPr>
        <w:t>mzdy a odvody</w:t>
      </w:r>
      <w:r>
        <w:rPr>
          <w:rFonts w:eastAsia="Times New Roman" w:cs="Segoe UI"/>
          <w:color w:val="000000"/>
          <w:szCs w:val="20"/>
          <w:lang w:eastAsia="sk-SK"/>
        </w:rPr>
        <w:t xml:space="preserve"> vo výške 3,5</w:t>
      </w:r>
      <w:r w:rsidRPr="00E450FD">
        <w:rPr>
          <w:rFonts w:eastAsia="Times New Roman" w:cs="Segoe UI"/>
          <w:color w:val="000000"/>
          <w:szCs w:val="20"/>
          <w:lang w:eastAsia="sk-SK"/>
        </w:rPr>
        <w:t xml:space="preserve"> mld. </w:t>
      </w:r>
      <w:r>
        <w:rPr>
          <w:rFonts w:eastAsia="Times New Roman" w:cs="Segoe UI"/>
          <w:color w:val="000000"/>
          <w:szCs w:val="20"/>
          <w:lang w:eastAsia="sk-SK"/>
        </w:rPr>
        <w:t xml:space="preserve">eur, </w:t>
      </w:r>
      <w:r w:rsidR="005C5249">
        <w:rPr>
          <w:rFonts w:eastAsia="Times New Roman" w:cs="Segoe UI"/>
          <w:color w:val="000000"/>
          <w:szCs w:val="20"/>
          <w:lang w:eastAsia="sk-SK"/>
        </w:rPr>
        <w:t xml:space="preserve">výdavky na </w:t>
      </w:r>
      <w:r w:rsidRPr="00E450FD">
        <w:rPr>
          <w:rFonts w:eastAsia="Times New Roman" w:cs="Segoe UI"/>
          <w:color w:val="000000"/>
          <w:szCs w:val="20"/>
          <w:lang w:eastAsia="sk-SK"/>
        </w:rPr>
        <w:t xml:space="preserve">tovary a služby v sume 1,99 mld. eur </w:t>
      </w:r>
      <w:r>
        <w:rPr>
          <w:rFonts w:eastAsia="Times New Roman" w:cs="Segoe UI"/>
          <w:color w:val="000000"/>
          <w:szCs w:val="20"/>
          <w:lang w:eastAsia="sk-SK"/>
        </w:rPr>
        <w:t>a bežné transfery v</w:t>
      </w:r>
      <w:r w:rsidR="005C5249">
        <w:rPr>
          <w:rFonts w:eastAsia="Times New Roman" w:cs="Segoe UI"/>
          <w:color w:val="000000"/>
          <w:szCs w:val="20"/>
          <w:lang w:eastAsia="sk-SK"/>
        </w:rPr>
        <w:t xml:space="preserve"> objeme</w:t>
      </w:r>
      <w:r>
        <w:rPr>
          <w:rFonts w:eastAsia="Times New Roman" w:cs="Segoe UI"/>
          <w:color w:val="000000"/>
          <w:szCs w:val="20"/>
          <w:lang w:eastAsia="sk-SK"/>
        </w:rPr>
        <w:t xml:space="preserve"> </w:t>
      </w:r>
      <w:r w:rsidRPr="006C2FBF">
        <w:rPr>
          <w:rFonts w:eastAsia="Times New Roman" w:cs="Segoe UI"/>
          <w:color w:val="000000"/>
          <w:szCs w:val="20"/>
          <w:lang w:eastAsia="sk-SK"/>
        </w:rPr>
        <w:t>785</w:t>
      </w:r>
      <w:r>
        <w:rPr>
          <w:rFonts w:eastAsia="Times New Roman" w:cs="Segoe UI"/>
          <w:color w:val="000000"/>
          <w:szCs w:val="20"/>
          <w:lang w:eastAsia="sk-SK"/>
        </w:rPr>
        <w:t>,3</w:t>
      </w:r>
      <w:r w:rsidRPr="006C2FBF">
        <w:rPr>
          <w:rFonts w:eastAsia="Times New Roman" w:cs="Segoe UI"/>
          <w:color w:val="000000"/>
          <w:szCs w:val="20"/>
          <w:lang w:eastAsia="sk-SK"/>
        </w:rPr>
        <w:t xml:space="preserve"> mil. eur</w:t>
      </w:r>
      <w:r w:rsidR="002E5B13">
        <w:rPr>
          <w:rFonts w:eastAsia="Times New Roman" w:cs="Segoe UI"/>
          <w:color w:val="000000"/>
          <w:szCs w:val="20"/>
          <w:lang w:eastAsia="sk-SK"/>
        </w:rPr>
        <w:t>.</w:t>
      </w:r>
    </w:p>
    <w:p w14:paraId="48DA3079" w14:textId="5F59E072" w:rsidR="00B5522E" w:rsidRPr="00093D67" w:rsidRDefault="00B5522E" w:rsidP="00B5522E">
      <w:pPr>
        <w:spacing w:after="0" w:line="240" w:lineRule="auto"/>
        <w:rPr>
          <w:rFonts w:eastAsia="Calibri" w:cs="Times New Roman"/>
          <w:b/>
          <w:iCs/>
          <w:color w:val="314364"/>
          <w:szCs w:val="18"/>
        </w:rPr>
      </w:pPr>
      <w:r w:rsidRPr="005C7289">
        <w:rPr>
          <w:rFonts w:eastAsia="Calibri" w:cs="Times New Roman"/>
          <w:b/>
          <w:iCs/>
          <w:color w:val="314364"/>
          <w:szCs w:val="18"/>
        </w:rPr>
        <w:t>Tabuľka</w:t>
      </w:r>
      <w:r w:rsidRPr="00C86202">
        <w:rPr>
          <w:rFonts w:eastAsia="Calibri" w:cs="Times New Roman"/>
          <w:b/>
          <w:iCs/>
          <w:color w:val="314364"/>
          <w:szCs w:val="18"/>
        </w:rPr>
        <w:t xml:space="preserve"> </w:t>
      </w:r>
      <w:r>
        <w:rPr>
          <w:rFonts w:eastAsia="Calibri" w:cs="Times New Roman"/>
          <w:b/>
          <w:iCs/>
          <w:color w:val="314364"/>
          <w:szCs w:val="18"/>
        </w:rPr>
        <w:t>1</w:t>
      </w:r>
      <w:r w:rsidR="00041ECD">
        <w:rPr>
          <w:rFonts w:eastAsia="Calibri" w:cs="Times New Roman"/>
          <w:b/>
          <w:iCs/>
          <w:color w:val="314364"/>
          <w:szCs w:val="18"/>
        </w:rPr>
        <w:t>4</w:t>
      </w:r>
      <w:r w:rsidRPr="00C86202">
        <w:rPr>
          <w:rFonts w:eastAsia="Calibri" w:cs="Times New Roman"/>
          <w:b/>
          <w:iCs/>
          <w:color w:val="314364"/>
          <w:szCs w:val="18"/>
        </w:rPr>
        <w:t xml:space="preserve">: </w:t>
      </w:r>
      <w:r>
        <w:rPr>
          <w:rFonts w:eastAsia="Calibri" w:cs="Times New Roman"/>
          <w:b/>
          <w:iCs/>
          <w:color w:val="314364"/>
          <w:szCs w:val="18"/>
        </w:rPr>
        <w:t>Výdavky obcí</w:t>
      </w:r>
      <w:r w:rsidRPr="00C86202">
        <w:rPr>
          <w:rFonts w:eastAsia="Calibri" w:cs="Times New Roman"/>
          <w:b/>
          <w:iCs/>
          <w:color w:val="314364"/>
          <w:szCs w:val="18"/>
        </w:rPr>
        <w:t xml:space="preserve"> podľa metodiky ESA 2010 (v tis. eur)</w:t>
      </w:r>
    </w:p>
    <w:tbl>
      <w:tblPr>
        <w:tblOverlap w:val="never"/>
        <w:tblW w:w="4996" w:type="pct"/>
        <w:jc w:val="center"/>
        <w:tblCellMar>
          <w:left w:w="10" w:type="dxa"/>
          <w:right w:w="10" w:type="dxa"/>
        </w:tblCellMar>
        <w:tblLook w:val="0000" w:firstRow="0" w:lastRow="0" w:firstColumn="0" w:lastColumn="0" w:noHBand="0" w:noVBand="0"/>
      </w:tblPr>
      <w:tblGrid>
        <w:gridCol w:w="2410"/>
        <w:gridCol w:w="853"/>
        <w:gridCol w:w="992"/>
        <w:gridCol w:w="993"/>
        <w:gridCol w:w="991"/>
        <w:gridCol w:w="1417"/>
        <w:gridCol w:w="1407"/>
      </w:tblGrid>
      <w:tr w:rsidR="00B5522E" w:rsidRPr="00C86202" w14:paraId="153D2448" w14:textId="77777777" w:rsidTr="00B571E8">
        <w:trPr>
          <w:cantSplit/>
          <w:trHeight w:val="283"/>
          <w:jc w:val="center"/>
        </w:trPr>
        <w:tc>
          <w:tcPr>
            <w:tcW w:w="1329" w:type="pct"/>
            <w:shd w:val="clear" w:color="auto" w:fill="314364"/>
            <w:vAlign w:val="center"/>
          </w:tcPr>
          <w:p w14:paraId="7582802C" w14:textId="77777777" w:rsidR="00B5522E" w:rsidRPr="00C86202" w:rsidRDefault="00B5522E" w:rsidP="00B571E8">
            <w:pPr>
              <w:keepNext/>
              <w:widowControl w:val="0"/>
              <w:spacing w:after="0" w:line="240" w:lineRule="auto"/>
              <w:jc w:val="left"/>
              <w:rPr>
                <w:rFonts w:eastAsia="Times New Roman" w:cs="Segoe UI"/>
                <w:sz w:val="18"/>
                <w:szCs w:val="18"/>
              </w:rPr>
            </w:pPr>
            <w:r>
              <w:rPr>
                <w:rFonts w:eastAsia="Times New Roman" w:cs="Segoe UI"/>
                <w:b/>
                <w:bCs/>
                <w:color w:val="FFFFFF"/>
                <w:sz w:val="18"/>
                <w:szCs w:val="18"/>
                <w:lang w:eastAsia="sk-SK" w:bidi="sk-SK"/>
              </w:rPr>
              <w:t>Zložky výdavkov obcí</w:t>
            </w:r>
          </w:p>
        </w:tc>
        <w:tc>
          <w:tcPr>
            <w:tcW w:w="470" w:type="pct"/>
            <w:shd w:val="clear" w:color="auto" w:fill="314364"/>
            <w:vAlign w:val="center"/>
          </w:tcPr>
          <w:p w14:paraId="2A7C1F9B" w14:textId="77777777" w:rsidR="00B5522E" w:rsidRPr="00C86202" w:rsidRDefault="00B5522E" w:rsidP="00B571E8">
            <w:pPr>
              <w:keepNext/>
              <w:widowControl w:val="0"/>
              <w:spacing w:after="0" w:line="240" w:lineRule="auto"/>
              <w:jc w:val="right"/>
              <w:rPr>
                <w:rFonts w:eastAsia="Times New Roman" w:cs="Segoe UI"/>
                <w:sz w:val="18"/>
                <w:szCs w:val="18"/>
              </w:rPr>
            </w:pPr>
            <w:r w:rsidRPr="00C86202">
              <w:rPr>
                <w:rFonts w:eastAsia="Times New Roman" w:cs="Segoe UI"/>
                <w:b/>
                <w:bCs/>
                <w:color w:val="FFFFFF"/>
                <w:sz w:val="18"/>
                <w:szCs w:val="18"/>
                <w:lang w:eastAsia="sk-SK" w:bidi="sk-SK"/>
              </w:rPr>
              <w:t>2023 S</w:t>
            </w:r>
          </w:p>
        </w:tc>
        <w:tc>
          <w:tcPr>
            <w:tcW w:w="547" w:type="pct"/>
            <w:shd w:val="clear" w:color="auto" w:fill="314364"/>
            <w:vAlign w:val="center"/>
          </w:tcPr>
          <w:p w14:paraId="76D54E74" w14:textId="77777777" w:rsidR="00B5522E" w:rsidRPr="00C86202" w:rsidRDefault="00B5522E" w:rsidP="00B571E8">
            <w:pPr>
              <w:keepNext/>
              <w:widowControl w:val="0"/>
              <w:spacing w:after="0" w:line="240" w:lineRule="auto"/>
              <w:jc w:val="right"/>
              <w:rPr>
                <w:rFonts w:eastAsia="Times New Roman" w:cs="Segoe UI"/>
                <w:sz w:val="18"/>
                <w:szCs w:val="18"/>
              </w:rPr>
            </w:pPr>
            <w:r w:rsidRPr="00C86202">
              <w:rPr>
                <w:rFonts w:eastAsia="Times New Roman" w:cs="Segoe UI"/>
                <w:b/>
                <w:bCs/>
                <w:color w:val="FFFFFF"/>
                <w:sz w:val="18"/>
                <w:szCs w:val="18"/>
                <w:lang w:eastAsia="sk-SK" w:bidi="sk-SK"/>
              </w:rPr>
              <w:t>2024 R</w:t>
            </w:r>
          </w:p>
        </w:tc>
        <w:tc>
          <w:tcPr>
            <w:tcW w:w="548" w:type="pct"/>
            <w:shd w:val="clear" w:color="auto" w:fill="314364"/>
            <w:vAlign w:val="center"/>
          </w:tcPr>
          <w:p w14:paraId="702FAD7A" w14:textId="77777777" w:rsidR="00B5522E" w:rsidRPr="00C86202" w:rsidRDefault="00B5522E" w:rsidP="00B571E8">
            <w:pPr>
              <w:keepNext/>
              <w:widowControl w:val="0"/>
              <w:spacing w:after="0" w:line="240" w:lineRule="auto"/>
              <w:jc w:val="right"/>
              <w:rPr>
                <w:rFonts w:eastAsia="Times New Roman" w:cs="Segoe UI"/>
                <w:b/>
                <w:bCs/>
                <w:color w:val="FFFFFF"/>
                <w:sz w:val="18"/>
                <w:szCs w:val="18"/>
                <w:lang w:eastAsia="sk-SK" w:bidi="sk-SK"/>
              </w:rPr>
            </w:pPr>
            <w:r w:rsidRPr="00C86202">
              <w:rPr>
                <w:rFonts w:eastAsia="Times New Roman" w:cs="Segoe UI"/>
                <w:b/>
                <w:bCs/>
                <w:color w:val="FFFFFF"/>
                <w:sz w:val="18"/>
                <w:szCs w:val="18"/>
                <w:lang w:eastAsia="sk-SK" w:bidi="sk-SK"/>
              </w:rPr>
              <w:t>2024 OS</w:t>
            </w:r>
          </w:p>
        </w:tc>
        <w:tc>
          <w:tcPr>
            <w:tcW w:w="547" w:type="pct"/>
            <w:shd w:val="clear" w:color="auto" w:fill="314364"/>
            <w:vAlign w:val="center"/>
          </w:tcPr>
          <w:p w14:paraId="701F0C8A" w14:textId="77777777" w:rsidR="00B5522E" w:rsidRPr="00C86202" w:rsidRDefault="00B5522E" w:rsidP="00B571E8">
            <w:pPr>
              <w:keepNext/>
              <w:widowControl w:val="0"/>
              <w:spacing w:after="0" w:line="240" w:lineRule="auto"/>
              <w:jc w:val="right"/>
              <w:rPr>
                <w:rFonts w:eastAsia="Times New Roman" w:cs="Segoe UI"/>
                <w:b/>
                <w:bCs/>
                <w:color w:val="FFFFFF"/>
                <w:sz w:val="18"/>
                <w:szCs w:val="18"/>
                <w:lang w:eastAsia="sk-SK" w:bidi="sk-SK"/>
              </w:rPr>
            </w:pPr>
            <w:r w:rsidRPr="00C86202">
              <w:rPr>
                <w:rFonts w:eastAsia="Times New Roman" w:cs="Segoe UI"/>
                <w:b/>
                <w:bCs/>
                <w:color w:val="FFFFFF"/>
                <w:sz w:val="18"/>
                <w:szCs w:val="18"/>
                <w:lang w:eastAsia="sk-SK" w:bidi="sk-SK"/>
              </w:rPr>
              <w:t>2025 N</w:t>
            </w:r>
          </w:p>
        </w:tc>
        <w:tc>
          <w:tcPr>
            <w:tcW w:w="782" w:type="pct"/>
            <w:shd w:val="clear" w:color="auto" w:fill="314364"/>
            <w:vAlign w:val="center"/>
          </w:tcPr>
          <w:p w14:paraId="723107A3" w14:textId="77777777" w:rsidR="00B5522E" w:rsidRPr="00C86202" w:rsidRDefault="00B5522E" w:rsidP="00B571E8">
            <w:pPr>
              <w:keepNext/>
              <w:widowControl w:val="0"/>
              <w:spacing w:after="0" w:line="240" w:lineRule="auto"/>
              <w:jc w:val="right"/>
              <w:rPr>
                <w:rFonts w:eastAsia="Times New Roman" w:cs="Segoe UI"/>
                <w:sz w:val="18"/>
                <w:szCs w:val="18"/>
              </w:rPr>
            </w:pPr>
            <w:r>
              <w:rPr>
                <w:rFonts w:eastAsia="Times New Roman" w:cs="Segoe UI"/>
                <w:b/>
                <w:bCs/>
                <w:color w:val="FFFFFF"/>
                <w:sz w:val="18"/>
                <w:szCs w:val="18"/>
                <w:lang w:eastAsia="sk-SK" w:bidi="sk-SK"/>
              </w:rPr>
              <w:t>2025N-2024</w:t>
            </w:r>
            <w:r w:rsidRPr="00C86202">
              <w:rPr>
                <w:rFonts w:eastAsia="Times New Roman" w:cs="Segoe UI"/>
                <w:b/>
                <w:bCs/>
                <w:color w:val="FFFFFF"/>
                <w:sz w:val="18"/>
                <w:szCs w:val="18"/>
                <w:lang w:eastAsia="sk-SK" w:bidi="sk-SK"/>
              </w:rPr>
              <w:t>R</w:t>
            </w:r>
          </w:p>
        </w:tc>
        <w:tc>
          <w:tcPr>
            <w:tcW w:w="776" w:type="pct"/>
            <w:shd w:val="clear" w:color="auto" w:fill="314364"/>
            <w:vAlign w:val="center"/>
          </w:tcPr>
          <w:p w14:paraId="5DFEDBA5" w14:textId="77777777" w:rsidR="00B5522E" w:rsidRPr="00C86202" w:rsidRDefault="00B5522E" w:rsidP="00B571E8">
            <w:pPr>
              <w:keepNext/>
              <w:widowControl w:val="0"/>
              <w:spacing w:after="0" w:line="240" w:lineRule="auto"/>
              <w:jc w:val="right"/>
              <w:rPr>
                <w:rFonts w:eastAsia="Times New Roman" w:cs="Segoe UI"/>
                <w:sz w:val="18"/>
                <w:szCs w:val="18"/>
              </w:rPr>
            </w:pPr>
            <w:r w:rsidRPr="00C86202">
              <w:rPr>
                <w:rFonts w:eastAsia="Times New Roman" w:cs="Segoe UI"/>
                <w:b/>
                <w:bCs/>
                <w:color w:val="FFFFFF"/>
                <w:sz w:val="18"/>
                <w:szCs w:val="18"/>
                <w:lang w:eastAsia="sk-SK" w:bidi="sk-SK"/>
              </w:rPr>
              <w:t>2025N/2024R</w:t>
            </w:r>
          </w:p>
        </w:tc>
      </w:tr>
      <w:tr w:rsidR="00B5522E" w:rsidRPr="00C86202" w14:paraId="15A063B4" w14:textId="77777777" w:rsidTr="00B571E8">
        <w:trPr>
          <w:cantSplit/>
          <w:trHeight w:val="283"/>
          <w:jc w:val="center"/>
        </w:trPr>
        <w:tc>
          <w:tcPr>
            <w:tcW w:w="1329" w:type="pct"/>
            <w:shd w:val="clear" w:color="auto" w:fill="FFFFFF"/>
            <w:vAlign w:val="center"/>
          </w:tcPr>
          <w:p w14:paraId="65A5A1BD" w14:textId="77777777" w:rsidR="00B5522E" w:rsidRPr="00C86202" w:rsidRDefault="00B5522E" w:rsidP="00B571E8">
            <w:pPr>
              <w:keepNext/>
              <w:widowControl w:val="0"/>
              <w:spacing w:after="0"/>
              <w:jc w:val="left"/>
              <w:rPr>
                <w:rFonts w:eastAsia="Times New Roman" w:cs="Segoe UI"/>
                <w:sz w:val="18"/>
                <w:szCs w:val="18"/>
              </w:rPr>
            </w:pPr>
            <w:r>
              <w:rPr>
                <w:rFonts w:eastAsia="Times New Roman" w:cs="Segoe UI"/>
                <w:b/>
                <w:bCs/>
                <w:color w:val="000000"/>
                <w:sz w:val="18"/>
                <w:szCs w:val="18"/>
                <w:lang w:eastAsia="sk-SK" w:bidi="sk-SK"/>
              </w:rPr>
              <w:t>Bežné výdavky</w:t>
            </w:r>
          </w:p>
        </w:tc>
        <w:tc>
          <w:tcPr>
            <w:tcW w:w="470" w:type="pct"/>
            <w:shd w:val="clear" w:color="auto" w:fill="FFFFFF"/>
            <w:vAlign w:val="center"/>
          </w:tcPr>
          <w:p w14:paraId="1E3AC9B9" w14:textId="77777777" w:rsidR="00B5522E" w:rsidRPr="00C86202" w:rsidRDefault="00B5522E" w:rsidP="00B571E8">
            <w:pPr>
              <w:keepNext/>
              <w:widowControl w:val="0"/>
              <w:spacing w:after="0"/>
              <w:jc w:val="right"/>
              <w:rPr>
                <w:rFonts w:eastAsia="Times New Roman" w:cs="Segoe UI"/>
                <w:b/>
                <w:sz w:val="18"/>
                <w:szCs w:val="18"/>
              </w:rPr>
            </w:pPr>
            <w:r w:rsidRPr="00093D67">
              <w:rPr>
                <w:rFonts w:eastAsia="Times New Roman" w:cs="Segoe UI"/>
                <w:b/>
                <w:sz w:val="18"/>
                <w:szCs w:val="18"/>
              </w:rPr>
              <w:t>5 945 021</w:t>
            </w:r>
          </w:p>
        </w:tc>
        <w:tc>
          <w:tcPr>
            <w:tcW w:w="547" w:type="pct"/>
            <w:shd w:val="clear" w:color="auto" w:fill="FFFFFF"/>
            <w:vAlign w:val="center"/>
          </w:tcPr>
          <w:p w14:paraId="50596D90" w14:textId="77777777" w:rsidR="00B5522E" w:rsidRPr="00C86202" w:rsidRDefault="00B5522E" w:rsidP="00B571E8">
            <w:pPr>
              <w:keepNext/>
              <w:widowControl w:val="0"/>
              <w:spacing w:after="0"/>
              <w:jc w:val="right"/>
              <w:rPr>
                <w:rFonts w:eastAsia="Times New Roman" w:cs="Segoe UI"/>
                <w:sz w:val="18"/>
                <w:szCs w:val="18"/>
              </w:rPr>
            </w:pPr>
            <w:r w:rsidRPr="00093D67">
              <w:rPr>
                <w:rFonts w:eastAsia="Times New Roman" w:cs="Segoe UI"/>
                <w:b/>
                <w:bCs/>
                <w:color w:val="000000"/>
                <w:sz w:val="18"/>
                <w:szCs w:val="18"/>
                <w:lang w:eastAsia="sk-SK" w:bidi="sk-SK"/>
              </w:rPr>
              <w:t>6 049 454</w:t>
            </w:r>
          </w:p>
        </w:tc>
        <w:tc>
          <w:tcPr>
            <w:tcW w:w="548" w:type="pct"/>
            <w:shd w:val="clear" w:color="auto" w:fill="FFFFFF"/>
            <w:vAlign w:val="center"/>
          </w:tcPr>
          <w:p w14:paraId="11CCFF5D" w14:textId="77777777" w:rsidR="00B5522E" w:rsidRPr="00C86202" w:rsidRDefault="00B5522E" w:rsidP="00B571E8">
            <w:pPr>
              <w:keepNext/>
              <w:widowControl w:val="0"/>
              <w:spacing w:after="0"/>
              <w:jc w:val="right"/>
              <w:rPr>
                <w:rFonts w:eastAsia="Times New Roman" w:cs="Segoe UI"/>
                <w:b/>
                <w:sz w:val="18"/>
                <w:szCs w:val="18"/>
              </w:rPr>
            </w:pPr>
            <w:r w:rsidRPr="00093D67">
              <w:rPr>
                <w:rFonts w:eastAsia="Times New Roman" w:cs="Segoe UI"/>
                <w:b/>
                <w:sz w:val="18"/>
                <w:szCs w:val="18"/>
              </w:rPr>
              <w:t>6 190 905</w:t>
            </w:r>
          </w:p>
        </w:tc>
        <w:tc>
          <w:tcPr>
            <w:tcW w:w="547" w:type="pct"/>
            <w:shd w:val="clear" w:color="auto" w:fill="FFFFFF"/>
            <w:vAlign w:val="center"/>
          </w:tcPr>
          <w:p w14:paraId="006D424B" w14:textId="77777777" w:rsidR="00B5522E" w:rsidRPr="00C86202" w:rsidRDefault="00B5522E" w:rsidP="00B571E8">
            <w:pPr>
              <w:keepNext/>
              <w:widowControl w:val="0"/>
              <w:spacing w:after="0"/>
              <w:jc w:val="right"/>
              <w:rPr>
                <w:rFonts w:eastAsia="Times New Roman" w:cs="Segoe UI"/>
                <w:b/>
                <w:sz w:val="18"/>
                <w:szCs w:val="18"/>
              </w:rPr>
            </w:pPr>
            <w:r w:rsidRPr="00093D67">
              <w:rPr>
                <w:rFonts w:eastAsia="Times New Roman" w:cs="Segoe UI"/>
                <w:b/>
                <w:sz w:val="18"/>
                <w:szCs w:val="18"/>
              </w:rPr>
              <w:t>6 348 629</w:t>
            </w:r>
          </w:p>
        </w:tc>
        <w:tc>
          <w:tcPr>
            <w:tcW w:w="782" w:type="pct"/>
            <w:shd w:val="clear" w:color="auto" w:fill="FFFFFF"/>
            <w:vAlign w:val="center"/>
          </w:tcPr>
          <w:p w14:paraId="7A94F0DD" w14:textId="77777777" w:rsidR="00B5522E" w:rsidRPr="00C86202" w:rsidRDefault="00B5522E" w:rsidP="00B571E8">
            <w:pPr>
              <w:keepNext/>
              <w:widowControl w:val="0"/>
              <w:spacing w:after="0"/>
              <w:jc w:val="right"/>
              <w:rPr>
                <w:rFonts w:eastAsia="Times New Roman" w:cs="Segoe UI"/>
                <w:b/>
                <w:sz w:val="18"/>
                <w:szCs w:val="18"/>
              </w:rPr>
            </w:pPr>
            <w:r w:rsidRPr="00B12C81">
              <w:rPr>
                <w:rFonts w:eastAsia="Times New Roman" w:cs="Segoe UI"/>
                <w:b/>
                <w:sz w:val="18"/>
                <w:szCs w:val="18"/>
              </w:rPr>
              <w:t>299 175</w:t>
            </w:r>
          </w:p>
        </w:tc>
        <w:tc>
          <w:tcPr>
            <w:tcW w:w="776" w:type="pct"/>
            <w:shd w:val="clear" w:color="auto" w:fill="FFFFFF"/>
            <w:vAlign w:val="center"/>
          </w:tcPr>
          <w:p w14:paraId="3EE94247" w14:textId="77777777" w:rsidR="00B5522E" w:rsidRPr="00C86202" w:rsidRDefault="00B5522E" w:rsidP="00B571E8">
            <w:pPr>
              <w:keepNext/>
              <w:widowControl w:val="0"/>
              <w:spacing w:after="0"/>
              <w:jc w:val="right"/>
              <w:rPr>
                <w:rFonts w:eastAsia="Times New Roman" w:cs="Segoe UI"/>
                <w:b/>
                <w:sz w:val="18"/>
                <w:szCs w:val="18"/>
              </w:rPr>
            </w:pPr>
            <w:r>
              <w:rPr>
                <w:rFonts w:eastAsia="Times New Roman" w:cs="Segoe UI"/>
                <w:b/>
                <w:sz w:val="18"/>
                <w:szCs w:val="18"/>
              </w:rPr>
              <w:t>104,9</w:t>
            </w:r>
          </w:p>
        </w:tc>
      </w:tr>
      <w:tr w:rsidR="00B5522E" w:rsidRPr="00C86202" w14:paraId="51B4CAF4" w14:textId="77777777" w:rsidTr="00B571E8">
        <w:trPr>
          <w:cantSplit/>
          <w:trHeight w:val="283"/>
          <w:jc w:val="center"/>
        </w:trPr>
        <w:tc>
          <w:tcPr>
            <w:tcW w:w="1329" w:type="pct"/>
            <w:shd w:val="clear" w:color="auto" w:fill="FFFFFF"/>
            <w:vAlign w:val="center"/>
          </w:tcPr>
          <w:p w14:paraId="451DB5ED" w14:textId="331EE82D" w:rsidR="00B5522E" w:rsidRPr="00093D67" w:rsidRDefault="000C4C7F" w:rsidP="000C4C7F">
            <w:pPr>
              <w:pStyle w:val="Odsekzoznamu"/>
              <w:keepNext/>
              <w:widowControl w:val="0"/>
              <w:numPr>
                <w:ilvl w:val="0"/>
                <w:numId w:val="36"/>
              </w:numPr>
              <w:spacing w:after="0" w:line="259" w:lineRule="auto"/>
              <w:jc w:val="left"/>
              <w:rPr>
                <w:rFonts w:eastAsia="Times New Roman" w:cs="Segoe UI"/>
                <w:sz w:val="18"/>
                <w:szCs w:val="18"/>
              </w:rPr>
            </w:pPr>
            <w:r>
              <w:rPr>
                <w:rFonts w:eastAsia="Times New Roman" w:cs="Segoe UI"/>
                <w:sz w:val="18"/>
                <w:szCs w:val="18"/>
              </w:rPr>
              <w:t>Mzdy a odvody</w:t>
            </w:r>
          </w:p>
        </w:tc>
        <w:tc>
          <w:tcPr>
            <w:tcW w:w="470" w:type="pct"/>
            <w:shd w:val="clear" w:color="auto" w:fill="FFFFFF"/>
            <w:vAlign w:val="center"/>
          </w:tcPr>
          <w:p w14:paraId="1FD90E28" w14:textId="77777777" w:rsidR="00B5522E" w:rsidRPr="00B12C81" w:rsidRDefault="00B5522E" w:rsidP="00B571E8">
            <w:pPr>
              <w:keepNext/>
              <w:widowControl w:val="0"/>
              <w:spacing w:after="0"/>
              <w:jc w:val="right"/>
              <w:rPr>
                <w:rFonts w:eastAsia="Times New Roman" w:cs="Segoe UI"/>
                <w:sz w:val="18"/>
                <w:szCs w:val="18"/>
              </w:rPr>
            </w:pPr>
            <w:r w:rsidRPr="00B12C81">
              <w:rPr>
                <w:rFonts w:eastAsia="Times New Roman" w:cs="Segoe UI"/>
                <w:bCs/>
                <w:color w:val="000000"/>
                <w:sz w:val="18"/>
                <w:szCs w:val="18"/>
                <w:lang w:eastAsia="sk-SK" w:bidi="sk-SK"/>
              </w:rPr>
              <w:t>3 081 717</w:t>
            </w:r>
          </w:p>
        </w:tc>
        <w:tc>
          <w:tcPr>
            <w:tcW w:w="547" w:type="pct"/>
            <w:shd w:val="clear" w:color="auto" w:fill="FFFFFF"/>
            <w:vAlign w:val="center"/>
          </w:tcPr>
          <w:p w14:paraId="6500CBD4" w14:textId="77777777" w:rsidR="00B5522E" w:rsidRPr="00B12C81" w:rsidRDefault="00B5522E" w:rsidP="00B571E8">
            <w:pPr>
              <w:keepNext/>
              <w:widowControl w:val="0"/>
              <w:spacing w:after="0"/>
              <w:jc w:val="right"/>
              <w:rPr>
                <w:rFonts w:eastAsia="Times New Roman" w:cs="Segoe UI"/>
                <w:sz w:val="18"/>
                <w:szCs w:val="18"/>
              </w:rPr>
            </w:pPr>
            <w:r w:rsidRPr="00B12C81">
              <w:rPr>
                <w:rFonts w:eastAsia="Times New Roman" w:cs="Segoe UI"/>
                <w:bCs/>
                <w:color w:val="000000"/>
                <w:sz w:val="18"/>
                <w:szCs w:val="18"/>
                <w:lang w:eastAsia="sk-SK" w:bidi="sk-SK"/>
              </w:rPr>
              <w:t>3 356 273</w:t>
            </w:r>
          </w:p>
        </w:tc>
        <w:tc>
          <w:tcPr>
            <w:tcW w:w="548" w:type="pct"/>
            <w:shd w:val="clear" w:color="auto" w:fill="FFFFFF"/>
            <w:vAlign w:val="center"/>
          </w:tcPr>
          <w:p w14:paraId="6A985FCD" w14:textId="77777777" w:rsidR="00B5522E" w:rsidRPr="00B12C81" w:rsidRDefault="00B5522E" w:rsidP="00B571E8">
            <w:pPr>
              <w:keepNext/>
              <w:widowControl w:val="0"/>
              <w:spacing w:after="0"/>
              <w:jc w:val="right"/>
              <w:rPr>
                <w:rFonts w:eastAsia="Times New Roman" w:cs="Segoe UI"/>
                <w:sz w:val="18"/>
                <w:szCs w:val="18"/>
              </w:rPr>
            </w:pPr>
            <w:r w:rsidRPr="00B12C81">
              <w:rPr>
                <w:rFonts w:eastAsia="Times New Roman" w:cs="Segoe UI"/>
                <w:sz w:val="18"/>
                <w:szCs w:val="18"/>
              </w:rPr>
              <w:t>3 356 273</w:t>
            </w:r>
          </w:p>
        </w:tc>
        <w:tc>
          <w:tcPr>
            <w:tcW w:w="547" w:type="pct"/>
            <w:shd w:val="clear" w:color="auto" w:fill="FFFFFF"/>
            <w:vAlign w:val="center"/>
          </w:tcPr>
          <w:p w14:paraId="72A028DD" w14:textId="77777777" w:rsidR="00B5522E" w:rsidRPr="00B12C81" w:rsidRDefault="00B5522E" w:rsidP="00B571E8">
            <w:pPr>
              <w:keepNext/>
              <w:widowControl w:val="0"/>
              <w:spacing w:after="0"/>
              <w:jc w:val="right"/>
              <w:rPr>
                <w:rFonts w:eastAsia="Times New Roman" w:cs="Segoe UI"/>
                <w:sz w:val="18"/>
                <w:szCs w:val="18"/>
              </w:rPr>
            </w:pPr>
            <w:r w:rsidRPr="00B12C81">
              <w:rPr>
                <w:rFonts w:eastAsia="Times New Roman" w:cs="Segoe UI"/>
                <w:sz w:val="18"/>
                <w:szCs w:val="18"/>
              </w:rPr>
              <w:t>3 538 233</w:t>
            </w:r>
          </w:p>
        </w:tc>
        <w:tc>
          <w:tcPr>
            <w:tcW w:w="782" w:type="pct"/>
            <w:shd w:val="clear" w:color="auto" w:fill="FFFFFF"/>
            <w:vAlign w:val="center"/>
          </w:tcPr>
          <w:p w14:paraId="054CADFC" w14:textId="77777777" w:rsidR="00B5522E" w:rsidRPr="00B12C81" w:rsidRDefault="00B5522E" w:rsidP="00B571E8">
            <w:pPr>
              <w:keepNext/>
              <w:widowControl w:val="0"/>
              <w:spacing w:after="0"/>
              <w:jc w:val="right"/>
              <w:rPr>
                <w:rFonts w:eastAsia="Times New Roman" w:cs="Segoe UI"/>
                <w:sz w:val="18"/>
                <w:szCs w:val="18"/>
              </w:rPr>
            </w:pPr>
            <w:r w:rsidRPr="00B12C81">
              <w:rPr>
                <w:rFonts w:eastAsia="Times New Roman" w:cs="Segoe UI"/>
                <w:sz w:val="18"/>
                <w:szCs w:val="18"/>
              </w:rPr>
              <w:t>181 960</w:t>
            </w:r>
          </w:p>
        </w:tc>
        <w:tc>
          <w:tcPr>
            <w:tcW w:w="776" w:type="pct"/>
            <w:shd w:val="clear" w:color="auto" w:fill="FFFFFF"/>
            <w:vAlign w:val="center"/>
          </w:tcPr>
          <w:p w14:paraId="69BB4E39" w14:textId="77777777" w:rsidR="00B5522E" w:rsidRPr="00B12C81" w:rsidRDefault="00B5522E" w:rsidP="00B571E8">
            <w:pPr>
              <w:keepNext/>
              <w:widowControl w:val="0"/>
              <w:spacing w:after="0"/>
              <w:jc w:val="right"/>
              <w:rPr>
                <w:rFonts w:eastAsia="Times New Roman" w:cs="Segoe UI"/>
                <w:sz w:val="18"/>
                <w:szCs w:val="18"/>
              </w:rPr>
            </w:pPr>
            <w:r>
              <w:rPr>
                <w:rFonts w:eastAsia="Times New Roman" w:cs="Segoe UI"/>
                <w:sz w:val="18"/>
                <w:szCs w:val="18"/>
              </w:rPr>
              <w:t>105,4</w:t>
            </w:r>
          </w:p>
        </w:tc>
      </w:tr>
      <w:tr w:rsidR="00B5522E" w:rsidRPr="00C86202" w14:paraId="6285418C" w14:textId="77777777" w:rsidTr="00B571E8">
        <w:trPr>
          <w:cantSplit/>
          <w:trHeight w:val="283"/>
          <w:jc w:val="center"/>
        </w:trPr>
        <w:tc>
          <w:tcPr>
            <w:tcW w:w="1329" w:type="pct"/>
            <w:shd w:val="clear" w:color="auto" w:fill="FFFFFF"/>
            <w:vAlign w:val="center"/>
          </w:tcPr>
          <w:p w14:paraId="1FDAE236" w14:textId="77777777" w:rsidR="00B5522E" w:rsidRPr="00C86202" w:rsidRDefault="00B5522E" w:rsidP="00B571E8">
            <w:pPr>
              <w:pStyle w:val="Odsekzoznamu"/>
              <w:keepNext/>
              <w:widowControl w:val="0"/>
              <w:numPr>
                <w:ilvl w:val="0"/>
                <w:numId w:val="36"/>
              </w:numPr>
              <w:spacing w:after="0" w:line="259" w:lineRule="auto"/>
              <w:jc w:val="left"/>
              <w:rPr>
                <w:rFonts w:eastAsia="Times New Roman" w:cs="Segoe UI"/>
                <w:sz w:val="18"/>
                <w:szCs w:val="18"/>
              </w:rPr>
            </w:pPr>
            <w:r>
              <w:rPr>
                <w:rFonts w:eastAsia="Times New Roman" w:cs="Segoe UI"/>
                <w:sz w:val="18"/>
                <w:szCs w:val="18"/>
              </w:rPr>
              <w:t>T</w:t>
            </w:r>
            <w:r w:rsidRPr="00093D67">
              <w:rPr>
                <w:rFonts w:eastAsia="Times New Roman" w:cs="Segoe UI"/>
                <w:sz w:val="18"/>
                <w:szCs w:val="18"/>
              </w:rPr>
              <w:t>ovary a služby</w:t>
            </w:r>
            <w:r>
              <w:rPr>
                <w:rFonts w:eastAsia="Times New Roman" w:cs="Segoe UI"/>
                <w:b/>
                <w:bCs/>
                <w:color w:val="000000"/>
                <w:sz w:val="18"/>
                <w:szCs w:val="18"/>
                <w:lang w:eastAsia="sk-SK" w:bidi="sk-SK"/>
              </w:rPr>
              <w:t xml:space="preserve"> </w:t>
            </w:r>
          </w:p>
        </w:tc>
        <w:tc>
          <w:tcPr>
            <w:tcW w:w="470" w:type="pct"/>
            <w:shd w:val="clear" w:color="auto" w:fill="FFFFFF"/>
            <w:vAlign w:val="center"/>
          </w:tcPr>
          <w:p w14:paraId="2B24F6DA" w14:textId="77777777" w:rsidR="00B5522E" w:rsidRPr="00B12C81" w:rsidRDefault="00B5522E" w:rsidP="00B571E8">
            <w:pPr>
              <w:keepNext/>
              <w:widowControl w:val="0"/>
              <w:spacing w:after="0"/>
              <w:jc w:val="right"/>
              <w:rPr>
                <w:rFonts w:eastAsia="Times New Roman" w:cs="Segoe UI"/>
                <w:sz w:val="18"/>
                <w:szCs w:val="18"/>
              </w:rPr>
            </w:pPr>
            <w:r w:rsidRPr="00B12C81">
              <w:rPr>
                <w:rFonts w:eastAsia="Times New Roman" w:cs="Segoe UI"/>
                <w:bCs/>
                <w:color w:val="000000"/>
                <w:sz w:val="18"/>
                <w:szCs w:val="18"/>
                <w:lang w:eastAsia="sk-SK" w:bidi="sk-SK"/>
              </w:rPr>
              <w:t>1 849 482</w:t>
            </w:r>
          </w:p>
        </w:tc>
        <w:tc>
          <w:tcPr>
            <w:tcW w:w="547" w:type="pct"/>
            <w:shd w:val="clear" w:color="auto" w:fill="FFFFFF"/>
            <w:vAlign w:val="center"/>
          </w:tcPr>
          <w:p w14:paraId="441EDCBE" w14:textId="77777777" w:rsidR="00B5522E" w:rsidRPr="00B12C81" w:rsidRDefault="00B5522E" w:rsidP="00B571E8">
            <w:pPr>
              <w:keepNext/>
              <w:widowControl w:val="0"/>
              <w:spacing w:after="0"/>
              <w:jc w:val="right"/>
              <w:rPr>
                <w:rFonts w:eastAsia="Times New Roman" w:cs="Segoe UI"/>
                <w:sz w:val="18"/>
                <w:szCs w:val="18"/>
              </w:rPr>
            </w:pPr>
            <w:r w:rsidRPr="00B12C81">
              <w:rPr>
                <w:rFonts w:eastAsia="Times New Roman" w:cs="Segoe UI"/>
                <w:sz w:val="18"/>
                <w:szCs w:val="18"/>
              </w:rPr>
              <w:t>1 871 830</w:t>
            </w:r>
          </w:p>
        </w:tc>
        <w:tc>
          <w:tcPr>
            <w:tcW w:w="548" w:type="pct"/>
            <w:shd w:val="clear" w:color="auto" w:fill="FFFFFF"/>
            <w:vAlign w:val="center"/>
          </w:tcPr>
          <w:p w14:paraId="6F072CCD" w14:textId="77777777" w:rsidR="00B5522E" w:rsidRPr="00B12C81" w:rsidRDefault="00B5522E" w:rsidP="00B571E8">
            <w:pPr>
              <w:keepNext/>
              <w:widowControl w:val="0"/>
              <w:spacing w:after="0"/>
              <w:jc w:val="right"/>
              <w:rPr>
                <w:rFonts w:eastAsia="Times New Roman" w:cs="Segoe UI"/>
                <w:sz w:val="18"/>
                <w:szCs w:val="18"/>
              </w:rPr>
            </w:pPr>
            <w:r w:rsidRPr="00B12C81">
              <w:rPr>
                <w:rFonts w:eastAsia="Times New Roman" w:cs="Segoe UI"/>
                <w:sz w:val="18"/>
                <w:szCs w:val="18"/>
              </w:rPr>
              <w:t>1 911 510</w:t>
            </w:r>
          </w:p>
        </w:tc>
        <w:tc>
          <w:tcPr>
            <w:tcW w:w="547" w:type="pct"/>
            <w:shd w:val="clear" w:color="auto" w:fill="FFFFFF"/>
            <w:vAlign w:val="center"/>
          </w:tcPr>
          <w:p w14:paraId="014EB521" w14:textId="77777777" w:rsidR="00B5522E" w:rsidRPr="00B12C81" w:rsidRDefault="00B5522E" w:rsidP="00B571E8">
            <w:pPr>
              <w:keepNext/>
              <w:widowControl w:val="0"/>
              <w:spacing w:after="0"/>
              <w:jc w:val="right"/>
              <w:rPr>
                <w:rFonts w:eastAsia="Times New Roman" w:cs="Segoe UI"/>
                <w:sz w:val="18"/>
                <w:szCs w:val="18"/>
              </w:rPr>
            </w:pPr>
            <w:r w:rsidRPr="00B12C81">
              <w:rPr>
                <w:rFonts w:eastAsia="Times New Roman" w:cs="Segoe UI"/>
                <w:sz w:val="18"/>
                <w:szCs w:val="18"/>
              </w:rPr>
              <w:t>1 990 124</w:t>
            </w:r>
          </w:p>
        </w:tc>
        <w:tc>
          <w:tcPr>
            <w:tcW w:w="782" w:type="pct"/>
            <w:shd w:val="clear" w:color="auto" w:fill="FFFFFF"/>
            <w:vAlign w:val="center"/>
          </w:tcPr>
          <w:p w14:paraId="438761D2" w14:textId="77777777" w:rsidR="00B5522E" w:rsidRPr="00B12C81" w:rsidRDefault="00B5522E" w:rsidP="00B571E8">
            <w:pPr>
              <w:keepNext/>
              <w:widowControl w:val="0"/>
              <w:spacing w:after="0"/>
              <w:jc w:val="right"/>
              <w:rPr>
                <w:rFonts w:eastAsia="Times New Roman" w:cs="Segoe UI"/>
                <w:sz w:val="18"/>
                <w:szCs w:val="18"/>
              </w:rPr>
            </w:pPr>
            <w:r w:rsidRPr="00B12C81">
              <w:rPr>
                <w:rFonts w:eastAsia="Times New Roman" w:cs="Segoe UI"/>
                <w:sz w:val="18"/>
                <w:szCs w:val="18"/>
              </w:rPr>
              <w:t>118 294</w:t>
            </w:r>
          </w:p>
        </w:tc>
        <w:tc>
          <w:tcPr>
            <w:tcW w:w="776" w:type="pct"/>
            <w:shd w:val="clear" w:color="auto" w:fill="FFFFFF"/>
            <w:vAlign w:val="center"/>
          </w:tcPr>
          <w:p w14:paraId="3BC07CEC" w14:textId="77777777" w:rsidR="00B5522E" w:rsidRPr="00B12C81" w:rsidRDefault="00B5522E" w:rsidP="00B571E8">
            <w:pPr>
              <w:keepNext/>
              <w:widowControl w:val="0"/>
              <w:spacing w:after="0"/>
              <w:jc w:val="right"/>
              <w:rPr>
                <w:rFonts w:eastAsia="Times New Roman" w:cs="Segoe UI"/>
                <w:sz w:val="18"/>
                <w:szCs w:val="18"/>
              </w:rPr>
            </w:pPr>
            <w:r>
              <w:rPr>
                <w:rFonts w:eastAsia="Times New Roman" w:cs="Segoe UI"/>
                <w:sz w:val="18"/>
                <w:szCs w:val="18"/>
              </w:rPr>
              <w:t>106,3</w:t>
            </w:r>
          </w:p>
        </w:tc>
      </w:tr>
      <w:tr w:rsidR="00B5522E" w:rsidRPr="00C86202" w14:paraId="7C737938" w14:textId="77777777" w:rsidTr="00B571E8">
        <w:trPr>
          <w:cantSplit/>
          <w:trHeight w:val="283"/>
          <w:jc w:val="center"/>
        </w:trPr>
        <w:tc>
          <w:tcPr>
            <w:tcW w:w="1329" w:type="pct"/>
            <w:shd w:val="clear" w:color="auto" w:fill="FFFFFF"/>
            <w:vAlign w:val="center"/>
          </w:tcPr>
          <w:p w14:paraId="2D309391" w14:textId="77777777" w:rsidR="00B5522E" w:rsidRPr="00C86202" w:rsidRDefault="00B5522E" w:rsidP="00B571E8">
            <w:pPr>
              <w:pStyle w:val="Odsekzoznamu"/>
              <w:keepNext/>
              <w:widowControl w:val="0"/>
              <w:numPr>
                <w:ilvl w:val="0"/>
                <w:numId w:val="36"/>
              </w:numPr>
              <w:spacing w:after="0" w:line="259" w:lineRule="auto"/>
              <w:jc w:val="left"/>
              <w:rPr>
                <w:rFonts w:eastAsia="Times New Roman" w:cs="Segoe UI"/>
                <w:sz w:val="18"/>
                <w:szCs w:val="18"/>
              </w:rPr>
            </w:pPr>
            <w:r>
              <w:rPr>
                <w:rFonts w:eastAsia="Times New Roman" w:cs="Segoe UI"/>
                <w:sz w:val="18"/>
                <w:szCs w:val="18"/>
              </w:rPr>
              <w:t>B</w:t>
            </w:r>
            <w:r w:rsidRPr="00093D67">
              <w:rPr>
                <w:rFonts w:eastAsia="Times New Roman" w:cs="Segoe UI"/>
                <w:sz w:val="18"/>
                <w:szCs w:val="18"/>
              </w:rPr>
              <w:t>ežné transfery</w:t>
            </w:r>
            <w:r>
              <w:rPr>
                <w:rFonts w:eastAsia="Times New Roman" w:cs="Segoe UI"/>
                <w:i/>
                <w:iCs/>
                <w:color w:val="000000"/>
                <w:sz w:val="18"/>
                <w:szCs w:val="18"/>
                <w:lang w:eastAsia="sk-SK" w:bidi="sk-SK"/>
              </w:rPr>
              <w:t xml:space="preserve"> </w:t>
            </w:r>
          </w:p>
        </w:tc>
        <w:tc>
          <w:tcPr>
            <w:tcW w:w="470" w:type="pct"/>
            <w:shd w:val="clear" w:color="auto" w:fill="FFFFFF"/>
            <w:vAlign w:val="center"/>
          </w:tcPr>
          <w:p w14:paraId="3B99F73F" w14:textId="77777777" w:rsidR="00B5522E" w:rsidRPr="00B12C81" w:rsidRDefault="00B5522E" w:rsidP="00B571E8">
            <w:pPr>
              <w:keepNext/>
              <w:widowControl w:val="0"/>
              <w:spacing w:after="0"/>
              <w:jc w:val="right"/>
              <w:rPr>
                <w:rFonts w:eastAsia="Times New Roman" w:cs="Segoe UI"/>
                <w:sz w:val="18"/>
                <w:szCs w:val="18"/>
              </w:rPr>
            </w:pPr>
            <w:r w:rsidRPr="00B12C81">
              <w:rPr>
                <w:rFonts w:eastAsia="Times New Roman" w:cs="Segoe UI"/>
                <w:color w:val="000000"/>
                <w:sz w:val="18"/>
                <w:szCs w:val="18"/>
                <w:lang w:eastAsia="sk-SK" w:bidi="sk-SK"/>
              </w:rPr>
              <w:t>986 216</w:t>
            </w:r>
          </w:p>
        </w:tc>
        <w:tc>
          <w:tcPr>
            <w:tcW w:w="547" w:type="pct"/>
            <w:shd w:val="clear" w:color="auto" w:fill="FFFFFF"/>
            <w:vAlign w:val="center"/>
          </w:tcPr>
          <w:p w14:paraId="1CAEF000" w14:textId="77777777" w:rsidR="00B5522E" w:rsidRPr="00B12C81" w:rsidRDefault="00B5522E" w:rsidP="00B571E8">
            <w:pPr>
              <w:keepNext/>
              <w:widowControl w:val="0"/>
              <w:spacing w:after="0"/>
              <w:jc w:val="right"/>
              <w:rPr>
                <w:rFonts w:eastAsia="Times New Roman" w:cs="Segoe UI"/>
                <w:sz w:val="18"/>
                <w:szCs w:val="18"/>
              </w:rPr>
            </w:pPr>
            <w:r w:rsidRPr="00B12C81">
              <w:rPr>
                <w:rFonts w:eastAsia="Times New Roman" w:cs="Segoe UI"/>
                <w:color w:val="000000"/>
                <w:sz w:val="18"/>
                <w:szCs w:val="18"/>
                <w:lang w:eastAsia="sk-SK" w:bidi="sk-SK"/>
              </w:rPr>
              <w:t>806 351</w:t>
            </w:r>
          </w:p>
        </w:tc>
        <w:tc>
          <w:tcPr>
            <w:tcW w:w="548" w:type="pct"/>
            <w:shd w:val="clear" w:color="auto" w:fill="FFFFFF"/>
            <w:vAlign w:val="center"/>
          </w:tcPr>
          <w:p w14:paraId="7E39E7BE" w14:textId="77777777" w:rsidR="00B5522E" w:rsidRPr="00B12C81" w:rsidRDefault="00B5522E" w:rsidP="00B571E8">
            <w:pPr>
              <w:keepNext/>
              <w:widowControl w:val="0"/>
              <w:spacing w:after="0"/>
              <w:jc w:val="right"/>
              <w:rPr>
                <w:rFonts w:eastAsia="Times New Roman" w:cs="Segoe UI"/>
                <w:sz w:val="18"/>
                <w:szCs w:val="18"/>
              </w:rPr>
            </w:pPr>
            <w:r w:rsidRPr="00B12C81">
              <w:rPr>
                <w:rFonts w:eastAsia="Times New Roman" w:cs="Segoe UI"/>
                <w:sz w:val="18"/>
                <w:szCs w:val="18"/>
              </w:rPr>
              <w:t>888 122</w:t>
            </w:r>
          </w:p>
        </w:tc>
        <w:tc>
          <w:tcPr>
            <w:tcW w:w="547" w:type="pct"/>
            <w:shd w:val="clear" w:color="auto" w:fill="FFFFFF"/>
            <w:vAlign w:val="center"/>
          </w:tcPr>
          <w:p w14:paraId="0E7C69A0" w14:textId="77777777" w:rsidR="00B5522E" w:rsidRPr="00B12C81" w:rsidRDefault="00B5522E" w:rsidP="00B571E8">
            <w:pPr>
              <w:keepNext/>
              <w:widowControl w:val="0"/>
              <w:spacing w:after="0"/>
              <w:jc w:val="right"/>
              <w:rPr>
                <w:rFonts w:eastAsia="Times New Roman" w:cs="Segoe UI"/>
                <w:sz w:val="18"/>
                <w:szCs w:val="18"/>
              </w:rPr>
            </w:pPr>
            <w:r w:rsidRPr="00B12C81">
              <w:rPr>
                <w:rFonts w:eastAsia="Times New Roman" w:cs="Segoe UI"/>
                <w:sz w:val="18"/>
                <w:szCs w:val="18"/>
              </w:rPr>
              <w:t>785 273</w:t>
            </w:r>
          </w:p>
        </w:tc>
        <w:tc>
          <w:tcPr>
            <w:tcW w:w="782" w:type="pct"/>
            <w:shd w:val="clear" w:color="auto" w:fill="FFFFFF"/>
            <w:vAlign w:val="center"/>
          </w:tcPr>
          <w:p w14:paraId="55ECCD81" w14:textId="77777777" w:rsidR="00B5522E" w:rsidRPr="00B12C81" w:rsidRDefault="00B5522E" w:rsidP="00B571E8">
            <w:pPr>
              <w:keepNext/>
              <w:widowControl w:val="0"/>
              <w:spacing w:after="0"/>
              <w:jc w:val="right"/>
              <w:rPr>
                <w:rFonts w:eastAsia="Times New Roman" w:cs="Segoe UI"/>
                <w:sz w:val="18"/>
                <w:szCs w:val="18"/>
              </w:rPr>
            </w:pPr>
            <w:r w:rsidRPr="00B12C81">
              <w:rPr>
                <w:rFonts w:eastAsia="Times New Roman" w:cs="Segoe UI"/>
                <w:sz w:val="18"/>
                <w:szCs w:val="18"/>
              </w:rPr>
              <w:t>-21 078</w:t>
            </w:r>
          </w:p>
        </w:tc>
        <w:tc>
          <w:tcPr>
            <w:tcW w:w="776" w:type="pct"/>
            <w:shd w:val="clear" w:color="auto" w:fill="FFFFFF"/>
            <w:vAlign w:val="center"/>
          </w:tcPr>
          <w:p w14:paraId="7894B868" w14:textId="77777777" w:rsidR="00B5522E" w:rsidRPr="00B12C81" w:rsidRDefault="00B5522E" w:rsidP="00B571E8">
            <w:pPr>
              <w:keepNext/>
              <w:widowControl w:val="0"/>
              <w:spacing w:after="0"/>
              <w:jc w:val="right"/>
              <w:rPr>
                <w:rFonts w:eastAsia="Times New Roman" w:cs="Segoe UI"/>
                <w:sz w:val="18"/>
                <w:szCs w:val="18"/>
              </w:rPr>
            </w:pPr>
            <w:r>
              <w:rPr>
                <w:rFonts w:eastAsia="Times New Roman" w:cs="Segoe UI"/>
                <w:sz w:val="18"/>
                <w:szCs w:val="18"/>
              </w:rPr>
              <w:t>97,4</w:t>
            </w:r>
          </w:p>
        </w:tc>
      </w:tr>
      <w:tr w:rsidR="00B5522E" w:rsidRPr="00C86202" w14:paraId="2D0AA550" w14:textId="77777777" w:rsidTr="00B571E8">
        <w:trPr>
          <w:cantSplit/>
          <w:trHeight w:val="283"/>
          <w:jc w:val="center"/>
        </w:trPr>
        <w:tc>
          <w:tcPr>
            <w:tcW w:w="1329" w:type="pct"/>
            <w:shd w:val="clear" w:color="auto" w:fill="FFFFFF"/>
            <w:vAlign w:val="center"/>
          </w:tcPr>
          <w:p w14:paraId="74FE5AE4" w14:textId="77777777" w:rsidR="00B5522E" w:rsidRPr="00C86202" w:rsidRDefault="00B5522E" w:rsidP="00B571E8">
            <w:pPr>
              <w:keepNext/>
              <w:widowControl w:val="0"/>
              <w:spacing w:after="0"/>
              <w:jc w:val="left"/>
              <w:rPr>
                <w:rFonts w:eastAsia="Times New Roman" w:cs="Segoe UI"/>
                <w:sz w:val="18"/>
                <w:szCs w:val="18"/>
              </w:rPr>
            </w:pPr>
            <w:r>
              <w:rPr>
                <w:rFonts w:eastAsia="Times New Roman" w:cs="Segoe UI"/>
                <w:b/>
                <w:bCs/>
                <w:color w:val="000000"/>
                <w:sz w:val="18"/>
                <w:szCs w:val="18"/>
                <w:lang w:eastAsia="sk-SK" w:bidi="sk-SK"/>
              </w:rPr>
              <w:t>Kapitálové výdavky</w:t>
            </w:r>
          </w:p>
        </w:tc>
        <w:tc>
          <w:tcPr>
            <w:tcW w:w="470" w:type="pct"/>
            <w:shd w:val="clear" w:color="auto" w:fill="FFFFFF"/>
            <w:vAlign w:val="center"/>
          </w:tcPr>
          <w:p w14:paraId="5CF1DF47" w14:textId="77777777" w:rsidR="00B5522E" w:rsidRPr="00C86202" w:rsidRDefault="00B5522E" w:rsidP="00B571E8">
            <w:pPr>
              <w:keepNext/>
              <w:widowControl w:val="0"/>
              <w:spacing w:after="0"/>
              <w:jc w:val="right"/>
              <w:rPr>
                <w:rFonts w:eastAsia="Times New Roman" w:cs="Segoe UI"/>
                <w:sz w:val="18"/>
                <w:szCs w:val="18"/>
              </w:rPr>
            </w:pPr>
            <w:r w:rsidRPr="00B12C81">
              <w:rPr>
                <w:rFonts w:eastAsia="Times New Roman" w:cs="Segoe UI"/>
                <w:b/>
                <w:bCs/>
                <w:color w:val="000000"/>
                <w:sz w:val="18"/>
                <w:szCs w:val="18"/>
                <w:lang w:eastAsia="sk-SK" w:bidi="sk-SK"/>
              </w:rPr>
              <w:t>1 372 586</w:t>
            </w:r>
          </w:p>
        </w:tc>
        <w:tc>
          <w:tcPr>
            <w:tcW w:w="547" w:type="pct"/>
            <w:shd w:val="clear" w:color="auto" w:fill="FFFFFF"/>
            <w:vAlign w:val="center"/>
          </w:tcPr>
          <w:p w14:paraId="460F89C6" w14:textId="77777777" w:rsidR="00B5522E" w:rsidRPr="00C86202" w:rsidRDefault="00B5522E" w:rsidP="00B571E8">
            <w:pPr>
              <w:keepNext/>
              <w:widowControl w:val="0"/>
              <w:spacing w:after="0"/>
              <w:jc w:val="right"/>
              <w:rPr>
                <w:rFonts w:eastAsia="Times New Roman" w:cs="Segoe UI"/>
                <w:b/>
                <w:sz w:val="18"/>
                <w:szCs w:val="18"/>
              </w:rPr>
            </w:pPr>
            <w:r w:rsidRPr="00B12C81">
              <w:rPr>
                <w:rFonts w:eastAsia="Times New Roman" w:cs="Segoe UI"/>
                <w:b/>
                <w:sz w:val="18"/>
                <w:szCs w:val="18"/>
              </w:rPr>
              <w:t>537 395</w:t>
            </w:r>
          </w:p>
        </w:tc>
        <w:tc>
          <w:tcPr>
            <w:tcW w:w="548" w:type="pct"/>
            <w:shd w:val="clear" w:color="auto" w:fill="FFFFFF"/>
            <w:vAlign w:val="center"/>
          </w:tcPr>
          <w:p w14:paraId="5D2548BF" w14:textId="77777777" w:rsidR="00B5522E" w:rsidRPr="00C86202" w:rsidRDefault="00B5522E" w:rsidP="00B571E8">
            <w:pPr>
              <w:keepNext/>
              <w:widowControl w:val="0"/>
              <w:spacing w:after="0"/>
              <w:jc w:val="right"/>
              <w:rPr>
                <w:rFonts w:eastAsia="Times New Roman" w:cs="Segoe UI"/>
                <w:b/>
                <w:sz w:val="18"/>
                <w:szCs w:val="18"/>
              </w:rPr>
            </w:pPr>
            <w:r w:rsidRPr="00B12C81">
              <w:rPr>
                <w:rFonts w:eastAsia="Times New Roman" w:cs="Segoe UI"/>
                <w:b/>
                <w:sz w:val="18"/>
                <w:szCs w:val="18"/>
              </w:rPr>
              <w:t>859 853</w:t>
            </w:r>
          </w:p>
        </w:tc>
        <w:tc>
          <w:tcPr>
            <w:tcW w:w="547" w:type="pct"/>
            <w:shd w:val="clear" w:color="auto" w:fill="FFFFFF"/>
            <w:vAlign w:val="center"/>
          </w:tcPr>
          <w:p w14:paraId="7A649CBA" w14:textId="77777777" w:rsidR="00B5522E" w:rsidRPr="00C86202" w:rsidRDefault="00B5522E" w:rsidP="00B571E8">
            <w:pPr>
              <w:keepNext/>
              <w:widowControl w:val="0"/>
              <w:spacing w:after="0"/>
              <w:jc w:val="right"/>
              <w:rPr>
                <w:rFonts w:eastAsia="Times New Roman" w:cs="Segoe UI"/>
                <w:b/>
                <w:sz w:val="18"/>
                <w:szCs w:val="18"/>
              </w:rPr>
            </w:pPr>
            <w:r w:rsidRPr="00B12C81">
              <w:rPr>
                <w:rFonts w:eastAsia="Times New Roman" w:cs="Segoe UI"/>
                <w:b/>
                <w:sz w:val="18"/>
                <w:szCs w:val="18"/>
              </w:rPr>
              <w:t>661 986</w:t>
            </w:r>
          </w:p>
        </w:tc>
        <w:tc>
          <w:tcPr>
            <w:tcW w:w="782" w:type="pct"/>
            <w:shd w:val="clear" w:color="auto" w:fill="FFFFFF"/>
            <w:vAlign w:val="center"/>
          </w:tcPr>
          <w:p w14:paraId="00DD8782" w14:textId="77777777" w:rsidR="00B5522E" w:rsidRPr="00C86202" w:rsidRDefault="00B5522E" w:rsidP="00B571E8">
            <w:pPr>
              <w:keepNext/>
              <w:spacing w:after="0" w:line="240" w:lineRule="auto"/>
              <w:jc w:val="right"/>
              <w:rPr>
                <w:rFonts w:eastAsia="Times New Roman" w:cs="Segoe UI"/>
                <w:b/>
                <w:sz w:val="18"/>
                <w:szCs w:val="18"/>
              </w:rPr>
            </w:pPr>
            <w:r w:rsidRPr="00B12C81">
              <w:rPr>
                <w:rFonts w:eastAsia="Times New Roman" w:cs="Segoe UI"/>
                <w:b/>
                <w:sz w:val="18"/>
                <w:szCs w:val="18"/>
              </w:rPr>
              <w:t>124 591</w:t>
            </w:r>
          </w:p>
        </w:tc>
        <w:tc>
          <w:tcPr>
            <w:tcW w:w="776" w:type="pct"/>
            <w:shd w:val="clear" w:color="auto" w:fill="FFFFFF"/>
            <w:vAlign w:val="center"/>
          </w:tcPr>
          <w:p w14:paraId="4DA4241F" w14:textId="77777777" w:rsidR="00B5522E" w:rsidRPr="00C86202" w:rsidRDefault="00B5522E" w:rsidP="00B571E8">
            <w:pPr>
              <w:keepNext/>
              <w:spacing w:after="0" w:line="240" w:lineRule="auto"/>
              <w:jc w:val="right"/>
              <w:rPr>
                <w:rFonts w:eastAsia="Times New Roman" w:cs="Segoe UI"/>
                <w:b/>
                <w:sz w:val="18"/>
                <w:szCs w:val="18"/>
              </w:rPr>
            </w:pPr>
            <w:r>
              <w:rPr>
                <w:rFonts w:eastAsia="Times New Roman" w:cs="Segoe UI"/>
                <w:b/>
                <w:sz w:val="18"/>
                <w:szCs w:val="18"/>
              </w:rPr>
              <w:t>123,2</w:t>
            </w:r>
          </w:p>
        </w:tc>
      </w:tr>
      <w:tr w:rsidR="00B5522E" w:rsidRPr="00C86202" w14:paraId="77B20215" w14:textId="77777777" w:rsidTr="00B571E8">
        <w:trPr>
          <w:cantSplit/>
          <w:trHeight w:val="283"/>
          <w:jc w:val="center"/>
        </w:trPr>
        <w:tc>
          <w:tcPr>
            <w:tcW w:w="1329" w:type="pct"/>
            <w:tcBorders>
              <w:bottom w:val="single" w:sz="4" w:space="0" w:color="314364" w:themeColor="text2"/>
            </w:tcBorders>
            <w:shd w:val="clear" w:color="auto" w:fill="FFFFFF"/>
            <w:vAlign w:val="center"/>
          </w:tcPr>
          <w:p w14:paraId="0C74AA29" w14:textId="77777777" w:rsidR="00B5522E" w:rsidRDefault="00B5522E" w:rsidP="00B571E8">
            <w:pPr>
              <w:keepNext/>
              <w:widowControl w:val="0"/>
              <w:spacing w:after="0"/>
              <w:jc w:val="left"/>
              <w:rPr>
                <w:rFonts w:eastAsia="Times New Roman" w:cs="Segoe UI"/>
                <w:b/>
                <w:bCs/>
                <w:color w:val="000000"/>
                <w:sz w:val="18"/>
                <w:szCs w:val="18"/>
                <w:lang w:eastAsia="sk-SK" w:bidi="sk-SK"/>
              </w:rPr>
            </w:pPr>
            <w:r>
              <w:rPr>
                <w:rFonts w:eastAsia="Times New Roman" w:cs="Segoe UI"/>
                <w:b/>
                <w:bCs/>
                <w:color w:val="000000"/>
                <w:sz w:val="18"/>
                <w:szCs w:val="18"/>
                <w:lang w:eastAsia="sk-SK" w:bidi="sk-SK"/>
              </w:rPr>
              <w:t>Finančné operácie</w:t>
            </w:r>
          </w:p>
        </w:tc>
        <w:tc>
          <w:tcPr>
            <w:tcW w:w="470" w:type="pct"/>
            <w:tcBorders>
              <w:bottom w:val="single" w:sz="4" w:space="0" w:color="314364" w:themeColor="text2"/>
            </w:tcBorders>
            <w:shd w:val="clear" w:color="auto" w:fill="FFFFFF"/>
            <w:vAlign w:val="center"/>
          </w:tcPr>
          <w:p w14:paraId="72B08DEE" w14:textId="77777777" w:rsidR="00B5522E" w:rsidRPr="00C86202" w:rsidRDefault="00B5522E" w:rsidP="00B571E8">
            <w:pPr>
              <w:keepNext/>
              <w:widowControl w:val="0"/>
              <w:spacing w:after="0"/>
              <w:jc w:val="right"/>
              <w:rPr>
                <w:rFonts w:eastAsia="Times New Roman" w:cs="Segoe UI"/>
                <w:b/>
                <w:bCs/>
                <w:color w:val="000000"/>
                <w:sz w:val="18"/>
                <w:szCs w:val="18"/>
                <w:lang w:eastAsia="sk-SK" w:bidi="sk-SK"/>
              </w:rPr>
            </w:pPr>
            <w:r w:rsidRPr="00B12C81">
              <w:rPr>
                <w:rFonts w:eastAsia="Times New Roman" w:cs="Segoe UI"/>
                <w:b/>
                <w:bCs/>
                <w:color w:val="000000"/>
                <w:sz w:val="18"/>
                <w:szCs w:val="18"/>
                <w:lang w:eastAsia="sk-SK" w:bidi="sk-SK"/>
              </w:rPr>
              <w:t>262 789</w:t>
            </w:r>
          </w:p>
        </w:tc>
        <w:tc>
          <w:tcPr>
            <w:tcW w:w="547" w:type="pct"/>
            <w:tcBorders>
              <w:bottom w:val="single" w:sz="4" w:space="0" w:color="314364" w:themeColor="text2"/>
            </w:tcBorders>
            <w:shd w:val="clear" w:color="auto" w:fill="FFFFFF"/>
            <w:vAlign w:val="center"/>
          </w:tcPr>
          <w:p w14:paraId="7A41D5A6" w14:textId="77777777" w:rsidR="00B5522E" w:rsidRPr="00C86202" w:rsidRDefault="00B5522E" w:rsidP="00B571E8">
            <w:pPr>
              <w:keepNext/>
              <w:widowControl w:val="0"/>
              <w:spacing w:after="0"/>
              <w:jc w:val="right"/>
              <w:rPr>
                <w:rFonts w:eastAsia="Times New Roman" w:cs="Segoe UI"/>
                <w:b/>
                <w:sz w:val="18"/>
                <w:szCs w:val="18"/>
              </w:rPr>
            </w:pPr>
            <w:r w:rsidRPr="00B12C81">
              <w:rPr>
                <w:rFonts w:eastAsia="Times New Roman" w:cs="Segoe UI"/>
                <w:b/>
                <w:sz w:val="18"/>
                <w:szCs w:val="18"/>
              </w:rPr>
              <w:t>235 000</w:t>
            </w:r>
          </w:p>
        </w:tc>
        <w:tc>
          <w:tcPr>
            <w:tcW w:w="548" w:type="pct"/>
            <w:tcBorders>
              <w:bottom w:val="single" w:sz="4" w:space="0" w:color="314364" w:themeColor="text2"/>
            </w:tcBorders>
            <w:shd w:val="clear" w:color="auto" w:fill="FFFFFF"/>
            <w:vAlign w:val="center"/>
          </w:tcPr>
          <w:p w14:paraId="4AAE3A9D" w14:textId="77777777" w:rsidR="00B5522E" w:rsidRPr="00C86202" w:rsidRDefault="00B5522E" w:rsidP="00B571E8">
            <w:pPr>
              <w:keepNext/>
              <w:widowControl w:val="0"/>
              <w:spacing w:after="0"/>
              <w:jc w:val="right"/>
              <w:rPr>
                <w:rFonts w:eastAsia="Times New Roman" w:cs="Segoe UI"/>
                <w:b/>
                <w:sz w:val="18"/>
                <w:szCs w:val="18"/>
              </w:rPr>
            </w:pPr>
            <w:r w:rsidRPr="00B12C81">
              <w:rPr>
                <w:rFonts w:eastAsia="Times New Roman" w:cs="Segoe UI"/>
                <w:b/>
                <w:sz w:val="18"/>
                <w:szCs w:val="18"/>
              </w:rPr>
              <w:t>265 000</w:t>
            </w:r>
          </w:p>
        </w:tc>
        <w:tc>
          <w:tcPr>
            <w:tcW w:w="547" w:type="pct"/>
            <w:tcBorders>
              <w:bottom w:val="single" w:sz="4" w:space="0" w:color="314364" w:themeColor="text2"/>
            </w:tcBorders>
            <w:shd w:val="clear" w:color="auto" w:fill="FFFFFF"/>
            <w:vAlign w:val="center"/>
          </w:tcPr>
          <w:p w14:paraId="190B75E0" w14:textId="77777777" w:rsidR="00B5522E" w:rsidRPr="00C86202" w:rsidRDefault="00B5522E" w:rsidP="00B571E8">
            <w:pPr>
              <w:keepNext/>
              <w:widowControl w:val="0"/>
              <w:spacing w:after="0"/>
              <w:jc w:val="right"/>
              <w:rPr>
                <w:rFonts w:eastAsia="Times New Roman" w:cs="Segoe UI"/>
                <w:b/>
                <w:sz w:val="18"/>
                <w:szCs w:val="18"/>
              </w:rPr>
            </w:pPr>
            <w:r w:rsidRPr="00B12C81">
              <w:rPr>
                <w:rFonts w:eastAsia="Times New Roman" w:cs="Segoe UI"/>
                <w:b/>
                <w:sz w:val="18"/>
                <w:szCs w:val="18"/>
              </w:rPr>
              <w:t>265 000</w:t>
            </w:r>
          </w:p>
        </w:tc>
        <w:tc>
          <w:tcPr>
            <w:tcW w:w="782" w:type="pct"/>
            <w:tcBorders>
              <w:bottom w:val="single" w:sz="4" w:space="0" w:color="314364" w:themeColor="text2"/>
            </w:tcBorders>
            <w:shd w:val="clear" w:color="auto" w:fill="FFFFFF"/>
            <w:vAlign w:val="center"/>
          </w:tcPr>
          <w:p w14:paraId="67B5C7DF" w14:textId="77777777" w:rsidR="00B5522E" w:rsidRDefault="00B5522E" w:rsidP="00B571E8">
            <w:pPr>
              <w:keepNext/>
              <w:spacing w:after="0" w:line="240" w:lineRule="auto"/>
              <w:jc w:val="right"/>
              <w:rPr>
                <w:rFonts w:eastAsia="Times New Roman" w:cs="Segoe UI"/>
                <w:b/>
                <w:sz w:val="18"/>
                <w:szCs w:val="18"/>
              </w:rPr>
            </w:pPr>
            <w:r w:rsidRPr="00B12C81">
              <w:rPr>
                <w:rFonts w:eastAsia="Times New Roman" w:cs="Segoe UI"/>
                <w:b/>
                <w:sz w:val="18"/>
                <w:szCs w:val="18"/>
              </w:rPr>
              <w:t>30 000</w:t>
            </w:r>
          </w:p>
        </w:tc>
        <w:tc>
          <w:tcPr>
            <w:tcW w:w="776" w:type="pct"/>
            <w:tcBorders>
              <w:bottom w:val="single" w:sz="4" w:space="0" w:color="314364" w:themeColor="text2"/>
            </w:tcBorders>
            <w:shd w:val="clear" w:color="auto" w:fill="FFFFFF"/>
            <w:vAlign w:val="center"/>
          </w:tcPr>
          <w:p w14:paraId="43C1AA60" w14:textId="77777777" w:rsidR="00B5522E" w:rsidRPr="00C86202" w:rsidRDefault="00B5522E" w:rsidP="00B571E8">
            <w:pPr>
              <w:keepNext/>
              <w:spacing w:after="0" w:line="240" w:lineRule="auto"/>
              <w:jc w:val="right"/>
              <w:rPr>
                <w:rFonts w:eastAsia="Times New Roman" w:cs="Segoe UI"/>
                <w:b/>
                <w:sz w:val="18"/>
                <w:szCs w:val="18"/>
              </w:rPr>
            </w:pPr>
            <w:r>
              <w:rPr>
                <w:rFonts w:eastAsia="Times New Roman" w:cs="Segoe UI"/>
                <w:b/>
                <w:sz w:val="18"/>
                <w:szCs w:val="18"/>
              </w:rPr>
              <w:t>112,8</w:t>
            </w:r>
          </w:p>
        </w:tc>
      </w:tr>
    </w:tbl>
    <w:p w14:paraId="7F815269" w14:textId="5F79718D" w:rsidR="005C7289" w:rsidRDefault="00B5522E" w:rsidP="006323F2">
      <w:pPr>
        <w:spacing w:line="240" w:lineRule="auto"/>
        <w:jc w:val="left"/>
        <w:rPr>
          <w:rFonts w:eastAsia="Calibri" w:cs="Times New Roman"/>
          <w:i/>
          <w:color w:val="314364"/>
          <w:sz w:val="16"/>
        </w:rPr>
      </w:pPr>
      <w:r w:rsidRPr="00C86202">
        <w:rPr>
          <w:rFonts w:eastAsia="Calibri" w:cs="Times New Roman"/>
          <w:i/>
          <w:color w:val="314364"/>
          <w:sz w:val="16"/>
        </w:rPr>
        <w:t>Zdroj: Návrh RVS 2025 až 2027</w:t>
      </w:r>
      <w:r w:rsidR="00CA000D">
        <w:rPr>
          <w:rFonts w:eastAsia="Calibri" w:cs="Times New Roman"/>
          <w:i/>
          <w:color w:val="314364"/>
          <w:sz w:val="16"/>
        </w:rPr>
        <w:t>.</w:t>
      </w:r>
    </w:p>
    <w:p w14:paraId="1BACE7EB" w14:textId="15289D0F" w:rsidR="002E5B13" w:rsidRDefault="002E5B13" w:rsidP="002E5B13">
      <w:pPr>
        <w:rPr>
          <w:rFonts w:eastAsia="Calibri" w:cs="Times New Roman"/>
          <w:i/>
          <w:color w:val="314364"/>
          <w:sz w:val="16"/>
        </w:rPr>
      </w:pPr>
      <w:r w:rsidRPr="002E5B13">
        <w:rPr>
          <w:rFonts w:eastAsia="Times New Roman" w:cs="Segoe UI"/>
          <w:b/>
          <w:color w:val="000000"/>
          <w:szCs w:val="20"/>
          <w:lang w:eastAsia="sk-SK"/>
        </w:rPr>
        <w:t>Návrh na medziročné zníženie rozpočtovan</w:t>
      </w:r>
      <w:r w:rsidR="005C5249">
        <w:rPr>
          <w:rFonts w:eastAsia="Times New Roman" w:cs="Segoe UI"/>
          <w:b/>
          <w:color w:val="000000"/>
          <w:szCs w:val="20"/>
          <w:lang w:eastAsia="sk-SK"/>
        </w:rPr>
        <w:t>ých</w:t>
      </w:r>
      <w:r w:rsidRPr="002E5B13">
        <w:rPr>
          <w:rFonts w:eastAsia="Times New Roman" w:cs="Segoe UI"/>
          <w:b/>
          <w:color w:val="000000"/>
          <w:szCs w:val="20"/>
          <w:lang w:eastAsia="sk-SK"/>
        </w:rPr>
        <w:t xml:space="preserve"> bežných transferov o 21,1 mil. eur</w:t>
      </w:r>
      <w:r>
        <w:rPr>
          <w:rFonts w:eastAsia="Times New Roman" w:cs="Segoe UI"/>
          <w:color w:val="000000"/>
          <w:szCs w:val="20"/>
          <w:lang w:eastAsia="sk-SK"/>
        </w:rPr>
        <w:t xml:space="preserve"> </w:t>
      </w:r>
      <w:r w:rsidRPr="00470419">
        <w:rPr>
          <w:rFonts w:eastAsia="Times New Roman" w:cs="Segoe UI"/>
          <w:b/>
          <w:color w:val="000000"/>
          <w:szCs w:val="20"/>
          <w:lang w:eastAsia="sk-SK"/>
        </w:rPr>
        <w:t xml:space="preserve">súvisí so zmenou financovania </w:t>
      </w:r>
      <w:r>
        <w:rPr>
          <w:rFonts w:eastAsia="Times New Roman" w:cs="Segoe UI"/>
          <w:b/>
          <w:color w:val="000000"/>
          <w:szCs w:val="20"/>
          <w:lang w:eastAsia="sk-SK"/>
        </w:rPr>
        <w:t>predprimárneho vzdelávania.</w:t>
      </w:r>
      <w:r>
        <w:rPr>
          <w:rStyle w:val="Odkaznapoznmkupodiarou"/>
          <w:rFonts w:eastAsia="Times New Roman" w:cs="Segoe UI"/>
          <w:color w:val="000000"/>
          <w:lang w:eastAsia="sk-SK"/>
        </w:rPr>
        <w:footnoteReference w:id="113"/>
      </w:r>
      <w:r>
        <w:rPr>
          <w:rFonts w:eastAsia="Times New Roman" w:cs="Segoe UI"/>
          <w:color w:val="000000"/>
          <w:szCs w:val="20"/>
          <w:lang w:eastAsia="sk-SK"/>
        </w:rPr>
        <w:t xml:space="preserve"> </w:t>
      </w:r>
      <w:r>
        <w:rPr>
          <w:rFonts w:eastAsia="Times New Roman" w:cs="Segoe UI"/>
          <w:b/>
          <w:color w:val="000000"/>
          <w:szCs w:val="20"/>
          <w:lang w:eastAsia="sk-SK"/>
        </w:rPr>
        <w:t xml:space="preserve">Transfery </w:t>
      </w:r>
      <w:r w:rsidRPr="00470419">
        <w:rPr>
          <w:rFonts w:eastAsia="Times New Roman" w:cs="Segoe UI"/>
          <w:b/>
          <w:color w:val="000000"/>
          <w:szCs w:val="20"/>
          <w:lang w:eastAsia="sk-SK"/>
        </w:rPr>
        <w:t>súkromný</w:t>
      </w:r>
      <w:r>
        <w:rPr>
          <w:rFonts w:eastAsia="Times New Roman" w:cs="Segoe UI"/>
          <w:b/>
          <w:color w:val="000000"/>
          <w:szCs w:val="20"/>
          <w:lang w:eastAsia="sk-SK"/>
        </w:rPr>
        <w:t>m</w:t>
      </w:r>
      <w:r w:rsidRPr="00470419">
        <w:rPr>
          <w:rFonts w:eastAsia="Times New Roman" w:cs="Segoe UI"/>
          <w:b/>
          <w:color w:val="000000"/>
          <w:szCs w:val="20"/>
          <w:lang w:eastAsia="sk-SK"/>
        </w:rPr>
        <w:t xml:space="preserve"> a cirkevný</w:t>
      </w:r>
      <w:r>
        <w:rPr>
          <w:rFonts w:eastAsia="Times New Roman" w:cs="Segoe UI"/>
          <w:b/>
          <w:color w:val="000000"/>
          <w:szCs w:val="20"/>
          <w:lang w:eastAsia="sk-SK"/>
        </w:rPr>
        <w:t>m</w:t>
      </w:r>
      <w:r w:rsidRPr="00470419">
        <w:rPr>
          <w:rFonts w:eastAsia="Times New Roman" w:cs="Segoe UI"/>
          <w:b/>
          <w:color w:val="000000"/>
          <w:szCs w:val="20"/>
          <w:lang w:eastAsia="sk-SK"/>
        </w:rPr>
        <w:t xml:space="preserve"> </w:t>
      </w:r>
      <w:r>
        <w:rPr>
          <w:rFonts w:eastAsia="Times New Roman" w:cs="Segoe UI"/>
          <w:b/>
          <w:color w:val="000000"/>
          <w:szCs w:val="20"/>
          <w:lang w:eastAsia="sk-SK"/>
        </w:rPr>
        <w:t xml:space="preserve">MŠ budú od roku 2025 financované z rozpočtu kapitoly </w:t>
      </w:r>
      <w:r w:rsidRPr="00447A01">
        <w:rPr>
          <w:rFonts w:eastAsia="Times New Roman" w:cs="Segoe UI"/>
          <w:b/>
          <w:color w:val="000000"/>
          <w:szCs w:val="20"/>
          <w:lang w:eastAsia="sk-SK"/>
        </w:rPr>
        <w:t>MŠVV</w:t>
      </w:r>
      <w:r w:rsidR="0083753F">
        <w:rPr>
          <w:rFonts w:eastAsia="Times New Roman" w:cs="Segoe UI"/>
          <w:b/>
          <w:color w:val="000000"/>
          <w:szCs w:val="20"/>
          <w:lang w:eastAsia="sk-SK"/>
        </w:rPr>
        <w:t>a</w:t>
      </w:r>
      <w:r w:rsidRPr="00447A01">
        <w:rPr>
          <w:rFonts w:eastAsia="Times New Roman" w:cs="Segoe UI"/>
          <w:b/>
          <w:color w:val="000000"/>
          <w:szCs w:val="20"/>
          <w:lang w:eastAsia="sk-SK"/>
        </w:rPr>
        <w:t>M SR</w:t>
      </w:r>
      <w:r w:rsidR="000C4C7F">
        <w:rPr>
          <w:rFonts w:eastAsia="Times New Roman" w:cs="Segoe UI"/>
          <w:b/>
          <w:color w:val="000000"/>
          <w:szCs w:val="20"/>
          <w:lang w:eastAsia="sk-SK"/>
        </w:rPr>
        <w:t>.</w:t>
      </w:r>
    </w:p>
    <w:p w14:paraId="1409CF29" w14:textId="06748AC7" w:rsidR="002E5B13" w:rsidRDefault="005C7289" w:rsidP="005C7289">
      <w:pPr>
        <w:rPr>
          <w:rFonts w:eastAsia="Calibri" w:cs="Segoe UI"/>
          <w:szCs w:val="20"/>
        </w:rPr>
      </w:pPr>
      <w:r w:rsidRPr="00C86202">
        <w:rPr>
          <w:rFonts w:eastAsia="Calibri" w:cs="Segoe UI"/>
          <w:b/>
          <w:szCs w:val="20"/>
        </w:rPr>
        <w:t xml:space="preserve">Rok 2024 je posledným, kedy budú </w:t>
      </w:r>
      <w:r>
        <w:rPr>
          <w:rFonts w:eastAsia="Calibri" w:cs="Segoe UI"/>
          <w:b/>
          <w:szCs w:val="20"/>
        </w:rPr>
        <w:t>MŠ</w:t>
      </w:r>
      <w:r w:rsidRPr="00C86202">
        <w:rPr>
          <w:rFonts w:eastAsia="Calibri" w:cs="Segoe UI"/>
          <w:b/>
          <w:szCs w:val="20"/>
        </w:rPr>
        <w:t xml:space="preserve"> bez ohľadu na zriaďovateľa financované z vlastných príjmov samosprávy, ktorých podstatnú časť predstavuje podiel na výnose DPFO.</w:t>
      </w:r>
      <w:r w:rsidRPr="00C86202">
        <w:rPr>
          <w:rFonts w:eastAsia="Calibri" w:cs="Times New Roman"/>
          <w:b/>
        </w:rPr>
        <w:t xml:space="preserve"> </w:t>
      </w:r>
      <w:r w:rsidRPr="00C86202">
        <w:rPr>
          <w:rFonts w:eastAsia="Calibri" w:cs="Segoe UI"/>
          <w:szCs w:val="20"/>
        </w:rPr>
        <w:t xml:space="preserve">Na základe novely zákona, ktorý mení a dopĺňa zákon č. 597/2003 Z. z. o financovaní základných škôl, stredných škôl a školských zariadení, </w:t>
      </w:r>
      <w:r w:rsidR="00324BC4">
        <w:rPr>
          <w:rFonts w:eastAsia="Calibri" w:cs="Segoe UI"/>
          <w:szCs w:val="20"/>
        </w:rPr>
        <w:t>nastane</w:t>
      </w:r>
      <w:r w:rsidRPr="00C86202">
        <w:rPr>
          <w:rFonts w:eastAsia="Calibri" w:cs="Segoe UI"/>
          <w:szCs w:val="20"/>
        </w:rPr>
        <w:t xml:space="preserve"> zmena v oblasti financovania </w:t>
      </w:r>
      <w:r>
        <w:rPr>
          <w:rFonts w:eastAsia="Calibri" w:cs="Segoe UI"/>
          <w:szCs w:val="20"/>
        </w:rPr>
        <w:t>MŠ</w:t>
      </w:r>
      <w:r w:rsidRPr="00C86202">
        <w:rPr>
          <w:rFonts w:eastAsia="Calibri" w:cs="Segoe UI"/>
          <w:szCs w:val="20"/>
        </w:rPr>
        <w:t>.</w:t>
      </w:r>
      <w:r>
        <w:rPr>
          <w:rStyle w:val="Odkaznapoznmkupodiarou"/>
          <w:rFonts w:eastAsia="Calibri" w:cs="Segoe UI"/>
        </w:rPr>
        <w:footnoteReference w:id="114"/>
      </w:r>
      <w:r w:rsidRPr="00C86202">
        <w:rPr>
          <w:rFonts w:eastAsia="Calibri" w:cs="Segoe UI"/>
          <w:szCs w:val="20"/>
        </w:rPr>
        <w:t xml:space="preserve"> Táto zmena bude mať zásadný </w:t>
      </w:r>
      <w:r w:rsidRPr="00C86202">
        <w:rPr>
          <w:rFonts w:eastAsia="Calibri" w:cs="Segoe UI"/>
          <w:szCs w:val="20"/>
        </w:rPr>
        <w:lastRenderedPageBreak/>
        <w:t>vp</w:t>
      </w:r>
      <w:r>
        <w:rPr>
          <w:rFonts w:eastAsia="Calibri" w:cs="Segoe UI"/>
          <w:szCs w:val="20"/>
        </w:rPr>
        <w:t>lyv na rozpočty samospráv či</w:t>
      </w:r>
      <w:r w:rsidRPr="00C86202">
        <w:rPr>
          <w:rFonts w:eastAsia="Calibri" w:cs="Segoe UI"/>
          <w:szCs w:val="20"/>
        </w:rPr>
        <w:t xml:space="preserve"> </w:t>
      </w:r>
      <w:r>
        <w:rPr>
          <w:rFonts w:eastAsia="Calibri" w:cs="Segoe UI"/>
          <w:szCs w:val="20"/>
        </w:rPr>
        <w:t>ŠR</w:t>
      </w:r>
      <w:r w:rsidRPr="00C86202">
        <w:rPr>
          <w:rFonts w:eastAsia="Calibri" w:cs="Segoe UI"/>
          <w:szCs w:val="20"/>
        </w:rPr>
        <w:t xml:space="preserve"> (viac v kapitole </w:t>
      </w:r>
      <w:r w:rsidRPr="005C7289">
        <w:rPr>
          <w:rFonts w:eastAsia="Calibri" w:cs="Segoe UI"/>
          <w:szCs w:val="20"/>
        </w:rPr>
        <w:t>5.2.1</w:t>
      </w:r>
      <w:r w:rsidRPr="00C86202">
        <w:rPr>
          <w:rFonts w:eastAsia="Calibri" w:cs="Segoe UI"/>
          <w:szCs w:val="20"/>
        </w:rPr>
        <w:t>)</w:t>
      </w:r>
      <w:r w:rsidRPr="00F603C0">
        <w:rPr>
          <w:rFonts w:eastAsia="Calibri" w:cs="Segoe UI"/>
          <w:szCs w:val="20"/>
        </w:rPr>
        <w:t xml:space="preserve"> a odzrkadlí </w:t>
      </w:r>
      <w:r w:rsidR="00324BC4">
        <w:rPr>
          <w:rFonts w:eastAsia="Calibri" w:cs="Segoe UI"/>
          <w:szCs w:val="20"/>
        </w:rPr>
        <w:t xml:space="preserve">sa aj </w:t>
      </w:r>
      <w:r w:rsidRPr="00F603C0">
        <w:rPr>
          <w:rFonts w:eastAsia="Calibri" w:cs="Segoe UI"/>
          <w:szCs w:val="20"/>
        </w:rPr>
        <w:t>na znížení počtu zamestnancov v územnej samospráve.</w:t>
      </w:r>
      <w:r>
        <w:rPr>
          <w:rStyle w:val="Odkaznapoznmkupodiarou"/>
          <w:rFonts w:eastAsia="Calibri" w:cs="Segoe UI"/>
          <w:szCs w:val="20"/>
        </w:rPr>
        <w:footnoteReference w:id="115"/>
      </w:r>
    </w:p>
    <w:p w14:paraId="1DFD48A5" w14:textId="298961D7" w:rsidR="002C3DA0" w:rsidRPr="00A11960" w:rsidRDefault="005C7289" w:rsidP="002C3DA0">
      <w:pPr>
        <w:rPr>
          <w:rFonts w:eastAsia="Times New Roman" w:cs="Segoe UI"/>
          <w:b/>
          <w:color w:val="000000"/>
          <w:szCs w:val="20"/>
          <w:lang w:eastAsia="sk-SK"/>
        </w:rPr>
      </w:pPr>
      <w:r w:rsidRPr="00C86202">
        <w:rPr>
          <w:rFonts w:eastAsia="Calibri" w:cs="Segoe UI"/>
          <w:b/>
          <w:szCs w:val="20"/>
        </w:rPr>
        <w:t xml:space="preserve">Cieľom </w:t>
      </w:r>
      <w:r w:rsidR="005C5249">
        <w:rPr>
          <w:rFonts w:eastAsia="Calibri" w:cs="Segoe UI"/>
          <w:b/>
          <w:szCs w:val="20"/>
        </w:rPr>
        <w:t xml:space="preserve">tejto </w:t>
      </w:r>
      <w:r w:rsidRPr="00C86202">
        <w:rPr>
          <w:rFonts w:eastAsia="Calibri" w:cs="Segoe UI"/>
          <w:b/>
          <w:szCs w:val="20"/>
        </w:rPr>
        <w:t>zmeny</w:t>
      </w:r>
      <w:r>
        <w:rPr>
          <w:rFonts w:eastAsia="Calibri" w:cs="Segoe UI"/>
          <w:b/>
          <w:szCs w:val="20"/>
        </w:rPr>
        <w:t xml:space="preserve"> vo financovaní</w:t>
      </w:r>
      <w:r w:rsidRPr="00C86202">
        <w:rPr>
          <w:rFonts w:eastAsia="Calibri" w:cs="Segoe UI"/>
          <w:b/>
          <w:szCs w:val="20"/>
        </w:rPr>
        <w:t xml:space="preserve"> je prechod financovania </w:t>
      </w:r>
      <w:r>
        <w:rPr>
          <w:rFonts w:eastAsia="Calibri" w:cs="Segoe UI"/>
          <w:b/>
          <w:szCs w:val="20"/>
        </w:rPr>
        <w:t xml:space="preserve">MŠ </w:t>
      </w:r>
      <w:r w:rsidRPr="00C86202">
        <w:rPr>
          <w:rFonts w:eastAsia="Calibri" w:cs="Segoe UI"/>
          <w:b/>
          <w:szCs w:val="20"/>
        </w:rPr>
        <w:t>z výnosu DPFO na financovanie priamo zo ŠR, pričom sa znižuje percento podielu obcí na výnose DPFO</w:t>
      </w:r>
      <w:r>
        <w:rPr>
          <w:rFonts w:eastAsia="Calibri" w:cs="Segoe UI"/>
          <w:b/>
          <w:szCs w:val="20"/>
        </w:rPr>
        <w:t xml:space="preserve"> </w:t>
      </w:r>
      <w:r w:rsidR="000C4C7F">
        <w:rPr>
          <w:rFonts w:eastAsia="Calibri" w:cs="Segoe UI"/>
          <w:b/>
          <w:szCs w:val="20"/>
        </w:rPr>
        <w:t xml:space="preserve">od 1. januára 2025 </w:t>
      </w:r>
      <w:r w:rsidRPr="001A139B">
        <w:rPr>
          <w:rFonts w:eastAsia="Calibri" w:cs="Segoe UI"/>
          <w:b/>
          <w:szCs w:val="20"/>
        </w:rPr>
        <w:t>z</w:t>
      </w:r>
      <w:r>
        <w:rPr>
          <w:rFonts w:eastAsia="Calibri" w:cs="Segoe UI"/>
          <w:b/>
          <w:szCs w:val="20"/>
        </w:rPr>
        <w:t>o</w:t>
      </w:r>
      <w:r w:rsidRPr="001A139B">
        <w:rPr>
          <w:rFonts w:eastAsia="Calibri" w:cs="Segoe UI"/>
          <w:b/>
          <w:szCs w:val="20"/>
        </w:rPr>
        <w:t xml:space="preserve"> 70 </w:t>
      </w:r>
      <w:r w:rsidR="000C4C7F">
        <w:rPr>
          <w:rFonts w:eastAsia="Calibri" w:cs="Segoe UI"/>
          <w:b/>
          <w:szCs w:val="20"/>
        </w:rPr>
        <w:t> </w:t>
      </w:r>
      <w:r w:rsidRPr="001A139B">
        <w:rPr>
          <w:rFonts w:eastAsia="Calibri" w:cs="Segoe UI"/>
          <w:b/>
          <w:szCs w:val="20"/>
        </w:rPr>
        <w:t>% na 55,1</w:t>
      </w:r>
      <w:r w:rsidRPr="00A13074">
        <w:rPr>
          <w:rFonts w:eastAsia="Calibri" w:cs="Segoe UI"/>
          <w:b/>
          <w:szCs w:val="20"/>
        </w:rPr>
        <w:t xml:space="preserve"> %</w:t>
      </w:r>
      <w:r w:rsidRPr="00F603C0">
        <w:rPr>
          <w:rFonts w:eastAsia="Calibri" w:cs="Segoe UI"/>
          <w:b/>
          <w:szCs w:val="20"/>
        </w:rPr>
        <w:t>.</w:t>
      </w:r>
      <w:r w:rsidRPr="002E5B13">
        <w:rPr>
          <w:rStyle w:val="Odkaznapoznmkupodiarou"/>
          <w:rFonts w:eastAsia="Times New Roman" w:cs="Segoe UI"/>
          <w:color w:val="000000"/>
          <w:lang w:eastAsia="sk-SK"/>
        </w:rPr>
        <w:footnoteReference w:id="116"/>
      </w:r>
      <w:r w:rsidRPr="00C86202">
        <w:rPr>
          <w:rFonts w:eastAsia="Calibri" w:cs="Segoe UI"/>
          <w:szCs w:val="20"/>
        </w:rPr>
        <w:t xml:space="preserve"> Nový spôsob financovania MŠ zavádza normatívne financovanie, kde sa prostriedky prideľujú na základe počtu detí v </w:t>
      </w:r>
      <w:r w:rsidR="005C5249">
        <w:rPr>
          <w:rFonts w:eastAsia="Calibri" w:cs="Segoe UI"/>
          <w:szCs w:val="20"/>
        </w:rPr>
        <w:t>MŠ</w:t>
      </w:r>
      <w:r w:rsidRPr="00C86202">
        <w:rPr>
          <w:rFonts w:eastAsia="Calibri" w:cs="Segoe UI"/>
          <w:szCs w:val="20"/>
        </w:rPr>
        <w:t xml:space="preserve"> </w:t>
      </w:r>
      <w:r w:rsidRPr="00C86202">
        <w:rPr>
          <w:rFonts w:eastAsia="Calibri" w:cs="Segoe UI"/>
          <w:color w:val="000000"/>
          <w:szCs w:val="20"/>
        </w:rPr>
        <w:t>v zriaďovateľskej pôsobnosti obce</w:t>
      </w:r>
      <w:r w:rsidRPr="00C86202">
        <w:rPr>
          <w:rFonts w:eastAsia="Calibri" w:cs="Segoe UI"/>
          <w:szCs w:val="20"/>
        </w:rPr>
        <w:t xml:space="preserve"> a stanoveného normatívu pre príslušný kalendárny rok z rozpočtu kapitoly MŠVV</w:t>
      </w:r>
      <w:r w:rsidR="008B487F">
        <w:rPr>
          <w:rFonts w:eastAsia="Calibri" w:cs="Segoe UI"/>
          <w:szCs w:val="20"/>
        </w:rPr>
        <w:t>a</w:t>
      </w:r>
      <w:r w:rsidRPr="00C86202">
        <w:rPr>
          <w:rFonts w:eastAsia="Calibri" w:cs="Segoe UI"/>
          <w:szCs w:val="20"/>
        </w:rPr>
        <w:t xml:space="preserve">M SR. Zároveň </w:t>
      </w:r>
      <w:r w:rsidR="005C5249">
        <w:rPr>
          <w:rFonts w:eastAsia="Calibri" w:cs="Segoe UI"/>
          <w:szCs w:val="20"/>
        </w:rPr>
        <w:t xml:space="preserve">sa </w:t>
      </w:r>
      <w:r w:rsidRPr="00C86202">
        <w:rPr>
          <w:rFonts w:eastAsia="Calibri" w:cs="Segoe UI"/>
          <w:szCs w:val="20"/>
        </w:rPr>
        <w:t>z kapitoly MŠVV</w:t>
      </w:r>
      <w:r w:rsidR="008B487F">
        <w:rPr>
          <w:rFonts w:eastAsia="Calibri" w:cs="Segoe UI"/>
          <w:szCs w:val="20"/>
        </w:rPr>
        <w:t>a</w:t>
      </w:r>
      <w:r w:rsidRPr="00C86202">
        <w:rPr>
          <w:rFonts w:eastAsia="Calibri" w:cs="Segoe UI"/>
          <w:szCs w:val="20"/>
        </w:rPr>
        <w:t>M SR budú poskytovať aj nenormatívne príspevky</w:t>
      </w:r>
      <w:r w:rsidRPr="00C86202">
        <w:rPr>
          <w:rFonts w:eastAsia="Calibri" w:cs="Segoe UI"/>
          <w:szCs w:val="20"/>
          <w:vertAlign w:val="superscript"/>
        </w:rPr>
        <w:footnoteReference w:id="117"/>
      </w:r>
      <w:r>
        <w:rPr>
          <w:rFonts w:eastAsia="Calibri" w:cs="Segoe UI"/>
          <w:szCs w:val="20"/>
        </w:rPr>
        <w:t>.</w:t>
      </w:r>
      <w:r w:rsidRPr="00C86202">
        <w:rPr>
          <w:rFonts w:eastAsia="Calibri" w:cs="Segoe UI"/>
          <w:szCs w:val="20"/>
        </w:rPr>
        <w:t xml:space="preserve"> </w:t>
      </w:r>
      <w:r w:rsidR="002C3DA0">
        <w:rPr>
          <w:rFonts w:eastAsia="Times New Roman" w:cs="Segoe UI"/>
          <w:b/>
          <w:color w:val="000000"/>
          <w:szCs w:val="20"/>
          <w:lang w:eastAsia="sk-SK"/>
        </w:rPr>
        <w:t xml:space="preserve">Výdavky obcí boli z tohto dôvodu znížené o 560 mil. eur a boli zapracované do kapitoly MŠVVaM SR. </w:t>
      </w:r>
    </w:p>
    <w:p w14:paraId="2D81EA1C" w14:textId="5485D5E6" w:rsidR="00324BC4" w:rsidRDefault="00324BC4" w:rsidP="00324BC4">
      <w:r>
        <w:rPr>
          <w:b/>
        </w:rPr>
        <w:t>Rozpočet VÚC má v roku</w:t>
      </w:r>
      <w:r w:rsidRPr="006C0C30">
        <w:rPr>
          <w:b/>
        </w:rPr>
        <w:t xml:space="preserve"> 2025 podľa metodiky ESA 2010 dosiahn</w:t>
      </w:r>
      <w:r>
        <w:rPr>
          <w:b/>
        </w:rPr>
        <w:t>uť</w:t>
      </w:r>
      <w:r w:rsidRPr="006C0C30">
        <w:rPr>
          <w:b/>
        </w:rPr>
        <w:t xml:space="preserve"> schodok</w:t>
      </w:r>
      <w:r>
        <w:rPr>
          <w:b/>
        </w:rPr>
        <w:t>, a to</w:t>
      </w:r>
      <w:r w:rsidRPr="006C0C30">
        <w:rPr>
          <w:b/>
        </w:rPr>
        <w:t xml:space="preserve"> vo výške 127,3 mil. eur</w:t>
      </w:r>
      <w:r w:rsidRPr="002372B9">
        <w:t xml:space="preserve"> (tabuľka 1</w:t>
      </w:r>
      <w:r w:rsidR="00790C32">
        <w:t>5</w:t>
      </w:r>
      <w:r w:rsidRPr="002372B9">
        <w:t>)</w:t>
      </w:r>
      <w:r w:rsidRPr="006C0C30">
        <w:rPr>
          <w:b/>
        </w:rPr>
        <w:t>.</w:t>
      </w:r>
      <w:r w:rsidRPr="00F32016">
        <w:t xml:space="preserve"> </w:t>
      </w:r>
      <w:r>
        <w:rPr>
          <w:rFonts w:eastAsia="Times New Roman" w:cs="Segoe UI"/>
          <w:color w:val="000000"/>
          <w:szCs w:val="20"/>
          <w:lang w:eastAsia="sk-SK"/>
        </w:rPr>
        <w:t>Celková bilancia VÚC je pozitívna na úrovni 177 mil. eur a schodok je dosiahnutý po započítaní finančných operácií vo výške 304 mil. eur.</w:t>
      </w:r>
      <w:r w:rsidRPr="00C86202">
        <w:rPr>
          <w:rFonts w:eastAsia="Times New Roman" w:cs="Segoe UI"/>
          <w:color w:val="000000"/>
          <w:szCs w:val="20"/>
          <w:lang w:eastAsia="sk-SK"/>
        </w:rPr>
        <w:t xml:space="preserve"> </w:t>
      </w:r>
      <w:r>
        <w:t xml:space="preserve">V porovnaní s očakávanou skutočnosťou za tento rok ide o pokles o 9,4 %. </w:t>
      </w:r>
    </w:p>
    <w:p w14:paraId="225F45D8" w14:textId="577D56E8" w:rsidR="00B5522E" w:rsidRPr="00FE7976" w:rsidRDefault="00B5522E" w:rsidP="00B5522E">
      <w:pPr>
        <w:keepNext/>
        <w:spacing w:after="80" w:line="240" w:lineRule="auto"/>
        <w:rPr>
          <w:b/>
          <w:color w:val="314364"/>
          <w:szCs w:val="20"/>
        </w:rPr>
      </w:pPr>
      <w:r w:rsidRPr="00FE7976">
        <w:rPr>
          <w:b/>
          <w:color w:val="314364"/>
          <w:szCs w:val="20"/>
        </w:rPr>
        <w:t xml:space="preserve">Tabuľka </w:t>
      </w:r>
      <w:r w:rsidRPr="00FE7976">
        <w:rPr>
          <w:b/>
          <w:color w:val="314364"/>
          <w:szCs w:val="20"/>
        </w:rPr>
        <w:fldChar w:fldCharType="begin"/>
      </w:r>
      <w:r w:rsidRPr="00FE7976">
        <w:rPr>
          <w:b/>
          <w:color w:val="314364"/>
          <w:szCs w:val="20"/>
        </w:rPr>
        <w:instrText xml:space="preserve"> SEQ Tabuľka \* ARABIC </w:instrText>
      </w:r>
      <w:r w:rsidRPr="00FE7976">
        <w:rPr>
          <w:b/>
          <w:color w:val="314364"/>
          <w:szCs w:val="20"/>
        </w:rPr>
        <w:fldChar w:fldCharType="separate"/>
      </w:r>
      <w:r w:rsidR="003F23CE">
        <w:rPr>
          <w:b/>
          <w:noProof/>
          <w:color w:val="314364"/>
          <w:szCs w:val="20"/>
        </w:rPr>
        <w:t>1</w:t>
      </w:r>
      <w:r w:rsidRPr="00FE7976">
        <w:rPr>
          <w:b/>
          <w:color w:val="314364"/>
          <w:szCs w:val="20"/>
        </w:rPr>
        <w:fldChar w:fldCharType="end"/>
      </w:r>
      <w:r w:rsidR="00041ECD">
        <w:rPr>
          <w:b/>
          <w:color w:val="314364"/>
          <w:szCs w:val="20"/>
        </w:rPr>
        <w:t>5</w:t>
      </w:r>
      <w:r>
        <w:rPr>
          <w:b/>
          <w:color w:val="314364"/>
          <w:szCs w:val="20"/>
        </w:rPr>
        <w:t>:</w:t>
      </w:r>
      <w:r w:rsidRPr="00FE7976">
        <w:rPr>
          <w:b/>
          <w:color w:val="314364"/>
          <w:szCs w:val="20"/>
        </w:rPr>
        <w:t xml:space="preserve"> Hospodárenie VÚC podľa metodiky ESA 2010 (v tis. eur)</w:t>
      </w:r>
    </w:p>
    <w:tbl>
      <w:tblPr>
        <w:tblpPr w:leftFromText="141" w:rightFromText="141" w:vertAnchor="text" w:horzAnchor="margin" w:tblpY="-32"/>
        <w:tblW w:w="9079" w:type="dxa"/>
        <w:tblLayout w:type="fixed"/>
        <w:tblCellMar>
          <w:left w:w="70" w:type="dxa"/>
          <w:right w:w="70" w:type="dxa"/>
        </w:tblCellMar>
        <w:tblLook w:val="04A0" w:firstRow="1" w:lastRow="0" w:firstColumn="1" w:lastColumn="0" w:noHBand="0" w:noVBand="1"/>
      </w:tblPr>
      <w:tblGrid>
        <w:gridCol w:w="2279"/>
        <w:gridCol w:w="751"/>
        <w:gridCol w:w="74"/>
        <w:gridCol w:w="1067"/>
        <w:gridCol w:w="74"/>
        <w:gridCol w:w="1074"/>
        <w:gridCol w:w="74"/>
        <w:gridCol w:w="1091"/>
        <w:gridCol w:w="74"/>
        <w:gridCol w:w="1239"/>
        <w:gridCol w:w="42"/>
        <w:gridCol w:w="1233"/>
        <w:gridCol w:w="7"/>
      </w:tblGrid>
      <w:tr w:rsidR="00B5522E" w:rsidRPr="002A2205" w14:paraId="2AE6C76C" w14:textId="77777777" w:rsidTr="00B571E8">
        <w:trPr>
          <w:trHeight w:hRule="exact" w:val="284"/>
        </w:trPr>
        <w:tc>
          <w:tcPr>
            <w:tcW w:w="2279" w:type="dxa"/>
            <w:tcBorders>
              <w:top w:val="nil"/>
              <w:left w:val="nil"/>
              <w:bottom w:val="nil"/>
              <w:right w:val="nil"/>
            </w:tcBorders>
            <w:shd w:val="clear" w:color="auto" w:fill="314364"/>
            <w:noWrap/>
            <w:vAlign w:val="center"/>
            <w:hideMark/>
          </w:tcPr>
          <w:p w14:paraId="3C073740" w14:textId="77777777" w:rsidR="00B5522E" w:rsidRPr="00977000" w:rsidRDefault="00B5522E" w:rsidP="00B571E8">
            <w:pPr>
              <w:spacing w:after="0" w:line="240" w:lineRule="auto"/>
              <w:ind w:right="-332"/>
              <w:jc w:val="left"/>
              <w:rPr>
                <w:rFonts w:eastAsia="Times New Roman" w:cs="Segoe UI"/>
                <w:b/>
                <w:bCs/>
                <w:color w:val="FFFFFF"/>
                <w:sz w:val="18"/>
                <w:szCs w:val="18"/>
                <w:lang w:eastAsia="sk-SK"/>
              </w:rPr>
            </w:pPr>
            <w:r w:rsidRPr="00977000">
              <w:rPr>
                <w:rFonts w:eastAsia="Times New Roman" w:cs="Segoe UI"/>
                <w:b/>
                <w:bCs/>
                <w:color w:val="FFFFFF"/>
                <w:sz w:val="18"/>
                <w:szCs w:val="18"/>
                <w:lang w:eastAsia="sk-SK" w:bidi="sk-SK"/>
              </w:rPr>
              <w:t>Hospodárenie VÚC</w:t>
            </w:r>
          </w:p>
        </w:tc>
        <w:tc>
          <w:tcPr>
            <w:tcW w:w="751" w:type="dxa"/>
            <w:tcBorders>
              <w:top w:val="nil"/>
              <w:left w:val="nil"/>
              <w:bottom w:val="nil"/>
              <w:right w:val="nil"/>
            </w:tcBorders>
            <w:shd w:val="clear" w:color="auto" w:fill="314364"/>
            <w:noWrap/>
            <w:vAlign w:val="center"/>
            <w:hideMark/>
          </w:tcPr>
          <w:p w14:paraId="7BDF6C89" w14:textId="77777777" w:rsidR="00B5522E" w:rsidRPr="00977000" w:rsidRDefault="00B5522E" w:rsidP="00B571E8">
            <w:pPr>
              <w:spacing w:after="0" w:line="240" w:lineRule="auto"/>
              <w:ind w:left="-640" w:right="-73" w:hanging="284"/>
              <w:jc w:val="right"/>
              <w:rPr>
                <w:rFonts w:eastAsia="Times New Roman" w:cs="Segoe UI"/>
                <w:b/>
                <w:bCs/>
                <w:color w:val="FFFFFF"/>
                <w:sz w:val="18"/>
                <w:szCs w:val="18"/>
                <w:lang w:eastAsia="sk-SK"/>
              </w:rPr>
            </w:pPr>
            <w:r w:rsidRPr="00977000">
              <w:rPr>
                <w:rFonts w:eastAsia="Times New Roman" w:cs="Segoe UI"/>
                <w:b/>
                <w:bCs/>
                <w:color w:val="FFFFFF"/>
                <w:sz w:val="18"/>
                <w:szCs w:val="18"/>
                <w:lang w:eastAsia="sk-SK"/>
              </w:rPr>
              <w:t>2023 S</w:t>
            </w:r>
          </w:p>
        </w:tc>
        <w:tc>
          <w:tcPr>
            <w:tcW w:w="1141" w:type="dxa"/>
            <w:gridSpan w:val="2"/>
            <w:tcBorders>
              <w:top w:val="nil"/>
              <w:left w:val="nil"/>
              <w:bottom w:val="nil"/>
              <w:right w:val="nil"/>
            </w:tcBorders>
            <w:shd w:val="clear" w:color="auto" w:fill="314364"/>
            <w:noWrap/>
            <w:vAlign w:val="center"/>
            <w:hideMark/>
          </w:tcPr>
          <w:p w14:paraId="4553BF40" w14:textId="77777777" w:rsidR="00B5522E" w:rsidRPr="00977000" w:rsidRDefault="00B5522E" w:rsidP="00B571E8">
            <w:pPr>
              <w:spacing w:after="0" w:line="240" w:lineRule="auto"/>
              <w:jc w:val="right"/>
              <w:rPr>
                <w:rFonts w:eastAsia="Times New Roman" w:cs="Segoe UI"/>
                <w:b/>
                <w:bCs/>
                <w:color w:val="FFFFFF"/>
                <w:sz w:val="18"/>
                <w:szCs w:val="18"/>
                <w:lang w:eastAsia="sk-SK"/>
              </w:rPr>
            </w:pPr>
            <w:r w:rsidRPr="00977000">
              <w:rPr>
                <w:rFonts w:eastAsia="Times New Roman" w:cs="Segoe UI"/>
                <w:b/>
                <w:bCs/>
                <w:color w:val="FFFFFF"/>
                <w:sz w:val="18"/>
                <w:szCs w:val="18"/>
                <w:lang w:eastAsia="sk-SK"/>
              </w:rPr>
              <w:t>2024 R</w:t>
            </w:r>
          </w:p>
        </w:tc>
        <w:tc>
          <w:tcPr>
            <w:tcW w:w="1148" w:type="dxa"/>
            <w:gridSpan w:val="2"/>
            <w:tcBorders>
              <w:top w:val="nil"/>
              <w:left w:val="nil"/>
              <w:bottom w:val="nil"/>
              <w:right w:val="nil"/>
            </w:tcBorders>
            <w:shd w:val="clear" w:color="auto" w:fill="314364"/>
            <w:noWrap/>
            <w:vAlign w:val="center"/>
            <w:hideMark/>
          </w:tcPr>
          <w:p w14:paraId="38DCE147" w14:textId="77777777" w:rsidR="00B5522E" w:rsidRPr="00977000" w:rsidRDefault="00B5522E" w:rsidP="00B571E8">
            <w:pPr>
              <w:spacing w:after="0" w:line="240" w:lineRule="auto"/>
              <w:jc w:val="right"/>
              <w:rPr>
                <w:rFonts w:eastAsia="Times New Roman" w:cs="Segoe UI"/>
                <w:b/>
                <w:bCs/>
                <w:color w:val="FFFFFF"/>
                <w:sz w:val="18"/>
                <w:szCs w:val="18"/>
                <w:lang w:eastAsia="sk-SK"/>
              </w:rPr>
            </w:pPr>
            <w:r w:rsidRPr="00977000">
              <w:rPr>
                <w:rFonts w:eastAsia="Times New Roman" w:cs="Segoe UI"/>
                <w:b/>
                <w:bCs/>
                <w:color w:val="FFFFFF"/>
                <w:sz w:val="18"/>
                <w:szCs w:val="18"/>
                <w:lang w:eastAsia="sk-SK"/>
              </w:rPr>
              <w:t>2024 OS</w:t>
            </w:r>
          </w:p>
        </w:tc>
        <w:tc>
          <w:tcPr>
            <w:tcW w:w="1165" w:type="dxa"/>
            <w:gridSpan w:val="2"/>
            <w:tcBorders>
              <w:top w:val="nil"/>
              <w:left w:val="nil"/>
              <w:right w:val="nil"/>
            </w:tcBorders>
            <w:shd w:val="clear" w:color="auto" w:fill="314364"/>
            <w:noWrap/>
            <w:vAlign w:val="center"/>
            <w:hideMark/>
          </w:tcPr>
          <w:p w14:paraId="0CBB3145" w14:textId="77777777" w:rsidR="00B5522E" w:rsidRPr="00977000" w:rsidRDefault="00B5522E" w:rsidP="00B571E8">
            <w:pPr>
              <w:spacing w:after="0" w:line="240" w:lineRule="auto"/>
              <w:jc w:val="right"/>
              <w:rPr>
                <w:rFonts w:eastAsia="Times New Roman" w:cs="Segoe UI"/>
                <w:b/>
                <w:bCs/>
                <w:color w:val="FFFFFF"/>
                <w:sz w:val="18"/>
                <w:szCs w:val="18"/>
                <w:lang w:eastAsia="sk-SK"/>
              </w:rPr>
            </w:pPr>
            <w:r w:rsidRPr="00977000">
              <w:rPr>
                <w:rFonts w:eastAsia="Times New Roman" w:cs="Segoe UI"/>
                <w:b/>
                <w:bCs/>
                <w:color w:val="FFFFFF"/>
                <w:sz w:val="18"/>
                <w:szCs w:val="18"/>
                <w:lang w:eastAsia="sk-SK"/>
              </w:rPr>
              <w:t>2025 N</w:t>
            </w:r>
          </w:p>
        </w:tc>
        <w:tc>
          <w:tcPr>
            <w:tcW w:w="1313" w:type="dxa"/>
            <w:gridSpan w:val="2"/>
            <w:tcBorders>
              <w:top w:val="nil"/>
              <w:left w:val="nil"/>
              <w:bottom w:val="nil"/>
              <w:right w:val="nil"/>
            </w:tcBorders>
            <w:shd w:val="clear" w:color="auto" w:fill="314364"/>
            <w:noWrap/>
            <w:vAlign w:val="center"/>
            <w:hideMark/>
          </w:tcPr>
          <w:p w14:paraId="045DDAB1" w14:textId="77777777" w:rsidR="00B5522E" w:rsidRPr="00977000" w:rsidRDefault="00B5522E" w:rsidP="00B571E8">
            <w:pPr>
              <w:spacing w:after="0" w:line="240" w:lineRule="auto"/>
              <w:ind w:right="48" w:hanging="266"/>
              <w:jc w:val="right"/>
              <w:rPr>
                <w:rFonts w:eastAsia="Times New Roman" w:cs="Segoe UI"/>
                <w:b/>
                <w:bCs/>
                <w:color w:val="FFFFFF"/>
                <w:sz w:val="18"/>
                <w:szCs w:val="18"/>
                <w:lang w:eastAsia="sk-SK"/>
              </w:rPr>
            </w:pPr>
            <w:r>
              <w:rPr>
                <w:rFonts w:eastAsia="Times New Roman" w:cs="Segoe UI"/>
                <w:b/>
                <w:bCs/>
                <w:color w:val="FFFFFF"/>
                <w:sz w:val="18"/>
                <w:szCs w:val="18"/>
                <w:lang w:eastAsia="sk-SK"/>
              </w:rPr>
              <w:t xml:space="preserve">    2025N-2024</w:t>
            </w:r>
            <w:r w:rsidRPr="00977000">
              <w:rPr>
                <w:rFonts w:eastAsia="Times New Roman" w:cs="Segoe UI"/>
                <w:b/>
                <w:bCs/>
                <w:color w:val="FFFFFF"/>
                <w:sz w:val="18"/>
                <w:szCs w:val="18"/>
                <w:lang w:eastAsia="sk-SK"/>
              </w:rPr>
              <w:t>R</w:t>
            </w:r>
          </w:p>
        </w:tc>
        <w:tc>
          <w:tcPr>
            <w:tcW w:w="1282" w:type="dxa"/>
            <w:gridSpan w:val="3"/>
            <w:tcBorders>
              <w:top w:val="nil"/>
              <w:left w:val="nil"/>
              <w:bottom w:val="nil"/>
              <w:right w:val="nil"/>
            </w:tcBorders>
            <w:shd w:val="clear" w:color="auto" w:fill="314364"/>
            <w:noWrap/>
            <w:vAlign w:val="center"/>
            <w:hideMark/>
          </w:tcPr>
          <w:p w14:paraId="1F9B7BBD" w14:textId="77777777" w:rsidR="00B5522E" w:rsidRPr="00977000" w:rsidRDefault="00B5522E" w:rsidP="00B571E8">
            <w:pPr>
              <w:spacing w:after="0" w:line="240" w:lineRule="auto"/>
              <w:ind w:left="214" w:hanging="3666"/>
              <w:jc w:val="right"/>
              <w:rPr>
                <w:rFonts w:eastAsia="Times New Roman" w:cs="Segoe UI"/>
                <w:b/>
                <w:bCs/>
                <w:color w:val="FFFFFF"/>
                <w:sz w:val="18"/>
                <w:szCs w:val="18"/>
                <w:lang w:eastAsia="sk-SK"/>
              </w:rPr>
            </w:pPr>
            <w:r>
              <w:rPr>
                <w:rFonts w:eastAsia="Times New Roman" w:cs="Segoe UI"/>
                <w:b/>
                <w:bCs/>
                <w:color w:val="FFFFFF"/>
                <w:sz w:val="18"/>
                <w:szCs w:val="18"/>
                <w:lang w:eastAsia="sk-SK"/>
              </w:rPr>
              <w:t xml:space="preserve">       2025N/2024</w:t>
            </w:r>
            <w:r w:rsidRPr="00977000">
              <w:rPr>
                <w:rFonts w:eastAsia="Times New Roman" w:cs="Segoe UI"/>
                <w:b/>
                <w:bCs/>
                <w:color w:val="FFFFFF"/>
                <w:sz w:val="18"/>
                <w:szCs w:val="18"/>
                <w:lang w:eastAsia="sk-SK"/>
              </w:rPr>
              <w:t>R</w:t>
            </w:r>
          </w:p>
        </w:tc>
      </w:tr>
      <w:tr w:rsidR="00B5522E" w:rsidRPr="002A2205" w14:paraId="491A40C1" w14:textId="77777777" w:rsidTr="00B571E8">
        <w:trPr>
          <w:gridAfter w:val="1"/>
          <w:wAfter w:w="7" w:type="dxa"/>
          <w:trHeight w:hRule="exact" w:val="284"/>
        </w:trPr>
        <w:tc>
          <w:tcPr>
            <w:tcW w:w="2279" w:type="dxa"/>
            <w:tcBorders>
              <w:top w:val="nil"/>
              <w:left w:val="nil"/>
              <w:bottom w:val="nil"/>
              <w:right w:val="nil"/>
            </w:tcBorders>
            <w:shd w:val="clear" w:color="000000" w:fill="FFFFFF"/>
            <w:noWrap/>
            <w:vAlign w:val="center"/>
            <w:hideMark/>
          </w:tcPr>
          <w:p w14:paraId="727D31D4" w14:textId="77777777" w:rsidR="00B5522E" w:rsidRPr="00977000" w:rsidRDefault="00B5522E" w:rsidP="00B571E8">
            <w:pPr>
              <w:spacing w:after="0" w:line="240" w:lineRule="auto"/>
              <w:jc w:val="left"/>
              <w:rPr>
                <w:rFonts w:eastAsia="Times New Roman" w:cs="Segoe UI"/>
                <w:b/>
                <w:bCs/>
                <w:color w:val="000000"/>
                <w:sz w:val="18"/>
                <w:szCs w:val="18"/>
                <w:lang w:eastAsia="sk-SK"/>
              </w:rPr>
            </w:pPr>
            <w:r w:rsidRPr="00977000">
              <w:rPr>
                <w:rFonts w:eastAsia="Times New Roman" w:cs="Segoe UI"/>
                <w:b/>
                <w:bCs/>
                <w:color w:val="000000"/>
                <w:sz w:val="18"/>
                <w:szCs w:val="18"/>
                <w:lang w:eastAsia="sk-SK"/>
              </w:rPr>
              <w:t xml:space="preserve">Príjmy </w:t>
            </w:r>
            <w:r>
              <w:rPr>
                <w:rFonts w:eastAsia="Times New Roman" w:cs="Segoe UI"/>
                <w:b/>
                <w:bCs/>
                <w:color w:val="000000"/>
                <w:sz w:val="18"/>
                <w:szCs w:val="18"/>
                <w:lang w:eastAsia="sk-SK"/>
              </w:rPr>
              <w:t xml:space="preserve">VÚC </w:t>
            </w:r>
            <w:r w:rsidRPr="00977000">
              <w:rPr>
                <w:rFonts w:eastAsia="Times New Roman" w:cs="Segoe UI"/>
                <w:b/>
                <w:bCs/>
                <w:color w:val="000000"/>
                <w:sz w:val="18"/>
                <w:szCs w:val="18"/>
                <w:lang w:eastAsia="sk-SK"/>
              </w:rPr>
              <w:t>spolu</w:t>
            </w:r>
          </w:p>
        </w:tc>
        <w:tc>
          <w:tcPr>
            <w:tcW w:w="825" w:type="dxa"/>
            <w:gridSpan w:val="2"/>
            <w:tcBorders>
              <w:top w:val="nil"/>
              <w:left w:val="nil"/>
              <w:bottom w:val="nil"/>
              <w:right w:val="nil"/>
            </w:tcBorders>
            <w:shd w:val="clear" w:color="000000" w:fill="FFFFFF"/>
            <w:noWrap/>
            <w:vAlign w:val="center"/>
            <w:hideMark/>
          </w:tcPr>
          <w:p w14:paraId="47ED89AD" w14:textId="77777777" w:rsidR="00B5522E" w:rsidRPr="00977000" w:rsidRDefault="00B5522E" w:rsidP="00B571E8">
            <w:pPr>
              <w:spacing w:after="0" w:line="240" w:lineRule="auto"/>
              <w:ind w:left="-640" w:right="-73" w:hanging="284"/>
              <w:jc w:val="right"/>
              <w:rPr>
                <w:rFonts w:eastAsia="Times New Roman" w:cs="Segoe UI"/>
                <w:b/>
                <w:bCs/>
                <w:color w:val="000000"/>
                <w:sz w:val="18"/>
                <w:szCs w:val="18"/>
                <w:lang w:eastAsia="sk-SK"/>
              </w:rPr>
            </w:pPr>
            <w:r w:rsidRPr="00977000">
              <w:rPr>
                <w:rFonts w:eastAsia="Times New Roman" w:cs="Segoe UI"/>
                <w:b/>
                <w:bCs/>
                <w:color w:val="000000"/>
                <w:sz w:val="18"/>
                <w:szCs w:val="18"/>
                <w:lang w:eastAsia="sk-SK"/>
              </w:rPr>
              <w:t xml:space="preserve">   2 858</w:t>
            </w:r>
            <w:r>
              <w:rPr>
                <w:rFonts w:eastAsia="Times New Roman" w:cs="Segoe UI"/>
                <w:b/>
                <w:bCs/>
                <w:color w:val="000000"/>
                <w:sz w:val="18"/>
                <w:szCs w:val="18"/>
                <w:lang w:eastAsia="sk-SK"/>
              </w:rPr>
              <w:t> </w:t>
            </w:r>
            <w:r w:rsidRPr="00977000">
              <w:rPr>
                <w:rFonts w:eastAsia="Times New Roman" w:cs="Segoe UI"/>
                <w:b/>
                <w:bCs/>
                <w:color w:val="000000"/>
                <w:sz w:val="18"/>
                <w:szCs w:val="18"/>
                <w:lang w:eastAsia="sk-SK"/>
              </w:rPr>
              <w:t>958</w:t>
            </w:r>
          </w:p>
        </w:tc>
        <w:tc>
          <w:tcPr>
            <w:tcW w:w="1141" w:type="dxa"/>
            <w:gridSpan w:val="2"/>
            <w:tcBorders>
              <w:top w:val="nil"/>
              <w:left w:val="nil"/>
              <w:bottom w:val="nil"/>
              <w:right w:val="nil"/>
            </w:tcBorders>
            <w:shd w:val="clear" w:color="000000" w:fill="FFFFFF"/>
            <w:noWrap/>
            <w:vAlign w:val="center"/>
            <w:hideMark/>
          </w:tcPr>
          <w:p w14:paraId="7EC78ED5" w14:textId="77777777" w:rsidR="00B5522E" w:rsidRPr="00977000" w:rsidRDefault="00B5522E" w:rsidP="00B571E8">
            <w:pPr>
              <w:spacing w:after="0" w:line="240" w:lineRule="auto"/>
              <w:jc w:val="right"/>
              <w:rPr>
                <w:rFonts w:eastAsia="Times New Roman" w:cs="Segoe UI"/>
                <w:b/>
                <w:bCs/>
                <w:color w:val="000000"/>
                <w:sz w:val="18"/>
                <w:szCs w:val="18"/>
                <w:lang w:eastAsia="sk-SK"/>
              </w:rPr>
            </w:pPr>
            <w:r w:rsidRPr="00977000">
              <w:rPr>
                <w:rFonts w:eastAsia="Times New Roman" w:cs="Segoe UI"/>
                <w:b/>
                <w:bCs/>
                <w:color w:val="000000"/>
                <w:sz w:val="18"/>
                <w:szCs w:val="18"/>
                <w:lang w:eastAsia="sk-SK"/>
              </w:rPr>
              <w:t xml:space="preserve">   2 336 786</w:t>
            </w:r>
          </w:p>
        </w:tc>
        <w:tc>
          <w:tcPr>
            <w:tcW w:w="1148" w:type="dxa"/>
            <w:gridSpan w:val="2"/>
            <w:tcBorders>
              <w:top w:val="nil"/>
              <w:left w:val="nil"/>
              <w:bottom w:val="nil"/>
              <w:right w:val="nil"/>
            </w:tcBorders>
            <w:shd w:val="clear" w:color="000000" w:fill="FFFFFF"/>
            <w:noWrap/>
            <w:vAlign w:val="center"/>
            <w:hideMark/>
          </w:tcPr>
          <w:p w14:paraId="48BF6B2D" w14:textId="77777777" w:rsidR="00B5522E" w:rsidRPr="00977000" w:rsidRDefault="00B5522E" w:rsidP="00B571E8">
            <w:pPr>
              <w:spacing w:after="0" w:line="240" w:lineRule="auto"/>
              <w:jc w:val="right"/>
              <w:rPr>
                <w:rFonts w:eastAsia="Times New Roman" w:cs="Segoe UI"/>
                <w:b/>
                <w:bCs/>
                <w:color w:val="000000"/>
                <w:sz w:val="18"/>
                <w:szCs w:val="18"/>
                <w:lang w:eastAsia="sk-SK"/>
              </w:rPr>
            </w:pPr>
            <w:r w:rsidRPr="00977000">
              <w:rPr>
                <w:rFonts w:eastAsia="Times New Roman" w:cs="Segoe UI"/>
                <w:b/>
                <w:bCs/>
                <w:color w:val="000000"/>
                <w:sz w:val="18"/>
                <w:szCs w:val="18"/>
                <w:lang w:eastAsia="sk-SK"/>
              </w:rPr>
              <w:t xml:space="preserve">   2 424 997</w:t>
            </w:r>
          </w:p>
        </w:tc>
        <w:tc>
          <w:tcPr>
            <w:tcW w:w="1165" w:type="dxa"/>
            <w:gridSpan w:val="2"/>
            <w:tcBorders>
              <w:top w:val="nil"/>
              <w:left w:val="nil"/>
              <w:bottom w:val="nil"/>
              <w:right w:val="nil"/>
            </w:tcBorders>
            <w:shd w:val="clear" w:color="000000" w:fill="FFFFFF"/>
            <w:noWrap/>
            <w:vAlign w:val="center"/>
            <w:hideMark/>
          </w:tcPr>
          <w:p w14:paraId="727F8977" w14:textId="77777777" w:rsidR="00B5522E" w:rsidRPr="00977000" w:rsidRDefault="00B5522E" w:rsidP="00B571E8">
            <w:pPr>
              <w:spacing w:after="0" w:line="240" w:lineRule="auto"/>
              <w:jc w:val="right"/>
              <w:rPr>
                <w:rFonts w:eastAsia="Times New Roman" w:cs="Segoe UI"/>
                <w:b/>
                <w:bCs/>
                <w:color w:val="000000"/>
                <w:sz w:val="18"/>
                <w:szCs w:val="18"/>
                <w:lang w:eastAsia="sk-SK"/>
              </w:rPr>
            </w:pPr>
            <w:r w:rsidRPr="00977000">
              <w:rPr>
                <w:rFonts w:eastAsia="Times New Roman" w:cs="Segoe UI"/>
                <w:b/>
                <w:bCs/>
                <w:color w:val="000000"/>
                <w:sz w:val="18"/>
                <w:szCs w:val="18"/>
                <w:lang w:eastAsia="sk-SK"/>
              </w:rPr>
              <w:t xml:space="preserve">   2 430 195</w:t>
            </w:r>
          </w:p>
        </w:tc>
        <w:tc>
          <w:tcPr>
            <w:tcW w:w="1281" w:type="dxa"/>
            <w:gridSpan w:val="2"/>
            <w:tcBorders>
              <w:top w:val="nil"/>
              <w:left w:val="nil"/>
              <w:bottom w:val="nil"/>
              <w:right w:val="nil"/>
            </w:tcBorders>
            <w:shd w:val="clear" w:color="000000" w:fill="FFFFFF"/>
            <w:noWrap/>
            <w:vAlign w:val="center"/>
            <w:hideMark/>
          </w:tcPr>
          <w:p w14:paraId="21C99E8E" w14:textId="77777777" w:rsidR="00B5522E" w:rsidRPr="00977000" w:rsidRDefault="00B5522E" w:rsidP="00B571E8">
            <w:pPr>
              <w:spacing w:after="0" w:line="240" w:lineRule="auto"/>
              <w:ind w:right="48" w:hanging="266"/>
              <w:jc w:val="right"/>
              <w:rPr>
                <w:rFonts w:eastAsia="Times New Roman" w:cs="Segoe UI"/>
                <w:b/>
                <w:bCs/>
                <w:color w:val="000000"/>
                <w:sz w:val="18"/>
                <w:szCs w:val="18"/>
                <w:lang w:eastAsia="sk-SK"/>
              </w:rPr>
            </w:pPr>
            <w:r w:rsidRPr="00977000">
              <w:rPr>
                <w:rFonts w:eastAsia="Times New Roman" w:cs="Segoe UI"/>
                <w:b/>
                <w:bCs/>
                <w:color w:val="000000"/>
                <w:sz w:val="18"/>
                <w:szCs w:val="18"/>
                <w:lang w:eastAsia="sk-SK"/>
              </w:rPr>
              <w:t>93 409</w:t>
            </w:r>
          </w:p>
        </w:tc>
        <w:tc>
          <w:tcPr>
            <w:tcW w:w="1233" w:type="dxa"/>
            <w:tcBorders>
              <w:top w:val="nil"/>
              <w:left w:val="nil"/>
              <w:bottom w:val="nil"/>
              <w:right w:val="nil"/>
            </w:tcBorders>
            <w:shd w:val="clear" w:color="000000" w:fill="FFFFFF"/>
            <w:noWrap/>
            <w:vAlign w:val="center"/>
            <w:hideMark/>
          </w:tcPr>
          <w:p w14:paraId="4ED47F08" w14:textId="77777777" w:rsidR="00B5522E" w:rsidRPr="00977000" w:rsidRDefault="00B5522E" w:rsidP="00B571E8">
            <w:pPr>
              <w:spacing w:after="0" w:line="240" w:lineRule="auto"/>
              <w:ind w:right="49" w:hanging="3452"/>
              <w:jc w:val="right"/>
              <w:rPr>
                <w:rFonts w:eastAsia="Times New Roman" w:cs="Segoe UI"/>
                <w:b/>
                <w:bCs/>
                <w:color w:val="000000"/>
                <w:sz w:val="18"/>
                <w:szCs w:val="18"/>
                <w:lang w:eastAsia="sk-SK"/>
              </w:rPr>
            </w:pPr>
            <w:r w:rsidRPr="00977000">
              <w:rPr>
                <w:rFonts w:eastAsia="Times New Roman" w:cs="Segoe UI"/>
                <w:b/>
                <w:bCs/>
                <w:color w:val="000000"/>
                <w:sz w:val="18"/>
                <w:szCs w:val="18"/>
                <w:lang w:eastAsia="sk-SK"/>
              </w:rPr>
              <w:t>104,0</w:t>
            </w:r>
          </w:p>
        </w:tc>
      </w:tr>
      <w:tr w:rsidR="00B5522E" w:rsidRPr="002A2205" w14:paraId="4974A1D2" w14:textId="77777777" w:rsidTr="00B571E8">
        <w:trPr>
          <w:gridAfter w:val="1"/>
          <w:wAfter w:w="7" w:type="dxa"/>
          <w:trHeight w:hRule="exact" w:val="284"/>
        </w:trPr>
        <w:tc>
          <w:tcPr>
            <w:tcW w:w="2279" w:type="dxa"/>
            <w:tcBorders>
              <w:top w:val="nil"/>
              <w:left w:val="nil"/>
              <w:bottom w:val="nil"/>
              <w:right w:val="nil"/>
            </w:tcBorders>
            <w:shd w:val="clear" w:color="000000" w:fill="FFFFFF"/>
            <w:noWrap/>
            <w:vAlign w:val="center"/>
            <w:hideMark/>
          </w:tcPr>
          <w:p w14:paraId="0F3306B4" w14:textId="77777777" w:rsidR="00B5522E" w:rsidRPr="00977000" w:rsidRDefault="00B5522E" w:rsidP="00B571E8">
            <w:pPr>
              <w:spacing w:after="0" w:line="240" w:lineRule="auto"/>
              <w:jc w:val="left"/>
              <w:rPr>
                <w:rFonts w:eastAsia="Times New Roman" w:cs="Segoe UI"/>
                <w:b/>
                <w:bCs/>
                <w:color w:val="000000"/>
                <w:sz w:val="18"/>
                <w:szCs w:val="18"/>
                <w:lang w:eastAsia="sk-SK"/>
              </w:rPr>
            </w:pPr>
            <w:r w:rsidRPr="00977000">
              <w:rPr>
                <w:rFonts w:eastAsia="Times New Roman" w:cs="Segoe UI"/>
                <w:b/>
                <w:bCs/>
                <w:color w:val="000000"/>
                <w:sz w:val="18"/>
                <w:szCs w:val="18"/>
                <w:lang w:eastAsia="sk-SK"/>
              </w:rPr>
              <w:t xml:space="preserve">Výdavky </w:t>
            </w:r>
            <w:r>
              <w:rPr>
                <w:rFonts w:eastAsia="Times New Roman" w:cs="Segoe UI"/>
                <w:b/>
                <w:bCs/>
                <w:color w:val="000000"/>
                <w:sz w:val="18"/>
                <w:szCs w:val="18"/>
                <w:lang w:eastAsia="sk-SK"/>
              </w:rPr>
              <w:t xml:space="preserve">VÚC </w:t>
            </w:r>
            <w:r w:rsidRPr="00977000">
              <w:rPr>
                <w:rFonts w:eastAsia="Times New Roman" w:cs="Segoe UI"/>
                <w:b/>
                <w:bCs/>
                <w:color w:val="000000"/>
                <w:sz w:val="18"/>
                <w:szCs w:val="18"/>
                <w:lang w:eastAsia="sk-SK"/>
              </w:rPr>
              <w:t>spolu</w:t>
            </w:r>
          </w:p>
        </w:tc>
        <w:tc>
          <w:tcPr>
            <w:tcW w:w="825" w:type="dxa"/>
            <w:gridSpan w:val="2"/>
            <w:tcBorders>
              <w:top w:val="nil"/>
              <w:left w:val="nil"/>
              <w:bottom w:val="nil"/>
              <w:right w:val="nil"/>
            </w:tcBorders>
            <w:shd w:val="clear" w:color="000000" w:fill="FFFFFF"/>
            <w:noWrap/>
            <w:vAlign w:val="center"/>
            <w:hideMark/>
          </w:tcPr>
          <w:p w14:paraId="3394F205" w14:textId="77777777" w:rsidR="00B5522E" w:rsidRPr="00977000" w:rsidRDefault="00B5522E" w:rsidP="00B571E8">
            <w:pPr>
              <w:spacing w:after="0" w:line="240" w:lineRule="auto"/>
              <w:ind w:left="-640" w:right="-73" w:hanging="284"/>
              <w:jc w:val="right"/>
              <w:rPr>
                <w:rFonts w:eastAsia="Times New Roman" w:cs="Segoe UI"/>
                <w:b/>
                <w:bCs/>
                <w:color w:val="000000"/>
                <w:sz w:val="18"/>
                <w:szCs w:val="18"/>
                <w:lang w:eastAsia="sk-SK"/>
              </w:rPr>
            </w:pPr>
            <w:r w:rsidRPr="00977000">
              <w:rPr>
                <w:rFonts w:eastAsia="Times New Roman" w:cs="Segoe UI"/>
                <w:b/>
                <w:bCs/>
                <w:color w:val="000000"/>
                <w:sz w:val="18"/>
                <w:szCs w:val="18"/>
                <w:lang w:eastAsia="sk-SK"/>
              </w:rPr>
              <w:t>2 600 288</w:t>
            </w:r>
          </w:p>
        </w:tc>
        <w:tc>
          <w:tcPr>
            <w:tcW w:w="1141" w:type="dxa"/>
            <w:gridSpan w:val="2"/>
            <w:tcBorders>
              <w:top w:val="nil"/>
              <w:left w:val="nil"/>
              <w:bottom w:val="nil"/>
              <w:right w:val="nil"/>
            </w:tcBorders>
            <w:shd w:val="clear" w:color="000000" w:fill="FFFFFF"/>
            <w:noWrap/>
            <w:vAlign w:val="center"/>
            <w:hideMark/>
          </w:tcPr>
          <w:p w14:paraId="7415805B" w14:textId="77777777" w:rsidR="00B5522E" w:rsidRPr="00977000" w:rsidRDefault="00B5522E" w:rsidP="00B571E8">
            <w:pPr>
              <w:spacing w:after="0" w:line="240" w:lineRule="auto"/>
              <w:jc w:val="right"/>
              <w:rPr>
                <w:rFonts w:eastAsia="Times New Roman" w:cs="Segoe UI"/>
                <w:b/>
                <w:bCs/>
                <w:color w:val="000000"/>
                <w:sz w:val="18"/>
                <w:szCs w:val="18"/>
                <w:lang w:eastAsia="sk-SK"/>
              </w:rPr>
            </w:pPr>
            <w:r w:rsidRPr="00977000">
              <w:rPr>
                <w:rFonts w:eastAsia="Times New Roman" w:cs="Segoe UI"/>
                <w:b/>
                <w:bCs/>
                <w:color w:val="000000"/>
                <w:sz w:val="18"/>
                <w:szCs w:val="18"/>
                <w:lang w:eastAsia="sk-SK"/>
              </w:rPr>
              <w:t>2 148 403</w:t>
            </w:r>
          </w:p>
        </w:tc>
        <w:tc>
          <w:tcPr>
            <w:tcW w:w="1148" w:type="dxa"/>
            <w:gridSpan w:val="2"/>
            <w:tcBorders>
              <w:top w:val="nil"/>
              <w:left w:val="nil"/>
              <w:bottom w:val="nil"/>
              <w:right w:val="nil"/>
            </w:tcBorders>
            <w:shd w:val="clear" w:color="000000" w:fill="FFFFFF"/>
            <w:noWrap/>
            <w:vAlign w:val="center"/>
            <w:hideMark/>
          </w:tcPr>
          <w:p w14:paraId="77EA1B64" w14:textId="77777777" w:rsidR="00B5522E" w:rsidRPr="00977000" w:rsidRDefault="00B5522E" w:rsidP="00B571E8">
            <w:pPr>
              <w:spacing w:after="0" w:line="240" w:lineRule="auto"/>
              <w:jc w:val="right"/>
              <w:rPr>
                <w:rFonts w:eastAsia="Times New Roman" w:cs="Segoe UI"/>
                <w:b/>
                <w:bCs/>
                <w:color w:val="000000"/>
                <w:sz w:val="18"/>
                <w:szCs w:val="18"/>
                <w:lang w:eastAsia="sk-SK"/>
              </w:rPr>
            </w:pPr>
            <w:r w:rsidRPr="00977000">
              <w:rPr>
                <w:rFonts w:eastAsia="Times New Roman" w:cs="Segoe UI"/>
                <w:b/>
                <w:bCs/>
                <w:color w:val="000000"/>
                <w:sz w:val="18"/>
                <w:szCs w:val="18"/>
                <w:lang w:eastAsia="sk-SK"/>
              </w:rPr>
              <w:t>2 301 535</w:t>
            </w:r>
          </w:p>
        </w:tc>
        <w:tc>
          <w:tcPr>
            <w:tcW w:w="1165" w:type="dxa"/>
            <w:gridSpan w:val="2"/>
            <w:tcBorders>
              <w:top w:val="nil"/>
              <w:left w:val="nil"/>
              <w:bottom w:val="nil"/>
              <w:right w:val="nil"/>
            </w:tcBorders>
            <w:shd w:val="clear" w:color="000000" w:fill="FFFFFF"/>
            <w:noWrap/>
            <w:vAlign w:val="center"/>
            <w:hideMark/>
          </w:tcPr>
          <w:p w14:paraId="6B29C0BD" w14:textId="77777777" w:rsidR="00B5522E" w:rsidRPr="00977000" w:rsidRDefault="00B5522E" w:rsidP="00B571E8">
            <w:pPr>
              <w:spacing w:after="0" w:line="240" w:lineRule="auto"/>
              <w:jc w:val="right"/>
              <w:rPr>
                <w:rFonts w:eastAsia="Times New Roman" w:cs="Segoe UI"/>
                <w:b/>
                <w:bCs/>
                <w:color w:val="000000"/>
                <w:sz w:val="18"/>
                <w:szCs w:val="18"/>
                <w:lang w:eastAsia="sk-SK"/>
              </w:rPr>
            </w:pPr>
            <w:r w:rsidRPr="00977000">
              <w:rPr>
                <w:rFonts w:eastAsia="Times New Roman" w:cs="Segoe UI"/>
                <w:b/>
                <w:bCs/>
                <w:color w:val="000000"/>
                <w:sz w:val="18"/>
                <w:szCs w:val="18"/>
                <w:lang w:eastAsia="sk-SK"/>
              </w:rPr>
              <w:t>2 253 479</w:t>
            </w:r>
          </w:p>
        </w:tc>
        <w:tc>
          <w:tcPr>
            <w:tcW w:w="1281" w:type="dxa"/>
            <w:gridSpan w:val="2"/>
            <w:tcBorders>
              <w:top w:val="nil"/>
              <w:left w:val="nil"/>
              <w:bottom w:val="nil"/>
              <w:right w:val="nil"/>
            </w:tcBorders>
            <w:shd w:val="clear" w:color="000000" w:fill="FFFFFF"/>
            <w:noWrap/>
            <w:vAlign w:val="center"/>
            <w:hideMark/>
          </w:tcPr>
          <w:p w14:paraId="3BD404C7" w14:textId="77777777" w:rsidR="00B5522E" w:rsidRPr="00977000" w:rsidRDefault="00B5522E" w:rsidP="00B571E8">
            <w:pPr>
              <w:spacing w:after="0" w:line="240" w:lineRule="auto"/>
              <w:ind w:right="48" w:hanging="266"/>
              <w:jc w:val="right"/>
              <w:rPr>
                <w:rFonts w:eastAsia="Times New Roman" w:cs="Segoe UI"/>
                <w:b/>
                <w:bCs/>
                <w:color w:val="000000"/>
                <w:sz w:val="18"/>
                <w:szCs w:val="18"/>
                <w:lang w:eastAsia="sk-SK"/>
              </w:rPr>
            </w:pPr>
            <w:r w:rsidRPr="00977000">
              <w:rPr>
                <w:rFonts w:eastAsia="Times New Roman" w:cs="Segoe UI"/>
                <w:b/>
                <w:bCs/>
                <w:color w:val="000000"/>
                <w:sz w:val="18"/>
                <w:szCs w:val="18"/>
                <w:lang w:eastAsia="sk-SK"/>
              </w:rPr>
              <w:t>105 076</w:t>
            </w:r>
          </w:p>
        </w:tc>
        <w:tc>
          <w:tcPr>
            <w:tcW w:w="1233" w:type="dxa"/>
            <w:tcBorders>
              <w:top w:val="nil"/>
              <w:left w:val="nil"/>
              <w:bottom w:val="nil"/>
              <w:right w:val="nil"/>
            </w:tcBorders>
            <w:shd w:val="clear" w:color="000000" w:fill="FFFFFF"/>
            <w:noWrap/>
            <w:vAlign w:val="center"/>
            <w:hideMark/>
          </w:tcPr>
          <w:p w14:paraId="4FC81258" w14:textId="77777777" w:rsidR="00B5522E" w:rsidRPr="00977000" w:rsidRDefault="00B5522E" w:rsidP="00B571E8">
            <w:pPr>
              <w:spacing w:after="0" w:line="240" w:lineRule="auto"/>
              <w:ind w:right="49" w:hanging="3452"/>
              <w:jc w:val="right"/>
              <w:rPr>
                <w:rFonts w:eastAsia="Times New Roman" w:cs="Segoe UI"/>
                <w:b/>
                <w:bCs/>
                <w:color w:val="000000"/>
                <w:sz w:val="18"/>
                <w:szCs w:val="18"/>
                <w:lang w:eastAsia="sk-SK"/>
              </w:rPr>
            </w:pPr>
            <w:r w:rsidRPr="00977000">
              <w:rPr>
                <w:rFonts w:eastAsia="Times New Roman" w:cs="Segoe UI"/>
                <w:b/>
                <w:bCs/>
                <w:color w:val="000000"/>
                <w:sz w:val="18"/>
                <w:szCs w:val="18"/>
                <w:lang w:eastAsia="sk-SK"/>
              </w:rPr>
              <w:t>104,9</w:t>
            </w:r>
          </w:p>
        </w:tc>
      </w:tr>
      <w:tr w:rsidR="00B5522E" w:rsidRPr="002A2205" w14:paraId="4386152C" w14:textId="77777777" w:rsidTr="00B571E8">
        <w:trPr>
          <w:gridAfter w:val="1"/>
          <w:wAfter w:w="7" w:type="dxa"/>
          <w:trHeight w:hRule="exact" w:val="284"/>
        </w:trPr>
        <w:tc>
          <w:tcPr>
            <w:tcW w:w="2279" w:type="dxa"/>
            <w:tcBorders>
              <w:top w:val="nil"/>
              <w:left w:val="nil"/>
              <w:bottom w:val="nil"/>
              <w:right w:val="nil"/>
            </w:tcBorders>
            <w:shd w:val="clear" w:color="000000" w:fill="FFFFFF"/>
            <w:noWrap/>
            <w:vAlign w:val="center"/>
            <w:hideMark/>
          </w:tcPr>
          <w:p w14:paraId="1A70C5B1" w14:textId="77777777" w:rsidR="00B5522E" w:rsidRPr="00977000" w:rsidRDefault="00B5522E" w:rsidP="00B571E8">
            <w:pPr>
              <w:spacing w:after="0" w:line="240" w:lineRule="auto"/>
              <w:jc w:val="left"/>
              <w:rPr>
                <w:rFonts w:eastAsia="Times New Roman" w:cs="Segoe UI"/>
                <w:b/>
                <w:bCs/>
                <w:color w:val="000000"/>
                <w:sz w:val="18"/>
                <w:szCs w:val="18"/>
                <w:lang w:eastAsia="sk-SK"/>
              </w:rPr>
            </w:pPr>
            <w:r w:rsidRPr="00977000">
              <w:rPr>
                <w:rFonts w:eastAsia="Times New Roman" w:cs="Segoe UI"/>
                <w:b/>
                <w:bCs/>
                <w:color w:val="000000"/>
                <w:sz w:val="18"/>
                <w:szCs w:val="18"/>
                <w:lang w:eastAsia="sk-SK"/>
              </w:rPr>
              <w:t>Celková bilancia VÚC</w:t>
            </w:r>
          </w:p>
        </w:tc>
        <w:tc>
          <w:tcPr>
            <w:tcW w:w="825" w:type="dxa"/>
            <w:gridSpan w:val="2"/>
            <w:tcBorders>
              <w:top w:val="nil"/>
              <w:left w:val="nil"/>
              <w:bottom w:val="nil"/>
              <w:right w:val="nil"/>
            </w:tcBorders>
            <w:shd w:val="clear" w:color="000000" w:fill="FFFFFF"/>
            <w:noWrap/>
            <w:vAlign w:val="center"/>
            <w:hideMark/>
          </w:tcPr>
          <w:p w14:paraId="735CC6F4" w14:textId="77777777" w:rsidR="00B5522E" w:rsidRPr="00977000" w:rsidRDefault="00B5522E" w:rsidP="00B571E8">
            <w:pPr>
              <w:spacing w:after="0" w:line="240" w:lineRule="auto"/>
              <w:ind w:left="-640" w:right="-73" w:hanging="284"/>
              <w:jc w:val="right"/>
              <w:rPr>
                <w:rFonts w:eastAsia="Times New Roman" w:cs="Segoe UI"/>
                <w:b/>
                <w:bCs/>
                <w:color w:val="000000"/>
                <w:sz w:val="18"/>
                <w:szCs w:val="18"/>
                <w:lang w:eastAsia="sk-SK"/>
              </w:rPr>
            </w:pPr>
            <w:r w:rsidRPr="00977000">
              <w:rPr>
                <w:rFonts w:eastAsia="Times New Roman" w:cs="Segoe UI"/>
                <w:b/>
                <w:bCs/>
                <w:color w:val="000000"/>
                <w:sz w:val="18"/>
                <w:szCs w:val="18"/>
                <w:lang w:eastAsia="sk-SK"/>
              </w:rPr>
              <w:t>177 267</w:t>
            </w:r>
          </w:p>
        </w:tc>
        <w:tc>
          <w:tcPr>
            <w:tcW w:w="1141" w:type="dxa"/>
            <w:gridSpan w:val="2"/>
            <w:tcBorders>
              <w:top w:val="nil"/>
              <w:left w:val="nil"/>
              <w:bottom w:val="nil"/>
              <w:right w:val="nil"/>
            </w:tcBorders>
            <w:shd w:val="clear" w:color="000000" w:fill="FFFFFF"/>
            <w:noWrap/>
            <w:vAlign w:val="center"/>
            <w:hideMark/>
          </w:tcPr>
          <w:p w14:paraId="49496C8F" w14:textId="77777777" w:rsidR="00B5522E" w:rsidRPr="00977000" w:rsidRDefault="00B5522E" w:rsidP="00B571E8">
            <w:pPr>
              <w:spacing w:after="0" w:line="240" w:lineRule="auto"/>
              <w:jc w:val="right"/>
              <w:rPr>
                <w:rFonts w:eastAsia="Times New Roman" w:cs="Segoe UI"/>
                <w:b/>
                <w:bCs/>
                <w:color w:val="000000"/>
                <w:sz w:val="18"/>
                <w:szCs w:val="18"/>
                <w:lang w:eastAsia="sk-SK"/>
              </w:rPr>
            </w:pPr>
            <w:r w:rsidRPr="00977000">
              <w:rPr>
                <w:rFonts w:eastAsia="Times New Roman" w:cs="Segoe UI"/>
                <w:b/>
                <w:bCs/>
                <w:color w:val="000000"/>
                <w:sz w:val="18"/>
                <w:szCs w:val="18"/>
                <w:lang w:eastAsia="sk-SK"/>
              </w:rPr>
              <w:t>188 383</w:t>
            </w:r>
          </w:p>
        </w:tc>
        <w:tc>
          <w:tcPr>
            <w:tcW w:w="1148" w:type="dxa"/>
            <w:gridSpan w:val="2"/>
            <w:tcBorders>
              <w:top w:val="nil"/>
              <w:left w:val="nil"/>
              <w:bottom w:val="nil"/>
              <w:right w:val="nil"/>
            </w:tcBorders>
            <w:shd w:val="clear" w:color="000000" w:fill="FFFFFF"/>
            <w:noWrap/>
            <w:vAlign w:val="center"/>
            <w:hideMark/>
          </w:tcPr>
          <w:p w14:paraId="20D695C6" w14:textId="77777777" w:rsidR="00B5522E" w:rsidRPr="00977000" w:rsidRDefault="00B5522E" w:rsidP="00B571E8">
            <w:pPr>
              <w:spacing w:after="0" w:line="240" w:lineRule="auto"/>
              <w:jc w:val="right"/>
              <w:rPr>
                <w:rFonts w:eastAsia="Times New Roman" w:cs="Segoe UI"/>
                <w:b/>
                <w:bCs/>
                <w:color w:val="000000"/>
                <w:sz w:val="18"/>
                <w:szCs w:val="18"/>
                <w:lang w:eastAsia="sk-SK"/>
              </w:rPr>
            </w:pPr>
            <w:r w:rsidRPr="00977000">
              <w:rPr>
                <w:rFonts w:eastAsia="Times New Roman" w:cs="Segoe UI"/>
                <w:b/>
                <w:bCs/>
                <w:color w:val="000000"/>
                <w:sz w:val="18"/>
                <w:szCs w:val="18"/>
                <w:lang w:eastAsia="sk-SK"/>
              </w:rPr>
              <w:t>123 462</w:t>
            </w:r>
          </w:p>
        </w:tc>
        <w:tc>
          <w:tcPr>
            <w:tcW w:w="1165" w:type="dxa"/>
            <w:gridSpan w:val="2"/>
            <w:tcBorders>
              <w:top w:val="nil"/>
              <w:left w:val="nil"/>
              <w:bottom w:val="nil"/>
              <w:right w:val="nil"/>
            </w:tcBorders>
            <w:shd w:val="clear" w:color="000000" w:fill="FFFFFF"/>
            <w:noWrap/>
            <w:vAlign w:val="center"/>
            <w:hideMark/>
          </w:tcPr>
          <w:p w14:paraId="633C8F04" w14:textId="77777777" w:rsidR="00B5522E" w:rsidRPr="00977000" w:rsidRDefault="00B5522E" w:rsidP="00B571E8">
            <w:pPr>
              <w:spacing w:after="0" w:line="240" w:lineRule="auto"/>
              <w:jc w:val="right"/>
              <w:rPr>
                <w:rFonts w:eastAsia="Times New Roman" w:cs="Segoe UI"/>
                <w:b/>
                <w:bCs/>
                <w:color w:val="000000"/>
                <w:sz w:val="18"/>
                <w:szCs w:val="18"/>
                <w:lang w:eastAsia="sk-SK"/>
              </w:rPr>
            </w:pPr>
            <w:r w:rsidRPr="00977000">
              <w:rPr>
                <w:rFonts w:eastAsia="Times New Roman" w:cs="Segoe UI"/>
                <w:b/>
                <w:bCs/>
                <w:color w:val="000000"/>
                <w:sz w:val="18"/>
                <w:szCs w:val="18"/>
                <w:lang w:eastAsia="sk-SK"/>
              </w:rPr>
              <w:t>176 716</w:t>
            </w:r>
          </w:p>
        </w:tc>
        <w:tc>
          <w:tcPr>
            <w:tcW w:w="1281" w:type="dxa"/>
            <w:gridSpan w:val="2"/>
            <w:tcBorders>
              <w:top w:val="nil"/>
              <w:left w:val="nil"/>
              <w:bottom w:val="nil"/>
              <w:right w:val="nil"/>
            </w:tcBorders>
            <w:shd w:val="clear" w:color="000000" w:fill="FFFFFF"/>
            <w:noWrap/>
            <w:vAlign w:val="center"/>
            <w:hideMark/>
          </w:tcPr>
          <w:p w14:paraId="25476E3D" w14:textId="77777777" w:rsidR="00B5522E" w:rsidRPr="00977000" w:rsidRDefault="00B5522E" w:rsidP="00B571E8">
            <w:pPr>
              <w:spacing w:after="0" w:line="240" w:lineRule="auto"/>
              <w:ind w:right="48" w:hanging="266"/>
              <w:jc w:val="right"/>
              <w:rPr>
                <w:rFonts w:eastAsia="Times New Roman" w:cs="Segoe UI"/>
                <w:b/>
                <w:bCs/>
                <w:color w:val="000000"/>
                <w:sz w:val="18"/>
                <w:szCs w:val="18"/>
                <w:lang w:eastAsia="sk-SK"/>
              </w:rPr>
            </w:pPr>
            <w:r w:rsidRPr="00977000">
              <w:rPr>
                <w:rFonts w:eastAsia="Times New Roman" w:cs="Segoe UI"/>
                <w:b/>
                <w:bCs/>
                <w:color w:val="000000"/>
                <w:sz w:val="18"/>
                <w:szCs w:val="18"/>
                <w:lang w:eastAsia="sk-SK"/>
              </w:rPr>
              <w:t>-11 667</w:t>
            </w:r>
          </w:p>
        </w:tc>
        <w:tc>
          <w:tcPr>
            <w:tcW w:w="1233" w:type="dxa"/>
            <w:tcBorders>
              <w:top w:val="nil"/>
              <w:left w:val="nil"/>
              <w:bottom w:val="nil"/>
              <w:right w:val="nil"/>
            </w:tcBorders>
            <w:shd w:val="clear" w:color="000000" w:fill="FFFFFF"/>
            <w:noWrap/>
            <w:vAlign w:val="center"/>
            <w:hideMark/>
          </w:tcPr>
          <w:p w14:paraId="405CCF36" w14:textId="77777777" w:rsidR="00B5522E" w:rsidRPr="00977000" w:rsidRDefault="00B5522E" w:rsidP="00B571E8">
            <w:pPr>
              <w:spacing w:after="0" w:line="240" w:lineRule="auto"/>
              <w:ind w:right="49" w:hanging="3452"/>
              <w:jc w:val="right"/>
              <w:rPr>
                <w:rFonts w:eastAsia="Times New Roman" w:cs="Segoe UI"/>
                <w:b/>
                <w:bCs/>
                <w:color w:val="000000"/>
                <w:sz w:val="18"/>
                <w:szCs w:val="18"/>
                <w:lang w:eastAsia="sk-SK"/>
              </w:rPr>
            </w:pPr>
            <w:r w:rsidRPr="00977000">
              <w:rPr>
                <w:rFonts w:eastAsia="Times New Roman" w:cs="Segoe UI"/>
                <w:b/>
                <w:bCs/>
                <w:color w:val="000000"/>
                <w:sz w:val="18"/>
                <w:szCs w:val="18"/>
                <w:lang w:eastAsia="sk-SK"/>
              </w:rPr>
              <w:t>93,8</w:t>
            </w:r>
          </w:p>
        </w:tc>
      </w:tr>
      <w:tr w:rsidR="00B5522E" w:rsidRPr="002A2205" w14:paraId="01D04B41" w14:textId="77777777" w:rsidTr="00B571E8">
        <w:trPr>
          <w:gridAfter w:val="1"/>
          <w:wAfter w:w="7" w:type="dxa"/>
          <w:trHeight w:hRule="exact" w:val="417"/>
        </w:trPr>
        <w:tc>
          <w:tcPr>
            <w:tcW w:w="2279" w:type="dxa"/>
            <w:tcBorders>
              <w:top w:val="nil"/>
              <w:left w:val="nil"/>
              <w:right w:val="nil"/>
            </w:tcBorders>
            <w:shd w:val="clear" w:color="000000" w:fill="FFFFFF"/>
            <w:vAlign w:val="center"/>
            <w:hideMark/>
          </w:tcPr>
          <w:p w14:paraId="09E70890" w14:textId="77777777" w:rsidR="00B5522E" w:rsidRPr="00C84B3A" w:rsidRDefault="00B5522E" w:rsidP="00B571E8">
            <w:pPr>
              <w:spacing w:after="0" w:line="240" w:lineRule="auto"/>
              <w:jc w:val="left"/>
              <w:rPr>
                <w:rFonts w:eastAsia="Times New Roman" w:cs="Segoe UI"/>
                <w:i/>
                <w:color w:val="000000"/>
                <w:sz w:val="16"/>
                <w:szCs w:val="16"/>
                <w:lang w:eastAsia="sk-SK"/>
              </w:rPr>
            </w:pPr>
            <w:r>
              <w:rPr>
                <w:rFonts w:eastAsia="Times New Roman" w:cs="Segoe UI"/>
                <w:i/>
                <w:color w:val="000000"/>
                <w:sz w:val="16"/>
                <w:szCs w:val="16"/>
                <w:lang w:eastAsia="sk-SK"/>
              </w:rPr>
              <w:t>Vylúčenie finančných</w:t>
            </w:r>
            <w:r w:rsidRPr="00C84B3A">
              <w:rPr>
                <w:rFonts w:eastAsia="Times New Roman" w:cs="Segoe UI"/>
                <w:i/>
                <w:color w:val="000000"/>
                <w:sz w:val="16"/>
                <w:szCs w:val="16"/>
                <w:lang w:eastAsia="sk-SK"/>
              </w:rPr>
              <w:t xml:space="preserve"> </w:t>
            </w:r>
            <w:r>
              <w:rPr>
                <w:rFonts w:eastAsia="Times New Roman" w:cs="Segoe UI"/>
                <w:i/>
                <w:color w:val="000000"/>
                <w:sz w:val="16"/>
                <w:szCs w:val="16"/>
                <w:lang w:eastAsia="sk-SK"/>
              </w:rPr>
              <w:br/>
            </w:r>
            <w:r w:rsidRPr="00C84B3A">
              <w:rPr>
                <w:rFonts w:eastAsia="Times New Roman" w:cs="Segoe UI"/>
                <w:i/>
                <w:color w:val="000000"/>
                <w:sz w:val="16"/>
                <w:szCs w:val="16"/>
                <w:lang w:eastAsia="sk-SK"/>
              </w:rPr>
              <w:t>operácií</w:t>
            </w:r>
          </w:p>
        </w:tc>
        <w:tc>
          <w:tcPr>
            <w:tcW w:w="825" w:type="dxa"/>
            <w:gridSpan w:val="2"/>
            <w:tcBorders>
              <w:top w:val="nil"/>
              <w:left w:val="nil"/>
              <w:right w:val="nil"/>
            </w:tcBorders>
            <w:shd w:val="clear" w:color="000000" w:fill="FFFFFF"/>
            <w:noWrap/>
            <w:vAlign w:val="center"/>
            <w:hideMark/>
          </w:tcPr>
          <w:p w14:paraId="7F402C0A" w14:textId="77777777" w:rsidR="00B5522E" w:rsidRPr="00C84B3A" w:rsidRDefault="00B5522E" w:rsidP="00B571E8">
            <w:pPr>
              <w:spacing w:after="0" w:line="240" w:lineRule="auto"/>
              <w:ind w:left="-640" w:right="-73" w:hanging="284"/>
              <w:jc w:val="right"/>
              <w:rPr>
                <w:rFonts w:eastAsia="Times New Roman" w:cs="Segoe UI"/>
                <w:color w:val="000000"/>
                <w:sz w:val="16"/>
                <w:szCs w:val="16"/>
                <w:lang w:eastAsia="sk-SK"/>
              </w:rPr>
            </w:pPr>
            <w:r w:rsidRPr="00C84B3A">
              <w:rPr>
                <w:rFonts w:eastAsia="Times New Roman" w:cs="Segoe UI"/>
                <w:color w:val="000000"/>
                <w:sz w:val="16"/>
                <w:szCs w:val="16"/>
                <w:lang w:eastAsia="sk-SK"/>
              </w:rPr>
              <w:t>-413 618</w:t>
            </w:r>
          </w:p>
        </w:tc>
        <w:tc>
          <w:tcPr>
            <w:tcW w:w="1141" w:type="dxa"/>
            <w:gridSpan w:val="2"/>
            <w:tcBorders>
              <w:top w:val="nil"/>
              <w:left w:val="nil"/>
              <w:right w:val="nil"/>
            </w:tcBorders>
            <w:shd w:val="clear" w:color="000000" w:fill="FFFFFF"/>
            <w:noWrap/>
            <w:vAlign w:val="center"/>
            <w:hideMark/>
          </w:tcPr>
          <w:p w14:paraId="5BE67085" w14:textId="77777777" w:rsidR="00B5522E" w:rsidRPr="00C84B3A" w:rsidRDefault="00B5522E" w:rsidP="00B571E8">
            <w:pPr>
              <w:spacing w:after="0" w:line="240" w:lineRule="auto"/>
              <w:jc w:val="right"/>
              <w:rPr>
                <w:rFonts w:eastAsia="Times New Roman" w:cs="Segoe UI"/>
                <w:color w:val="000000"/>
                <w:sz w:val="16"/>
                <w:szCs w:val="16"/>
                <w:lang w:eastAsia="sk-SK"/>
              </w:rPr>
            </w:pPr>
            <w:r w:rsidRPr="00C84B3A">
              <w:rPr>
                <w:rFonts w:eastAsia="Times New Roman" w:cs="Segoe UI"/>
                <w:color w:val="000000"/>
                <w:sz w:val="16"/>
                <w:szCs w:val="16"/>
                <w:lang w:eastAsia="sk-SK"/>
              </w:rPr>
              <w:t>-304 000</w:t>
            </w:r>
          </w:p>
        </w:tc>
        <w:tc>
          <w:tcPr>
            <w:tcW w:w="1148" w:type="dxa"/>
            <w:gridSpan w:val="2"/>
            <w:tcBorders>
              <w:top w:val="nil"/>
              <w:left w:val="nil"/>
              <w:right w:val="nil"/>
            </w:tcBorders>
            <w:shd w:val="clear" w:color="000000" w:fill="FFFFFF"/>
            <w:noWrap/>
            <w:vAlign w:val="center"/>
            <w:hideMark/>
          </w:tcPr>
          <w:p w14:paraId="327785F2" w14:textId="77777777" w:rsidR="00B5522E" w:rsidRPr="00C84B3A" w:rsidRDefault="00B5522E" w:rsidP="00B571E8">
            <w:pPr>
              <w:spacing w:after="0" w:line="240" w:lineRule="auto"/>
              <w:jc w:val="right"/>
              <w:rPr>
                <w:rFonts w:eastAsia="Times New Roman" w:cs="Segoe UI"/>
                <w:color w:val="000000"/>
                <w:sz w:val="16"/>
                <w:szCs w:val="16"/>
                <w:lang w:eastAsia="sk-SK"/>
              </w:rPr>
            </w:pPr>
            <w:r w:rsidRPr="00C84B3A">
              <w:rPr>
                <w:rFonts w:eastAsia="Times New Roman" w:cs="Segoe UI"/>
                <w:color w:val="000000"/>
                <w:sz w:val="16"/>
                <w:szCs w:val="16"/>
                <w:lang w:eastAsia="sk-SK"/>
              </w:rPr>
              <w:t>-264 000</w:t>
            </w:r>
          </w:p>
        </w:tc>
        <w:tc>
          <w:tcPr>
            <w:tcW w:w="1165" w:type="dxa"/>
            <w:gridSpan w:val="2"/>
            <w:tcBorders>
              <w:top w:val="nil"/>
              <w:left w:val="nil"/>
              <w:right w:val="nil"/>
            </w:tcBorders>
            <w:shd w:val="clear" w:color="000000" w:fill="FFFFFF"/>
            <w:noWrap/>
            <w:vAlign w:val="center"/>
            <w:hideMark/>
          </w:tcPr>
          <w:p w14:paraId="2E5A5069" w14:textId="77777777" w:rsidR="00B5522E" w:rsidRPr="00C84B3A" w:rsidRDefault="00B5522E" w:rsidP="00B571E8">
            <w:pPr>
              <w:spacing w:after="0" w:line="240" w:lineRule="auto"/>
              <w:jc w:val="right"/>
              <w:rPr>
                <w:rFonts w:eastAsia="Times New Roman" w:cs="Segoe UI"/>
                <w:color w:val="000000"/>
                <w:sz w:val="16"/>
                <w:szCs w:val="16"/>
                <w:lang w:eastAsia="sk-SK"/>
              </w:rPr>
            </w:pPr>
            <w:r w:rsidRPr="00C84B3A">
              <w:rPr>
                <w:rFonts w:eastAsia="Times New Roman" w:cs="Segoe UI"/>
                <w:color w:val="000000"/>
                <w:sz w:val="16"/>
                <w:szCs w:val="16"/>
                <w:lang w:eastAsia="sk-SK"/>
              </w:rPr>
              <w:t>-304 000</w:t>
            </w:r>
          </w:p>
        </w:tc>
        <w:tc>
          <w:tcPr>
            <w:tcW w:w="1281" w:type="dxa"/>
            <w:gridSpan w:val="2"/>
            <w:tcBorders>
              <w:top w:val="nil"/>
              <w:left w:val="nil"/>
              <w:right w:val="nil"/>
            </w:tcBorders>
            <w:shd w:val="clear" w:color="000000" w:fill="FFFFFF"/>
            <w:noWrap/>
            <w:vAlign w:val="center"/>
            <w:hideMark/>
          </w:tcPr>
          <w:p w14:paraId="59CB8829" w14:textId="77777777" w:rsidR="00B5522E" w:rsidRPr="00C84B3A" w:rsidRDefault="00B5522E" w:rsidP="00B571E8">
            <w:pPr>
              <w:spacing w:after="0" w:line="240" w:lineRule="auto"/>
              <w:ind w:right="48" w:hanging="266"/>
              <w:jc w:val="right"/>
              <w:rPr>
                <w:rFonts w:eastAsia="Times New Roman" w:cs="Segoe UI"/>
                <w:color w:val="000000"/>
                <w:sz w:val="16"/>
                <w:szCs w:val="16"/>
                <w:lang w:eastAsia="sk-SK"/>
              </w:rPr>
            </w:pPr>
            <w:r w:rsidRPr="00C84B3A">
              <w:rPr>
                <w:rFonts w:eastAsia="Times New Roman" w:cs="Segoe UI"/>
                <w:color w:val="000000"/>
                <w:sz w:val="16"/>
                <w:szCs w:val="16"/>
                <w:lang w:eastAsia="sk-SK"/>
              </w:rPr>
              <w:t xml:space="preserve">                        </w:t>
            </w:r>
            <w:r>
              <w:rPr>
                <w:rFonts w:eastAsia="Times New Roman" w:cs="Segoe UI"/>
                <w:color w:val="000000"/>
                <w:sz w:val="16"/>
                <w:szCs w:val="16"/>
                <w:lang w:eastAsia="sk-SK"/>
              </w:rPr>
              <w:t>0</w:t>
            </w:r>
            <w:r w:rsidRPr="00C84B3A">
              <w:rPr>
                <w:rFonts w:eastAsia="Times New Roman" w:cs="Segoe UI"/>
                <w:color w:val="000000"/>
                <w:sz w:val="16"/>
                <w:szCs w:val="16"/>
                <w:lang w:eastAsia="sk-SK"/>
              </w:rPr>
              <w:t xml:space="preserve">   </w:t>
            </w:r>
          </w:p>
        </w:tc>
        <w:tc>
          <w:tcPr>
            <w:tcW w:w="1233" w:type="dxa"/>
            <w:tcBorders>
              <w:top w:val="nil"/>
              <w:left w:val="nil"/>
              <w:right w:val="nil"/>
            </w:tcBorders>
            <w:shd w:val="clear" w:color="000000" w:fill="FFFFFF"/>
            <w:noWrap/>
            <w:vAlign w:val="center"/>
            <w:hideMark/>
          </w:tcPr>
          <w:p w14:paraId="703379B0" w14:textId="77777777" w:rsidR="00B5522E" w:rsidRPr="00C84B3A" w:rsidRDefault="00B5522E" w:rsidP="00B571E8">
            <w:pPr>
              <w:spacing w:after="0" w:line="240" w:lineRule="auto"/>
              <w:ind w:right="49" w:hanging="3452"/>
              <w:jc w:val="right"/>
              <w:rPr>
                <w:rFonts w:eastAsia="Times New Roman" w:cs="Segoe UI"/>
                <w:color w:val="000000"/>
                <w:sz w:val="16"/>
                <w:szCs w:val="16"/>
                <w:lang w:eastAsia="sk-SK"/>
              </w:rPr>
            </w:pPr>
            <w:r w:rsidRPr="00C84B3A">
              <w:rPr>
                <w:rFonts w:eastAsia="Times New Roman" w:cs="Segoe UI"/>
                <w:color w:val="000000"/>
                <w:sz w:val="16"/>
                <w:szCs w:val="16"/>
                <w:lang w:eastAsia="sk-SK"/>
              </w:rPr>
              <w:t>100,0</w:t>
            </w:r>
          </w:p>
        </w:tc>
      </w:tr>
      <w:tr w:rsidR="00B5522E" w:rsidRPr="002A2205" w14:paraId="5D38FBD2" w14:textId="77777777" w:rsidTr="00B571E8">
        <w:trPr>
          <w:gridAfter w:val="1"/>
          <w:wAfter w:w="7" w:type="dxa"/>
          <w:trHeight w:hRule="exact" w:val="427"/>
        </w:trPr>
        <w:tc>
          <w:tcPr>
            <w:tcW w:w="2279" w:type="dxa"/>
            <w:tcBorders>
              <w:top w:val="nil"/>
              <w:left w:val="nil"/>
              <w:bottom w:val="single" w:sz="4" w:space="0" w:color="314364" w:themeColor="text2"/>
              <w:right w:val="nil"/>
            </w:tcBorders>
            <w:shd w:val="clear" w:color="000000" w:fill="FFFFFF"/>
            <w:vAlign w:val="center"/>
            <w:hideMark/>
          </w:tcPr>
          <w:p w14:paraId="2EE3A8E6" w14:textId="77777777" w:rsidR="00B5522E" w:rsidRPr="00C84B3A" w:rsidRDefault="00B5522E" w:rsidP="00B571E8">
            <w:pPr>
              <w:spacing w:after="0" w:line="240" w:lineRule="auto"/>
              <w:jc w:val="left"/>
              <w:rPr>
                <w:rFonts w:eastAsia="Times New Roman" w:cs="Segoe UI"/>
                <w:i/>
                <w:color w:val="000000"/>
                <w:sz w:val="16"/>
                <w:szCs w:val="16"/>
                <w:lang w:eastAsia="sk-SK"/>
              </w:rPr>
            </w:pPr>
            <w:r>
              <w:rPr>
                <w:rFonts w:eastAsia="Times New Roman" w:cs="Segoe UI"/>
                <w:i/>
                <w:color w:val="000000"/>
                <w:sz w:val="16"/>
                <w:szCs w:val="16"/>
                <w:lang w:eastAsia="sk-SK"/>
              </w:rPr>
              <w:t xml:space="preserve">Zahrnutie časového </w:t>
            </w:r>
            <w:r>
              <w:rPr>
                <w:rFonts w:eastAsia="Times New Roman" w:cs="Segoe UI"/>
                <w:i/>
                <w:color w:val="000000"/>
                <w:sz w:val="16"/>
                <w:szCs w:val="16"/>
                <w:lang w:eastAsia="sk-SK"/>
              </w:rPr>
              <w:br/>
              <w:t xml:space="preserve">rozlíšenia </w:t>
            </w:r>
            <w:r w:rsidRPr="00C84B3A">
              <w:rPr>
                <w:rFonts w:eastAsia="Times New Roman" w:cs="Segoe UI"/>
                <w:i/>
                <w:color w:val="000000"/>
                <w:sz w:val="16"/>
                <w:szCs w:val="16"/>
                <w:lang w:eastAsia="sk-SK"/>
              </w:rPr>
              <w:t>a</w:t>
            </w:r>
            <w:r>
              <w:rPr>
                <w:rFonts w:eastAsia="Times New Roman" w:cs="Segoe UI"/>
                <w:i/>
                <w:color w:val="000000"/>
                <w:sz w:val="16"/>
                <w:szCs w:val="16"/>
                <w:lang w:eastAsia="sk-SK"/>
              </w:rPr>
              <w:t> ostatné úpravy</w:t>
            </w:r>
          </w:p>
        </w:tc>
        <w:tc>
          <w:tcPr>
            <w:tcW w:w="825" w:type="dxa"/>
            <w:gridSpan w:val="2"/>
            <w:tcBorders>
              <w:top w:val="nil"/>
              <w:left w:val="nil"/>
              <w:bottom w:val="single" w:sz="4" w:space="0" w:color="314364" w:themeColor="text2"/>
              <w:right w:val="nil"/>
            </w:tcBorders>
            <w:shd w:val="clear" w:color="000000" w:fill="FFFFFF"/>
            <w:noWrap/>
            <w:vAlign w:val="center"/>
            <w:hideMark/>
          </w:tcPr>
          <w:p w14:paraId="6ED34071" w14:textId="77777777" w:rsidR="00B5522E" w:rsidRPr="00C84B3A" w:rsidRDefault="00B5522E" w:rsidP="00B571E8">
            <w:pPr>
              <w:spacing w:after="0" w:line="240" w:lineRule="auto"/>
              <w:ind w:left="-640" w:right="-73" w:hanging="284"/>
              <w:jc w:val="right"/>
              <w:rPr>
                <w:rFonts w:eastAsia="Times New Roman" w:cs="Segoe UI"/>
                <w:color w:val="000000"/>
                <w:sz w:val="16"/>
                <w:szCs w:val="16"/>
                <w:lang w:eastAsia="sk-SK"/>
              </w:rPr>
            </w:pPr>
            <w:r w:rsidRPr="00C84B3A">
              <w:rPr>
                <w:rFonts w:eastAsia="Times New Roman" w:cs="Segoe UI"/>
                <w:color w:val="000000"/>
                <w:sz w:val="16"/>
                <w:szCs w:val="16"/>
                <w:lang w:eastAsia="sk-SK"/>
              </w:rPr>
              <w:t>64 952</w:t>
            </w:r>
          </w:p>
        </w:tc>
        <w:tc>
          <w:tcPr>
            <w:tcW w:w="1141" w:type="dxa"/>
            <w:gridSpan w:val="2"/>
            <w:tcBorders>
              <w:top w:val="nil"/>
              <w:left w:val="nil"/>
              <w:bottom w:val="single" w:sz="4" w:space="0" w:color="314364" w:themeColor="text2"/>
              <w:right w:val="nil"/>
            </w:tcBorders>
            <w:shd w:val="clear" w:color="000000" w:fill="FFFFFF"/>
            <w:noWrap/>
            <w:vAlign w:val="center"/>
            <w:hideMark/>
          </w:tcPr>
          <w:p w14:paraId="395C2B6F" w14:textId="77777777" w:rsidR="00B5522E" w:rsidRPr="00C84B3A" w:rsidRDefault="00B5522E" w:rsidP="00B571E8">
            <w:pPr>
              <w:spacing w:after="0" w:line="240" w:lineRule="auto"/>
              <w:jc w:val="right"/>
              <w:rPr>
                <w:rFonts w:eastAsia="Times New Roman" w:cs="Segoe UI"/>
                <w:color w:val="000000"/>
                <w:sz w:val="16"/>
                <w:szCs w:val="16"/>
                <w:lang w:eastAsia="sk-SK"/>
              </w:rPr>
            </w:pPr>
            <w:r w:rsidRPr="00C84B3A">
              <w:rPr>
                <w:rFonts w:eastAsia="Times New Roman" w:cs="Segoe UI"/>
                <w:color w:val="000000"/>
                <w:sz w:val="16"/>
                <w:szCs w:val="16"/>
                <w:lang w:eastAsia="sk-SK"/>
              </w:rPr>
              <w:t>0</w:t>
            </w:r>
          </w:p>
        </w:tc>
        <w:tc>
          <w:tcPr>
            <w:tcW w:w="1148" w:type="dxa"/>
            <w:gridSpan w:val="2"/>
            <w:tcBorders>
              <w:top w:val="nil"/>
              <w:left w:val="nil"/>
              <w:bottom w:val="single" w:sz="4" w:space="0" w:color="314364" w:themeColor="text2"/>
              <w:right w:val="nil"/>
            </w:tcBorders>
            <w:shd w:val="clear" w:color="000000" w:fill="FFFFFF"/>
            <w:noWrap/>
            <w:vAlign w:val="center"/>
            <w:hideMark/>
          </w:tcPr>
          <w:p w14:paraId="1FFB08E2" w14:textId="77777777" w:rsidR="00B5522E" w:rsidRPr="00C84B3A" w:rsidRDefault="00B5522E" w:rsidP="00B571E8">
            <w:pPr>
              <w:spacing w:after="0" w:line="240" w:lineRule="auto"/>
              <w:jc w:val="right"/>
              <w:rPr>
                <w:rFonts w:eastAsia="Times New Roman" w:cs="Segoe UI"/>
                <w:color w:val="000000"/>
                <w:sz w:val="16"/>
                <w:szCs w:val="16"/>
                <w:lang w:eastAsia="sk-SK"/>
              </w:rPr>
            </w:pPr>
            <w:r w:rsidRPr="00C84B3A">
              <w:rPr>
                <w:rFonts w:eastAsia="Times New Roman" w:cs="Segoe UI"/>
                <w:color w:val="000000"/>
                <w:sz w:val="16"/>
                <w:szCs w:val="16"/>
                <w:lang w:eastAsia="sk-SK"/>
              </w:rPr>
              <w:t>0</w:t>
            </w:r>
          </w:p>
        </w:tc>
        <w:tc>
          <w:tcPr>
            <w:tcW w:w="1165" w:type="dxa"/>
            <w:gridSpan w:val="2"/>
            <w:tcBorders>
              <w:top w:val="nil"/>
              <w:left w:val="nil"/>
              <w:bottom w:val="single" w:sz="4" w:space="0" w:color="314364" w:themeColor="text2"/>
              <w:right w:val="nil"/>
            </w:tcBorders>
            <w:shd w:val="clear" w:color="000000" w:fill="FFFFFF"/>
            <w:noWrap/>
            <w:vAlign w:val="center"/>
            <w:hideMark/>
          </w:tcPr>
          <w:p w14:paraId="7C908B7B" w14:textId="77777777" w:rsidR="00B5522E" w:rsidRPr="00C84B3A" w:rsidRDefault="00B5522E" w:rsidP="00B571E8">
            <w:pPr>
              <w:spacing w:after="0" w:line="240" w:lineRule="auto"/>
              <w:jc w:val="right"/>
              <w:rPr>
                <w:rFonts w:eastAsia="Times New Roman" w:cs="Segoe UI"/>
                <w:color w:val="000000"/>
                <w:sz w:val="16"/>
                <w:szCs w:val="16"/>
                <w:lang w:eastAsia="sk-SK"/>
              </w:rPr>
            </w:pPr>
            <w:r w:rsidRPr="00C84B3A">
              <w:rPr>
                <w:rFonts w:eastAsia="Times New Roman" w:cs="Segoe UI"/>
                <w:color w:val="000000"/>
                <w:sz w:val="16"/>
                <w:szCs w:val="16"/>
                <w:lang w:eastAsia="sk-SK"/>
              </w:rPr>
              <w:t>0</w:t>
            </w:r>
          </w:p>
        </w:tc>
        <w:tc>
          <w:tcPr>
            <w:tcW w:w="1281" w:type="dxa"/>
            <w:gridSpan w:val="2"/>
            <w:tcBorders>
              <w:top w:val="nil"/>
              <w:left w:val="nil"/>
              <w:bottom w:val="single" w:sz="4" w:space="0" w:color="314364" w:themeColor="text2"/>
              <w:right w:val="nil"/>
            </w:tcBorders>
            <w:shd w:val="clear" w:color="000000" w:fill="FFFFFF"/>
            <w:noWrap/>
            <w:vAlign w:val="center"/>
            <w:hideMark/>
          </w:tcPr>
          <w:p w14:paraId="5043F587" w14:textId="77777777" w:rsidR="00B5522E" w:rsidRPr="00C84B3A" w:rsidRDefault="00B5522E" w:rsidP="00B571E8">
            <w:pPr>
              <w:spacing w:after="0" w:line="240" w:lineRule="auto"/>
              <w:ind w:right="48" w:hanging="266"/>
              <w:jc w:val="right"/>
              <w:rPr>
                <w:rFonts w:eastAsia="Times New Roman" w:cs="Segoe UI"/>
                <w:color w:val="000000"/>
                <w:sz w:val="16"/>
                <w:szCs w:val="16"/>
                <w:lang w:eastAsia="sk-SK"/>
              </w:rPr>
            </w:pPr>
            <w:r w:rsidRPr="00C84B3A">
              <w:rPr>
                <w:rFonts w:eastAsia="Times New Roman" w:cs="Segoe UI"/>
                <w:color w:val="000000"/>
                <w:sz w:val="16"/>
                <w:szCs w:val="16"/>
                <w:lang w:eastAsia="sk-SK"/>
              </w:rPr>
              <w:t>0</w:t>
            </w:r>
          </w:p>
        </w:tc>
        <w:tc>
          <w:tcPr>
            <w:tcW w:w="1233" w:type="dxa"/>
            <w:tcBorders>
              <w:top w:val="nil"/>
              <w:left w:val="nil"/>
              <w:bottom w:val="single" w:sz="4" w:space="0" w:color="314364" w:themeColor="text2"/>
              <w:right w:val="nil"/>
            </w:tcBorders>
            <w:shd w:val="clear" w:color="000000" w:fill="FFFFFF"/>
            <w:noWrap/>
            <w:vAlign w:val="center"/>
            <w:hideMark/>
          </w:tcPr>
          <w:p w14:paraId="5A2F2205" w14:textId="77777777" w:rsidR="00B5522E" w:rsidRPr="00C84B3A" w:rsidRDefault="00B5522E" w:rsidP="00B571E8">
            <w:pPr>
              <w:spacing w:after="0" w:line="240" w:lineRule="auto"/>
              <w:ind w:right="49" w:hanging="3452"/>
              <w:jc w:val="right"/>
              <w:rPr>
                <w:rFonts w:eastAsia="Times New Roman" w:cs="Segoe UI"/>
                <w:color w:val="000000"/>
                <w:sz w:val="16"/>
                <w:szCs w:val="16"/>
                <w:lang w:eastAsia="sk-SK"/>
              </w:rPr>
            </w:pPr>
            <w:r w:rsidRPr="00C84B3A">
              <w:rPr>
                <w:rFonts w:eastAsia="Times New Roman" w:cs="Segoe UI"/>
                <w:color w:val="000000"/>
                <w:sz w:val="16"/>
                <w:szCs w:val="16"/>
                <w:lang w:eastAsia="sk-SK"/>
              </w:rPr>
              <w:t xml:space="preserve">                       </w:t>
            </w:r>
            <w:r>
              <w:rPr>
                <w:rFonts w:eastAsia="Times New Roman" w:cs="Segoe UI"/>
                <w:color w:val="000000"/>
                <w:sz w:val="16"/>
                <w:szCs w:val="16"/>
                <w:lang w:eastAsia="sk-SK"/>
              </w:rPr>
              <w:t>0</w:t>
            </w:r>
            <w:r w:rsidRPr="00C84B3A">
              <w:rPr>
                <w:rFonts w:eastAsia="Times New Roman" w:cs="Segoe UI"/>
                <w:color w:val="000000"/>
                <w:sz w:val="16"/>
                <w:szCs w:val="16"/>
                <w:lang w:eastAsia="sk-SK"/>
              </w:rPr>
              <w:t xml:space="preserve">   </w:t>
            </w:r>
          </w:p>
        </w:tc>
      </w:tr>
      <w:tr w:rsidR="00B5522E" w:rsidRPr="002A2205" w14:paraId="1BEECB05" w14:textId="77777777" w:rsidTr="00B571E8">
        <w:trPr>
          <w:gridAfter w:val="1"/>
          <w:wAfter w:w="7" w:type="dxa"/>
          <w:trHeight w:hRule="exact" w:val="284"/>
        </w:trPr>
        <w:tc>
          <w:tcPr>
            <w:tcW w:w="2279" w:type="dxa"/>
            <w:tcBorders>
              <w:top w:val="single" w:sz="4" w:space="0" w:color="314364" w:themeColor="text2"/>
              <w:left w:val="nil"/>
              <w:bottom w:val="single" w:sz="4" w:space="0" w:color="314364" w:themeColor="text2"/>
              <w:right w:val="nil"/>
            </w:tcBorders>
            <w:shd w:val="clear" w:color="000000" w:fill="FFFFFF"/>
            <w:noWrap/>
            <w:vAlign w:val="center"/>
            <w:hideMark/>
          </w:tcPr>
          <w:p w14:paraId="6E21979B" w14:textId="77777777" w:rsidR="00B5522E" w:rsidRPr="00977000" w:rsidRDefault="00B5522E" w:rsidP="00B571E8">
            <w:pPr>
              <w:spacing w:after="0" w:line="240" w:lineRule="auto"/>
              <w:jc w:val="left"/>
              <w:rPr>
                <w:rFonts w:eastAsia="Times New Roman" w:cs="Segoe UI"/>
                <w:b/>
                <w:bCs/>
                <w:color w:val="000000"/>
                <w:sz w:val="18"/>
                <w:szCs w:val="18"/>
                <w:lang w:eastAsia="sk-SK"/>
              </w:rPr>
            </w:pPr>
            <w:r w:rsidRPr="00977000">
              <w:rPr>
                <w:rFonts w:eastAsia="Times New Roman" w:cs="Segoe UI"/>
                <w:b/>
                <w:bCs/>
                <w:color w:val="000000"/>
                <w:sz w:val="18"/>
                <w:szCs w:val="18"/>
                <w:lang w:eastAsia="sk-SK"/>
              </w:rPr>
              <w:t xml:space="preserve">Prebytok </w:t>
            </w:r>
            <w:r>
              <w:rPr>
                <w:rFonts w:eastAsia="Times New Roman" w:cs="Segoe UI"/>
                <w:b/>
                <w:bCs/>
                <w:color w:val="000000"/>
                <w:sz w:val="18"/>
                <w:szCs w:val="18"/>
                <w:lang w:eastAsia="sk-SK"/>
              </w:rPr>
              <w:t>(+)/</w:t>
            </w:r>
            <w:r w:rsidRPr="00977000">
              <w:rPr>
                <w:rFonts w:eastAsia="Times New Roman" w:cs="Segoe UI"/>
                <w:b/>
                <w:bCs/>
                <w:color w:val="000000"/>
                <w:sz w:val="18"/>
                <w:szCs w:val="18"/>
                <w:lang w:eastAsia="sk-SK"/>
              </w:rPr>
              <w:t>schodok (-)</w:t>
            </w:r>
          </w:p>
        </w:tc>
        <w:tc>
          <w:tcPr>
            <w:tcW w:w="825" w:type="dxa"/>
            <w:gridSpan w:val="2"/>
            <w:tcBorders>
              <w:top w:val="single" w:sz="4" w:space="0" w:color="314364" w:themeColor="text2"/>
              <w:left w:val="nil"/>
              <w:bottom w:val="single" w:sz="4" w:space="0" w:color="314364" w:themeColor="text2"/>
              <w:right w:val="nil"/>
            </w:tcBorders>
            <w:shd w:val="clear" w:color="000000" w:fill="FFFFFF"/>
            <w:noWrap/>
            <w:vAlign w:val="center"/>
            <w:hideMark/>
          </w:tcPr>
          <w:p w14:paraId="19C1F9DD" w14:textId="77777777" w:rsidR="00B5522E" w:rsidRPr="00977000" w:rsidRDefault="00B5522E" w:rsidP="00B571E8">
            <w:pPr>
              <w:spacing w:after="0" w:line="240" w:lineRule="auto"/>
              <w:ind w:left="-640" w:right="-73" w:hanging="284"/>
              <w:jc w:val="right"/>
              <w:rPr>
                <w:rFonts w:eastAsia="Times New Roman" w:cs="Segoe UI"/>
                <w:b/>
                <w:bCs/>
                <w:color w:val="000000"/>
                <w:sz w:val="18"/>
                <w:szCs w:val="18"/>
                <w:lang w:eastAsia="sk-SK"/>
              </w:rPr>
            </w:pPr>
            <w:r w:rsidRPr="00977000">
              <w:rPr>
                <w:rFonts w:eastAsia="Times New Roman" w:cs="Segoe UI"/>
                <w:b/>
                <w:bCs/>
                <w:color w:val="000000"/>
                <w:sz w:val="18"/>
                <w:szCs w:val="18"/>
                <w:lang w:eastAsia="sk-SK"/>
              </w:rPr>
              <w:t>-89 995</w:t>
            </w:r>
          </w:p>
        </w:tc>
        <w:tc>
          <w:tcPr>
            <w:tcW w:w="1141" w:type="dxa"/>
            <w:gridSpan w:val="2"/>
            <w:tcBorders>
              <w:top w:val="single" w:sz="4" w:space="0" w:color="314364" w:themeColor="text2"/>
              <w:left w:val="nil"/>
              <w:bottom w:val="single" w:sz="4" w:space="0" w:color="314364" w:themeColor="text2"/>
              <w:right w:val="nil"/>
            </w:tcBorders>
            <w:shd w:val="clear" w:color="000000" w:fill="FFFFFF"/>
            <w:noWrap/>
            <w:vAlign w:val="center"/>
            <w:hideMark/>
          </w:tcPr>
          <w:p w14:paraId="419B6422" w14:textId="77777777" w:rsidR="00B5522E" w:rsidRPr="00977000" w:rsidRDefault="00B5522E" w:rsidP="00B571E8">
            <w:pPr>
              <w:spacing w:after="0" w:line="240" w:lineRule="auto"/>
              <w:jc w:val="right"/>
              <w:rPr>
                <w:rFonts w:eastAsia="Times New Roman" w:cs="Segoe UI"/>
                <w:b/>
                <w:bCs/>
                <w:color w:val="000000"/>
                <w:sz w:val="18"/>
                <w:szCs w:val="18"/>
                <w:lang w:eastAsia="sk-SK"/>
              </w:rPr>
            </w:pPr>
            <w:r w:rsidRPr="00977000">
              <w:rPr>
                <w:rFonts w:eastAsia="Times New Roman" w:cs="Segoe UI"/>
                <w:b/>
                <w:bCs/>
                <w:color w:val="000000"/>
                <w:sz w:val="18"/>
                <w:szCs w:val="18"/>
                <w:lang w:eastAsia="sk-SK"/>
              </w:rPr>
              <w:t>-115 617</w:t>
            </w:r>
          </w:p>
        </w:tc>
        <w:tc>
          <w:tcPr>
            <w:tcW w:w="1148" w:type="dxa"/>
            <w:gridSpan w:val="2"/>
            <w:tcBorders>
              <w:top w:val="single" w:sz="4" w:space="0" w:color="314364" w:themeColor="text2"/>
              <w:left w:val="nil"/>
              <w:bottom w:val="single" w:sz="4" w:space="0" w:color="314364" w:themeColor="text2"/>
              <w:right w:val="nil"/>
            </w:tcBorders>
            <w:shd w:val="clear" w:color="000000" w:fill="FFFFFF"/>
            <w:noWrap/>
            <w:vAlign w:val="center"/>
            <w:hideMark/>
          </w:tcPr>
          <w:p w14:paraId="015D45D2" w14:textId="77777777" w:rsidR="00B5522E" w:rsidRPr="00977000" w:rsidRDefault="00B5522E" w:rsidP="00B571E8">
            <w:pPr>
              <w:spacing w:after="0" w:line="240" w:lineRule="auto"/>
              <w:jc w:val="right"/>
              <w:rPr>
                <w:rFonts w:eastAsia="Times New Roman" w:cs="Segoe UI"/>
                <w:b/>
                <w:bCs/>
                <w:color w:val="000000"/>
                <w:sz w:val="18"/>
                <w:szCs w:val="18"/>
                <w:lang w:eastAsia="sk-SK"/>
              </w:rPr>
            </w:pPr>
            <w:r w:rsidRPr="00977000">
              <w:rPr>
                <w:rFonts w:eastAsia="Times New Roman" w:cs="Segoe UI"/>
                <w:b/>
                <w:bCs/>
                <w:color w:val="000000"/>
                <w:sz w:val="18"/>
                <w:szCs w:val="18"/>
                <w:lang w:eastAsia="sk-SK"/>
              </w:rPr>
              <w:t>-140 538</w:t>
            </w:r>
          </w:p>
        </w:tc>
        <w:tc>
          <w:tcPr>
            <w:tcW w:w="1165" w:type="dxa"/>
            <w:gridSpan w:val="2"/>
            <w:tcBorders>
              <w:top w:val="single" w:sz="4" w:space="0" w:color="314364" w:themeColor="text2"/>
              <w:left w:val="nil"/>
              <w:bottom w:val="single" w:sz="4" w:space="0" w:color="314364" w:themeColor="text2"/>
              <w:right w:val="nil"/>
            </w:tcBorders>
            <w:shd w:val="clear" w:color="000000" w:fill="FFFFFF"/>
            <w:noWrap/>
            <w:vAlign w:val="center"/>
            <w:hideMark/>
          </w:tcPr>
          <w:p w14:paraId="724C381E" w14:textId="77777777" w:rsidR="00B5522E" w:rsidRPr="00977000" w:rsidRDefault="00B5522E" w:rsidP="00B571E8">
            <w:pPr>
              <w:spacing w:after="0" w:line="240" w:lineRule="auto"/>
              <w:jc w:val="right"/>
              <w:rPr>
                <w:rFonts w:eastAsia="Times New Roman" w:cs="Segoe UI"/>
                <w:b/>
                <w:bCs/>
                <w:color w:val="000000"/>
                <w:sz w:val="18"/>
                <w:szCs w:val="18"/>
                <w:lang w:eastAsia="sk-SK"/>
              </w:rPr>
            </w:pPr>
            <w:r w:rsidRPr="00977000">
              <w:rPr>
                <w:rFonts w:eastAsia="Times New Roman" w:cs="Segoe UI"/>
                <w:b/>
                <w:bCs/>
                <w:color w:val="000000"/>
                <w:sz w:val="18"/>
                <w:szCs w:val="18"/>
                <w:lang w:eastAsia="sk-SK"/>
              </w:rPr>
              <w:t>-127 284</w:t>
            </w:r>
          </w:p>
        </w:tc>
        <w:tc>
          <w:tcPr>
            <w:tcW w:w="1281" w:type="dxa"/>
            <w:gridSpan w:val="2"/>
            <w:tcBorders>
              <w:top w:val="single" w:sz="4" w:space="0" w:color="314364" w:themeColor="text2"/>
              <w:left w:val="nil"/>
              <w:bottom w:val="single" w:sz="4" w:space="0" w:color="314364" w:themeColor="text2"/>
              <w:right w:val="nil"/>
            </w:tcBorders>
            <w:shd w:val="clear" w:color="000000" w:fill="FFFFFF"/>
            <w:noWrap/>
            <w:vAlign w:val="center"/>
            <w:hideMark/>
          </w:tcPr>
          <w:p w14:paraId="7111C4E4" w14:textId="77777777" w:rsidR="00B5522E" w:rsidRPr="00977000" w:rsidRDefault="00B5522E" w:rsidP="00B571E8">
            <w:pPr>
              <w:spacing w:after="0" w:line="240" w:lineRule="auto"/>
              <w:ind w:right="48" w:hanging="266"/>
              <w:jc w:val="right"/>
              <w:rPr>
                <w:rFonts w:eastAsia="Times New Roman" w:cs="Segoe UI"/>
                <w:b/>
                <w:bCs/>
                <w:color w:val="000000"/>
                <w:sz w:val="18"/>
                <w:szCs w:val="18"/>
                <w:lang w:eastAsia="sk-SK"/>
              </w:rPr>
            </w:pPr>
            <w:r w:rsidRPr="00977000">
              <w:rPr>
                <w:rFonts w:eastAsia="Times New Roman" w:cs="Segoe UI"/>
                <w:b/>
                <w:bCs/>
                <w:color w:val="000000"/>
                <w:sz w:val="18"/>
                <w:szCs w:val="18"/>
                <w:lang w:eastAsia="sk-SK"/>
              </w:rPr>
              <w:t>-11 667</w:t>
            </w:r>
          </w:p>
        </w:tc>
        <w:tc>
          <w:tcPr>
            <w:tcW w:w="1233" w:type="dxa"/>
            <w:tcBorders>
              <w:top w:val="single" w:sz="4" w:space="0" w:color="314364" w:themeColor="text2"/>
              <w:left w:val="nil"/>
              <w:bottom w:val="single" w:sz="4" w:space="0" w:color="314364" w:themeColor="text2"/>
              <w:right w:val="nil"/>
            </w:tcBorders>
            <w:shd w:val="clear" w:color="000000" w:fill="FFFFFF"/>
            <w:noWrap/>
            <w:vAlign w:val="center"/>
            <w:hideMark/>
          </w:tcPr>
          <w:p w14:paraId="51BB5D15" w14:textId="77777777" w:rsidR="00B5522E" w:rsidRPr="00977000" w:rsidRDefault="00B5522E" w:rsidP="00B571E8">
            <w:pPr>
              <w:spacing w:after="0" w:line="240" w:lineRule="auto"/>
              <w:ind w:right="49" w:hanging="3452"/>
              <w:jc w:val="right"/>
              <w:rPr>
                <w:rFonts w:eastAsia="Times New Roman" w:cs="Segoe UI"/>
                <w:b/>
                <w:bCs/>
                <w:color w:val="000000"/>
                <w:sz w:val="18"/>
                <w:szCs w:val="18"/>
                <w:lang w:eastAsia="sk-SK"/>
              </w:rPr>
            </w:pPr>
            <w:r w:rsidRPr="00977000">
              <w:rPr>
                <w:rFonts w:eastAsia="Times New Roman" w:cs="Segoe UI"/>
                <w:b/>
                <w:bCs/>
                <w:color w:val="000000"/>
                <w:sz w:val="18"/>
                <w:szCs w:val="18"/>
                <w:lang w:eastAsia="sk-SK"/>
              </w:rPr>
              <w:t>110,1</w:t>
            </w:r>
          </w:p>
        </w:tc>
      </w:tr>
    </w:tbl>
    <w:p w14:paraId="7F7E898F" w14:textId="5C11B062" w:rsidR="00F52935" w:rsidRDefault="00B5522E" w:rsidP="00F52935">
      <w:pPr>
        <w:spacing w:line="240" w:lineRule="auto"/>
        <w:jc w:val="left"/>
        <w:rPr>
          <w:rFonts w:eastAsia="Calibri" w:cs="Times New Roman"/>
          <w:i/>
          <w:color w:val="314364"/>
          <w:sz w:val="16"/>
        </w:rPr>
      </w:pPr>
      <w:r>
        <w:rPr>
          <w:rFonts w:eastAsia="Calibri" w:cs="Times New Roman"/>
          <w:i/>
          <w:color w:val="314364"/>
          <w:sz w:val="16"/>
        </w:rPr>
        <w:t>Zdroj: Návrh RVS 2025 až 2027</w:t>
      </w:r>
      <w:r w:rsidR="00CA000D">
        <w:rPr>
          <w:rFonts w:eastAsia="Calibri" w:cs="Times New Roman"/>
          <w:i/>
          <w:color w:val="314364"/>
          <w:sz w:val="16"/>
        </w:rPr>
        <w:t>.</w:t>
      </w:r>
    </w:p>
    <w:p w14:paraId="5FBEBC36" w14:textId="484CCE40" w:rsidR="006C0C30" w:rsidRDefault="006C0C30" w:rsidP="006C0C30">
      <w:r w:rsidRPr="008938B3">
        <w:rPr>
          <w:b/>
        </w:rPr>
        <w:t xml:space="preserve">Príjmy VÚC </w:t>
      </w:r>
      <w:r w:rsidR="005A09F3" w:rsidRPr="008938B3">
        <w:rPr>
          <w:b/>
        </w:rPr>
        <w:t>v</w:t>
      </w:r>
      <w:r w:rsidRPr="008938B3">
        <w:rPr>
          <w:b/>
        </w:rPr>
        <w:t xml:space="preserve"> roku 2025 </w:t>
      </w:r>
      <w:r w:rsidR="00F52935">
        <w:rPr>
          <w:b/>
        </w:rPr>
        <w:t xml:space="preserve">medziročne </w:t>
      </w:r>
      <w:r w:rsidR="005A09F3" w:rsidRPr="008938B3">
        <w:rPr>
          <w:b/>
        </w:rPr>
        <w:t>v</w:t>
      </w:r>
      <w:r w:rsidR="00324BC4">
        <w:rPr>
          <w:b/>
        </w:rPr>
        <w:t>z</w:t>
      </w:r>
      <w:r w:rsidR="005A09F3" w:rsidRPr="008938B3">
        <w:rPr>
          <w:b/>
        </w:rPr>
        <w:t>rastú</w:t>
      </w:r>
      <w:r w:rsidRPr="008938B3">
        <w:rPr>
          <w:b/>
        </w:rPr>
        <w:t xml:space="preserve"> </w:t>
      </w:r>
      <w:r w:rsidR="005A09F3" w:rsidRPr="008938B3">
        <w:rPr>
          <w:b/>
        </w:rPr>
        <w:t xml:space="preserve">na </w:t>
      </w:r>
      <w:r w:rsidRPr="008938B3">
        <w:rPr>
          <w:b/>
        </w:rPr>
        <w:t>2,43 mld. eur.</w:t>
      </w:r>
      <w:r>
        <w:rPr>
          <w:b/>
        </w:rPr>
        <w:t xml:space="preserve"> </w:t>
      </w:r>
      <w:r w:rsidR="00F52935">
        <w:t>Voči</w:t>
      </w:r>
      <w:r>
        <w:t xml:space="preserve"> </w:t>
      </w:r>
      <w:r w:rsidR="00F52935">
        <w:t xml:space="preserve">očakávanej skutočnosti za rok 2024 </w:t>
      </w:r>
      <w:r>
        <w:t>síce daňové príjmy stúpnu (</w:t>
      </w:r>
      <w:r w:rsidR="00F52935">
        <w:t xml:space="preserve">o </w:t>
      </w:r>
      <w:r>
        <w:t xml:space="preserve">67,7 mil. eur), </w:t>
      </w:r>
      <w:r w:rsidR="00F52935">
        <w:t xml:space="preserve">ale </w:t>
      </w:r>
      <w:r>
        <w:t>v ostatných položkách je plánovaný rozpočet na rok 2025 nižší</w:t>
      </w:r>
      <w:r w:rsidR="008938B3">
        <w:t>.</w:t>
      </w:r>
    </w:p>
    <w:p w14:paraId="7D3E50CF" w14:textId="6DF6542C" w:rsidR="00CA000D" w:rsidRDefault="00F52935" w:rsidP="00CA000D">
      <w:r w:rsidRPr="00F52935">
        <w:rPr>
          <w:b/>
        </w:rPr>
        <w:t>V</w:t>
      </w:r>
      <w:r w:rsidR="006C0C30" w:rsidRPr="00F52935">
        <w:rPr>
          <w:b/>
        </w:rPr>
        <w:t>ýdavky VÚC na rok 2025 sú rozpočtované vo výške 2,25 mld. eur</w:t>
      </w:r>
      <w:r w:rsidRPr="00F52935">
        <w:rPr>
          <w:b/>
        </w:rPr>
        <w:t>, čo voči očakávanej skutočnosti za rok 2024 predstavuj</w:t>
      </w:r>
      <w:r>
        <w:rPr>
          <w:b/>
        </w:rPr>
        <w:t>e</w:t>
      </w:r>
      <w:r w:rsidRPr="00F52935">
        <w:rPr>
          <w:b/>
        </w:rPr>
        <w:t xml:space="preserve"> pokles</w:t>
      </w:r>
      <w:r w:rsidR="006C0C30" w:rsidRPr="00F52935">
        <w:rPr>
          <w:b/>
        </w:rPr>
        <w:t xml:space="preserve"> o 48,1 mil. eur</w:t>
      </w:r>
      <w:r w:rsidRPr="00F52935">
        <w:rPr>
          <w:b/>
        </w:rPr>
        <w:t>.</w:t>
      </w:r>
      <w:r w:rsidR="006C0C30">
        <w:t xml:space="preserve"> </w:t>
      </w:r>
      <w:r w:rsidR="00CA000D">
        <w:t>Rásť</w:t>
      </w:r>
      <w:r>
        <w:t xml:space="preserve"> majú </w:t>
      </w:r>
      <w:r w:rsidR="006C0C30">
        <w:t>bežn</w:t>
      </w:r>
      <w:r>
        <w:t>é</w:t>
      </w:r>
      <w:r w:rsidR="006C0C30">
        <w:t xml:space="preserve"> výdavk</w:t>
      </w:r>
      <w:r>
        <w:t>y</w:t>
      </w:r>
      <w:r w:rsidR="006C0C30">
        <w:t xml:space="preserve"> (o </w:t>
      </w:r>
      <w:r w:rsidR="00CA000D">
        <w:t>65</w:t>
      </w:r>
      <w:r w:rsidR="006C0C30">
        <w:t>,</w:t>
      </w:r>
      <w:r w:rsidR="00CA000D">
        <w:t>2</w:t>
      </w:r>
      <w:r w:rsidR="006C0C30">
        <w:t xml:space="preserve"> mil. eur), v rámci ktorých sa zvýšia </w:t>
      </w:r>
      <w:r w:rsidR="00CA000D">
        <w:t>mzdy a odvody</w:t>
      </w:r>
      <w:r w:rsidR="006C0C30">
        <w:t xml:space="preserve"> (o 3</w:t>
      </w:r>
      <w:r w:rsidR="00CA000D">
        <w:t>4,2</w:t>
      </w:r>
      <w:r w:rsidR="006C0C30">
        <w:t xml:space="preserve"> mil. eur), </w:t>
      </w:r>
      <w:r w:rsidR="00CA000D">
        <w:t>bežné transfery (o 24,2 mil. eur) a výdavky</w:t>
      </w:r>
      <w:r>
        <w:t xml:space="preserve"> na </w:t>
      </w:r>
      <w:r w:rsidR="006C0C30">
        <w:t xml:space="preserve">tovary a služby (o </w:t>
      </w:r>
      <w:r w:rsidR="00CA000D">
        <w:t>6</w:t>
      </w:r>
      <w:r w:rsidR="006C0C30">
        <w:t>,</w:t>
      </w:r>
      <w:r w:rsidR="00CA000D">
        <w:t>9</w:t>
      </w:r>
      <w:r w:rsidR="006C0C30">
        <w:t xml:space="preserve"> mil. eur). </w:t>
      </w:r>
      <w:r w:rsidR="00CA000D">
        <w:t>Celkové zníženie spôsobia kapitálové výdavky s poklesom o 73,3 mil. eur spolu s finančnými operáciami (pokles o 40 mil. eur) (tabuľka 1</w:t>
      </w:r>
      <w:r w:rsidR="00041ECD">
        <w:t>6</w:t>
      </w:r>
      <w:r w:rsidR="00CA000D">
        <w:t>).</w:t>
      </w:r>
    </w:p>
    <w:p w14:paraId="1B486FEB" w14:textId="021609A8" w:rsidR="00F52935" w:rsidRDefault="006C0C30" w:rsidP="006C0C30">
      <w:r w:rsidRPr="00F52935">
        <w:rPr>
          <w:b/>
        </w:rPr>
        <w:t xml:space="preserve">Z hľadiska štruktúry výdavkov je dôležité spomenúť </w:t>
      </w:r>
      <w:r w:rsidR="00790C32">
        <w:rPr>
          <w:b/>
        </w:rPr>
        <w:t>p</w:t>
      </w:r>
      <w:r w:rsidRPr="00F52935">
        <w:rPr>
          <w:b/>
        </w:rPr>
        <w:t>rekročenie schváleného rozpočtu hlavne v kapitálových výdavkoch</w:t>
      </w:r>
      <w:r w:rsidR="00324BC4">
        <w:rPr>
          <w:b/>
        </w:rPr>
        <w:t>, ktoré ale zaostávajú za rokom 2023</w:t>
      </w:r>
      <w:r w:rsidR="00AB60BA">
        <w:rPr>
          <w:b/>
        </w:rPr>
        <w:t>.</w:t>
      </w:r>
      <w:r>
        <w:t xml:space="preserve"> </w:t>
      </w:r>
      <w:r w:rsidR="00AB60BA">
        <w:t>R</w:t>
      </w:r>
      <w:r>
        <w:t xml:space="preserve">ozpočet </w:t>
      </w:r>
      <w:r w:rsidR="00790C32">
        <w:t xml:space="preserve">kapitálových výdavkov </w:t>
      </w:r>
      <w:r>
        <w:t xml:space="preserve">na rok 2024 bol </w:t>
      </w:r>
      <w:r w:rsidR="00AB60BA">
        <w:t xml:space="preserve">pôvodne schválený vo výške </w:t>
      </w:r>
      <w:r>
        <w:t>18</w:t>
      </w:r>
      <w:r w:rsidR="00CA000D">
        <w:t>1,5</w:t>
      </w:r>
      <w:r>
        <w:t xml:space="preserve"> mil. eur, </w:t>
      </w:r>
      <w:r w:rsidR="00CA000D">
        <w:t xml:space="preserve">pričom očakávaný stav </w:t>
      </w:r>
      <w:r w:rsidR="00AB60BA">
        <w:t>j</w:t>
      </w:r>
      <w:r>
        <w:t>e 275 mil. eur</w:t>
      </w:r>
      <w:r w:rsidR="00CA000D">
        <w:t>.</w:t>
      </w:r>
      <w:r w:rsidR="003C1974" w:rsidRPr="003C1974">
        <w:rPr>
          <w:iCs/>
        </w:rPr>
        <w:t xml:space="preserve"> </w:t>
      </w:r>
      <w:r w:rsidR="003C1974" w:rsidRPr="000C6806">
        <w:rPr>
          <w:iCs/>
        </w:rPr>
        <w:t xml:space="preserve">K </w:t>
      </w:r>
      <w:r w:rsidR="003C1974">
        <w:rPr>
          <w:iCs/>
        </w:rPr>
        <w:t> </w:t>
      </w:r>
      <w:r w:rsidR="003C1974" w:rsidRPr="000C6806">
        <w:rPr>
          <w:iCs/>
        </w:rPr>
        <w:t xml:space="preserve">uvedenej skutočnosti dochádza z dôvodu, že jednotlivé rozpočtové kapitoly  nerozpočtujú v plnej miere transfery na kapitálové výdavky pre VÚC v rámci </w:t>
      </w:r>
      <w:r w:rsidR="003C1974">
        <w:rPr>
          <w:iCs/>
        </w:rPr>
        <w:t>RVS</w:t>
      </w:r>
      <w:r w:rsidR="003C1974" w:rsidRPr="000C6806">
        <w:rPr>
          <w:iCs/>
        </w:rPr>
        <w:t>, pričom do rozpočtov VÚC ich zapájajú rozpočtovými opatreniami až v priebehu rozpočtového roka</w:t>
      </w:r>
      <w:r w:rsidR="003C1974">
        <w:rPr>
          <w:iCs/>
        </w:rPr>
        <w:t>.</w:t>
      </w:r>
    </w:p>
    <w:p w14:paraId="6304EAD5" w14:textId="647FBAC7" w:rsidR="006C0C30" w:rsidRPr="00FE7976" w:rsidRDefault="006C0C30" w:rsidP="006C0C30">
      <w:pPr>
        <w:keepNext/>
        <w:spacing w:after="80" w:line="240" w:lineRule="auto"/>
        <w:rPr>
          <w:b/>
          <w:color w:val="314364"/>
          <w:szCs w:val="20"/>
        </w:rPr>
      </w:pPr>
      <w:r w:rsidRPr="00FE7976">
        <w:rPr>
          <w:b/>
          <w:color w:val="314364"/>
          <w:szCs w:val="20"/>
        </w:rPr>
        <w:lastRenderedPageBreak/>
        <w:t xml:space="preserve">Tabuľka </w:t>
      </w:r>
      <w:r w:rsidR="00F52935">
        <w:rPr>
          <w:b/>
          <w:color w:val="314364"/>
          <w:szCs w:val="20"/>
        </w:rPr>
        <w:t>1</w:t>
      </w:r>
      <w:r w:rsidR="00041ECD">
        <w:rPr>
          <w:b/>
          <w:color w:val="314364"/>
          <w:szCs w:val="20"/>
        </w:rPr>
        <w:t>6</w:t>
      </w:r>
      <w:r w:rsidR="00F52935">
        <w:rPr>
          <w:b/>
          <w:color w:val="314364"/>
          <w:szCs w:val="20"/>
        </w:rPr>
        <w:t>:</w:t>
      </w:r>
      <w:r w:rsidRPr="00FE7976">
        <w:rPr>
          <w:b/>
          <w:color w:val="314364"/>
          <w:szCs w:val="20"/>
        </w:rPr>
        <w:t xml:space="preserve"> Výdavky VÚC podľa metodiky ESA 2010 (v tis. eur)</w:t>
      </w:r>
    </w:p>
    <w:tbl>
      <w:tblPr>
        <w:tblStyle w:val="Mriekatabuky"/>
        <w:tblpPr w:leftFromText="141" w:rightFromText="141" w:vertAnchor="text" w:horzAnchor="margin" w:tblpY="-56"/>
        <w:tblW w:w="9067"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288"/>
        <w:gridCol w:w="851"/>
        <w:gridCol w:w="983"/>
        <w:gridCol w:w="1001"/>
        <w:gridCol w:w="149"/>
        <w:gridCol w:w="985"/>
        <w:gridCol w:w="1418"/>
        <w:gridCol w:w="1412"/>
      </w:tblGrid>
      <w:tr w:rsidR="006C0C30" w:rsidRPr="007F6F2B" w14:paraId="5AA1D8B1" w14:textId="77777777" w:rsidTr="00B57EEC">
        <w:trPr>
          <w:trHeight w:hRule="exact" w:val="284"/>
        </w:trPr>
        <w:tc>
          <w:tcPr>
            <w:tcW w:w="2268" w:type="dxa"/>
            <w:gridSpan w:val="2"/>
            <w:shd w:val="clear" w:color="auto" w:fill="314364"/>
            <w:vAlign w:val="center"/>
          </w:tcPr>
          <w:p w14:paraId="4EB1CA70" w14:textId="77777777" w:rsidR="006C0C30" w:rsidRPr="00977000" w:rsidRDefault="006C0C30" w:rsidP="00B57EEC">
            <w:pPr>
              <w:jc w:val="left"/>
              <w:rPr>
                <w:rFonts w:eastAsia="Times New Roman" w:cs="Segoe UI"/>
                <w:b/>
                <w:bCs/>
                <w:color w:val="FFFFFF"/>
                <w:sz w:val="18"/>
                <w:szCs w:val="18"/>
                <w:lang w:eastAsia="sk-SK" w:bidi="sk-SK"/>
              </w:rPr>
            </w:pPr>
            <w:r w:rsidRPr="00977000">
              <w:rPr>
                <w:rFonts w:eastAsia="Times New Roman" w:cs="Segoe UI"/>
                <w:b/>
                <w:bCs/>
                <w:color w:val="FFFFFF"/>
                <w:sz w:val="18"/>
                <w:szCs w:val="18"/>
                <w:lang w:eastAsia="sk-SK" w:bidi="sk-SK"/>
              </w:rPr>
              <w:t>Zložky výdavkov VÚC</w:t>
            </w:r>
          </w:p>
        </w:tc>
        <w:tc>
          <w:tcPr>
            <w:tcW w:w="851" w:type="dxa"/>
            <w:shd w:val="clear" w:color="auto" w:fill="314364"/>
            <w:vAlign w:val="center"/>
          </w:tcPr>
          <w:p w14:paraId="15B01B75" w14:textId="77777777" w:rsidR="006C0C30" w:rsidRPr="00977000" w:rsidRDefault="006C0C30" w:rsidP="00B57EEC">
            <w:pPr>
              <w:ind w:left="-640" w:right="-73" w:hanging="284"/>
              <w:jc w:val="right"/>
              <w:rPr>
                <w:rFonts w:eastAsia="Times New Roman" w:cs="Segoe UI"/>
                <w:b/>
                <w:color w:val="FFFFFF" w:themeColor="background1"/>
                <w:sz w:val="18"/>
                <w:szCs w:val="18"/>
                <w:lang w:eastAsia="sk-SK"/>
              </w:rPr>
            </w:pPr>
            <w:r w:rsidRPr="00977000">
              <w:rPr>
                <w:rFonts w:eastAsia="Times New Roman" w:cs="Segoe UI"/>
                <w:b/>
                <w:color w:val="FFFFFF" w:themeColor="background1"/>
                <w:sz w:val="18"/>
                <w:szCs w:val="18"/>
                <w:lang w:eastAsia="sk-SK"/>
              </w:rPr>
              <w:t>2023 S</w:t>
            </w:r>
          </w:p>
        </w:tc>
        <w:tc>
          <w:tcPr>
            <w:tcW w:w="983" w:type="dxa"/>
            <w:shd w:val="clear" w:color="auto" w:fill="314364"/>
            <w:vAlign w:val="center"/>
          </w:tcPr>
          <w:p w14:paraId="201A1925" w14:textId="77777777" w:rsidR="006C0C30" w:rsidRPr="00977000" w:rsidRDefault="006C0C30" w:rsidP="00B57EEC">
            <w:pPr>
              <w:ind w:left="-640" w:right="-73" w:hanging="284"/>
              <w:jc w:val="right"/>
              <w:rPr>
                <w:rFonts w:eastAsia="Times New Roman" w:cs="Segoe UI"/>
                <w:b/>
                <w:color w:val="FFFFFF" w:themeColor="background1"/>
                <w:sz w:val="18"/>
                <w:szCs w:val="18"/>
                <w:lang w:eastAsia="sk-SK"/>
              </w:rPr>
            </w:pPr>
            <w:r w:rsidRPr="00977000">
              <w:rPr>
                <w:rFonts w:eastAsia="Times New Roman" w:cs="Segoe UI"/>
                <w:b/>
                <w:color w:val="FFFFFF" w:themeColor="background1"/>
                <w:sz w:val="18"/>
                <w:szCs w:val="18"/>
                <w:lang w:eastAsia="sk-SK"/>
              </w:rPr>
              <w:t>2024 R</w:t>
            </w:r>
          </w:p>
        </w:tc>
        <w:tc>
          <w:tcPr>
            <w:tcW w:w="1150" w:type="dxa"/>
            <w:gridSpan w:val="2"/>
            <w:shd w:val="clear" w:color="auto" w:fill="314364"/>
            <w:vAlign w:val="center"/>
          </w:tcPr>
          <w:p w14:paraId="2443586A" w14:textId="77777777" w:rsidR="006C0C30" w:rsidRPr="00977000" w:rsidRDefault="006C0C30" w:rsidP="00B57EEC">
            <w:pPr>
              <w:ind w:left="-640" w:right="44" w:hanging="284"/>
              <w:jc w:val="right"/>
              <w:rPr>
                <w:rFonts w:eastAsia="Times New Roman" w:cs="Segoe UI"/>
                <w:b/>
                <w:color w:val="FFFFFF" w:themeColor="background1"/>
                <w:sz w:val="18"/>
                <w:szCs w:val="18"/>
                <w:lang w:eastAsia="sk-SK"/>
              </w:rPr>
            </w:pPr>
            <w:r w:rsidRPr="00977000">
              <w:rPr>
                <w:rFonts w:eastAsia="Times New Roman" w:cs="Segoe UI"/>
                <w:b/>
                <w:color w:val="FFFFFF" w:themeColor="background1"/>
                <w:sz w:val="18"/>
                <w:szCs w:val="18"/>
                <w:lang w:eastAsia="sk-SK"/>
              </w:rPr>
              <w:t>2024 OS</w:t>
            </w:r>
          </w:p>
        </w:tc>
        <w:tc>
          <w:tcPr>
            <w:tcW w:w="985" w:type="dxa"/>
            <w:shd w:val="clear" w:color="auto" w:fill="314364"/>
            <w:vAlign w:val="center"/>
          </w:tcPr>
          <w:p w14:paraId="46A3A849" w14:textId="77777777" w:rsidR="006C0C30" w:rsidRPr="00977000" w:rsidRDefault="006C0C30" w:rsidP="00B57EEC">
            <w:pPr>
              <w:ind w:left="-640" w:right="-73" w:hanging="284"/>
              <w:jc w:val="right"/>
              <w:rPr>
                <w:rFonts w:eastAsia="Times New Roman" w:cs="Segoe UI"/>
                <w:b/>
                <w:color w:val="FFFFFF" w:themeColor="background1"/>
                <w:sz w:val="18"/>
                <w:szCs w:val="18"/>
                <w:lang w:eastAsia="sk-SK"/>
              </w:rPr>
            </w:pPr>
            <w:r w:rsidRPr="00977000">
              <w:rPr>
                <w:rFonts w:eastAsia="Times New Roman" w:cs="Segoe UI"/>
                <w:b/>
                <w:color w:val="FFFFFF" w:themeColor="background1"/>
                <w:sz w:val="18"/>
                <w:szCs w:val="18"/>
                <w:lang w:eastAsia="sk-SK"/>
              </w:rPr>
              <w:t>2025 N</w:t>
            </w:r>
          </w:p>
        </w:tc>
        <w:tc>
          <w:tcPr>
            <w:tcW w:w="1418" w:type="dxa"/>
            <w:shd w:val="clear" w:color="auto" w:fill="314364"/>
            <w:vAlign w:val="center"/>
          </w:tcPr>
          <w:p w14:paraId="0F7BC0D4" w14:textId="77777777" w:rsidR="006C0C30" w:rsidRPr="00977000" w:rsidRDefault="006C0C30" w:rsidP="00B57EEC">
            <w:pPr>
              <w:ind w:left="-640" w:right="-73" w:hanging="284"/>
              <w:jc w:val="right"/>
              <w:rPr>
                <w:rFonts w:eastAsia="Times New Roman" w:cs="Segoe UI"/>
                <w:b/>
                <w:color w:val="FFFFFF" w:themeColor="background1"/>
                <w:sz w:val="18"/>
                <w:szCs w:val="18"/>
                <w:lang w:eastAsia="sk-SK"/>
              </w:rPr>
            </w:pPr>
            <w:r>
              <w:rPr>
                <w:rFonts w:eastAsia="Times New Roman" w:cs="Segoe UI"/>
                <w:b/>
                <w:color w:val="FFFFFF" w:themeColor="background1"/>
                <w:sz w:val="18"/>
                <w:szCs w:val="18"/>
                <w:lang w:eastAsia="sk-SK"/>
              </w:rPr>
              <w:t>2025N-2024</w:t>
            </w:r>
            <w:r w:rsidRPr="00977000">
              <w:rPr>
                <w:rFonts w:eastAsia="Times New Roman" w:cs="Segoe UI"/>
                <w:b/>
                <w:color w:val="FFFFFF" w:themeColor="background1"/>
                <w:sz w:val="18"/>
                <w:szCs w:val="18"/>
                <w:lang w:eastAsia="sk-SK"/>
              </w:rPr>
              <w:t>R</w:t>
            </w:r>
          </w:p>
        </w:tc>
        <w:tc>
          <w:tcPr>
            <w:tcW w:w="1412" w:type="dxa"/>
            <w:shd w:val="clear" w:color="auto" w:fill="314364"/>
            <w:vAlign w:val="center"/>
          </w:tcPr>
          <w:p w14:paraId="19A1435C" w14:textId="77777777" w:rsidR="006C0C30" w:rsidRPr="00CA0AF4" w:rsidRDefault="006C0C30" w:rsidP="00B57EEC">
            <w:pPr>
              <w:ind w:left="214" w:hanging="3666"/>
              <w:jc w:val="right"/>
              <w:rPr>
                <w:rFonts w:eastAsia="Times New Roman" w:cs="Segoe UI"/>
                <w:b/>
                <w:bCs/>
                <w:color w:val="FFFFFF"/>
                <w:sz w:val="18"/>
                <w:szCs w:val="18"/>
                <w:lang w:eastAsia="sk-SK"/>
              </w:rPr>
            </w:pPr>
            <w:r w:rsidRPr="00CA0AF4">
              <w:rPr>
                <w:rFonts w:eastAsia="Times New Roman" w:cs="Segoe UI"/>
                <w:b/>
                <w:bCs/>
                <w:color w:val="FFFFFF"/>
                <w:sz w:val="18"/>
                <w:szCs w:val="18"/>
                <w:lang w:eastAsia="sk-SK"/>
              </w:rPr>
              <w:t>2025N/2024R</w:t>
            </w:r>
          </w:p>
        </w:tc>
      </w:tr>
      <w:tr w:rsidR="006C0C30" w:rsidRPr="007F6F2B" w14:paraId="41FCE0DC" w14:textId="77777777" w:rsidTr="00B57EEC">
        <w:trPr>
          <w:trHeight w:hRule="exact" w:val="284"/>
        </w:trPr>
        <w:tc>
          <w:tcPr>
            <w:tcW w:w="1980" w:type="dxa"/>
          </w:tcPr>
          <w:p w14:paraId="0E02E7F4" w14:textId="77777777" w:rsidR="006C0C30" w:rsidRPr="00977000" w:rsidRDefault="006C0C30" w:rsidP="00B57EEC">
            <w:pPr>
              <w:keepNext/>
              <w:widowControl w:val="0"/>
              <w:jc w:val="left"/>
              <w:rPr>
                <w:rFonts w:eastAsia="Times New Roman" w:cs="Segoe UI"/>
                <w:b/>
                <w:bCs/>
                <w:sz w:val="18"/>
                <w:szCs w:val="18"/>
                <w:lang w:eastAsia="sk-SK" w:bidi="sk-SK"/>
              </w:rPr>
            </w:pPr>
            <w:r w:rsidRPr="00977000">
              <w:rPr>
                <w:rFonts w:eastAsia="Times New Roman" w:cs="Segoe UI"/>
                <w:b/>
                <w:bCs/>
                <w:sz w:val="18"/>
                <w:szCs w:val="18"/>
                <w:lang w:eastAsia="sk-SK" w:bidi="sk-SK"/>
              </w:rPr>
              <w:t>Bežné výdavky</w:t>
            </w:r>
          </w:p>
        </w:tc>
        <w:tc>
          <w:tcPr>
            <w:tcW w:w="1139" w:type="dxa"/>
            <w:gridSpan w:val="2"/>
          </w:tcPr>
          <w:p w14:paraId="20893377" w14:textId="77777777" w:rsidR="006C0C30" w:rsidRPr="00977000" w:rsidRDefault="006C0C30" w:rsidP="00B57EEC">
            <w:pPr>
              <w:ind w:left="-640" w:right="-73" w:hanging="284"/>
              <w:jc w:val="right"/>
              <w:rPr>
                <w:rFonts w:eastAsia="Times New Roman" w:cs="Segoe UI"/>
                <w:b/>
                <w:bCs/>
                <w:color w:val="000000"/>
                <w:sz w:val="18"/>
                <w:szCs w:val="18"/>
                <w:lang w:eastAsia="sk-SK"/>
              </w:rPr>
            </w:pPr>
            <w:r w:rsidRPr="00977000">
              <w:rPr>
                <w:rFonts w:eastAsia="Times New Roman" w:cs="Segoe UI"/>
                <w:b/>
                <w:bCs/>
                <w:color w:val="000000"/>
                <w:sz w:val="18"/>
                <w:szCs w:val="18"/>
                <w:lang w:eastAsia="sk-SK"/>
              </w:rPr>
              <w:t xml:space="preserve">   1 817 129 </w:t>
            </w:r>
          </w:p>
          <w:p w14:paraId="4A881C12" w14:textId="77777777" w:rsidR="006C0C30" w:rsidRPr="00977000" w:rsidRDefault="006C0C30" w:rsidP="00B57EEC">
            <w:pPr>
              <w:keepNext/>
              <w:widowControl w:val="0"/>
              <w:ind w:left="-640" w:right="-73" w:hanging="284"/>
              <w:jc w:val="right"/>
              <w:rPr>
                <w:rFonts w:eastAsia="Times New Roman" w:cs="Segoe UI"/>
                <w:b/>
                <w:bCs/>
                <w:color w:val="000000"/>
                <w:sz w:val="18"/>
                <w:szCs w:val="18"/>
                <w:lang w:eastAsia="sk-SK"/>
              </w:rPr>
            </w:pPr>
          </w:p>
        </w:tc>
        <w:tc>
          <w:tcPr>
            <w:tcW w:w="983" w:type="dxa"/>
          </w:tcPr>
          <w:p w14:paraId="62A9AF16" w14:textId="77777777" w:rsidR="006C0C30" w:rsidRPr="00977000" w:rsidRDefault="006C0C30" w:rsidP="00B57EEC">
            <w:pPr>
              <w:ind w:left="-640" w:right="-73" w:hanging="284"/>
              <w:jc w:val="right"/>
              <w:rPr>
                <w:rFonts w:eastAsia="Times New Roman" w:cs="Segoe UI"/>
                <w:b/>
                <w:bCs/>
                <w:color w:val="000000"/>
                <w:sz w:val="18"/>
                <w:szCs w:val="18"/>
                <w:lang w:eastAsia="sk-SK"/>
              </w:rPr>
            </w:pPr>
            <w:r w:rsidRPr="00977000">
              <w:rPr>
                <w:rFonts w:eastAsia="Times New Roman" w:cs="Segoe UI"/>
                <w:b/>
                <w:bCs/>
                <w:color w:val="000000"/>
                <w:sz w:val="18"/>
                <w:szCs w:val="18"/>
                <w:lang w:eastAsia="sk-SK"/>
              </w:rPr>
              <w:t xml:space="preserve">   1 910 889 </w:t>
            </w:r>
          </w:p>
          <w:p w14:paraId="22AEC2F3" w14:textId="77777777" w:rsidR="006C0C30" w:rsidRPr="00977000" w:rsidRDefault="006C0C30" w:rsidP="00B57EEC">
            <w:pPr>
              <w:keepNext/>
              <w:widowControl w:val="0"/>
              <w:ind w:left="-640" w:right="-73" w:hanging="284"/>
              <w:jc w:val="right"/>
              <w:rPr>
                <w:rFonts w:eastAsia="Times New Roman" w:cs="Segoe UI"/>
                <w:b/>
                <w:bCs/>
                <w:color w:val="000000"/>
                <w:sz w:val="18"/>
                <w:szCs w:val="18"/>
                <w:lang w:eastAsia="sk-SK"/>
              </w:rPr>
            </w:pPr>
          </w:p>
        </w:tc>
        <w:tc>
          <w:tcPr>
            <w:tcW w:w="1001" w:type="dxa"/>
          </w:tcPr>
          <w:p w14:paraId="2579A398" w14:textId="77777777" w:rsidR="006C0C30" w:rsidRPr="00977000" w:rsidRDefault="006C0C30" w:rsidP="00B57EEC">
            <w:pPr>
              <w:ind w:left="-640" w:right="-106" w:hanging="284"/>
              <w:jc w:val="right"/>
              <w:rPr>
                <w:rFonts w:eastAsia="Times New Roman" w:cs="Segoe UI"/>
                <w:b/>
                <w:bCs/>
                <w:color w:val="000000"/>
                <w:sz w:val="18"/>
                <w:szCs w:val="18"/>
                <w:lang w:eastAsia="sk-SK"/>
              </w:rPr>
            </w:pPr>
            <w:r w:rsidRPr="00977000">
              <w:rPr>
                <w:rFonts w:eastAsia="Times New Roman" w:cs="Segoe UI"/>
                <w:b/>
                <w:bCs/>
                <w:color w:val="000000"/>
                <w:sz w:val="18"/>
                <w:szCs w:val="18"/>
                <w:lang w:eastAsia="sk-SK"/>
              </w:rPr>
              <w:t xml:space="preserve">   1 930 526 </w:t>
            </w:r>
          </w:p>
          <w:p w14:paraId="4685C45A" w14:textId="77777777" w:rsidR="006C0C30" w:rsidRPr="00977000" w:rsidRDefault="006C0C30" w:rsidP="00B57EEC">
            <w:pPr>
              <w:keepNext/>
              <w:widowControl w:val="0"/>
              <w:ind w:left="-640" w:right="-106" w:hanging="284"/>
              <w:jc w:val="right"/>
              <w:rPr>
                <w:rFonts w:eastAsia="Times New Roman" w:cs="Segoe UI"/>
                <w:b/>
                <w:bCs/>
                <w:color w:val="000000"/>
                <w:sz w:val="18"/>
                <w:szCs w:val="18"/>
                <w:lang w:eastAsia="sk-SK"/>
              </w:rPr>
            </w:pPr>
          </w:p>
        </w:tc>
        <w:tc>
          <w:tcPr>
            <w:tcW w:w="1134" w:type="dxa"/>
            <w:gridSpan w:val="2"/>
          </w:tcPr>
          <w:p w14:paraId="14CA8B23" w14:textId="77777777" w:rsidR="006C0C30" w:rsidRPr="00977000" w:rsidRDefault="006C0C30" w:rsidP="00B57EEC">
            <w:pPr>
              <w:ind w:left="-640" w:right="-73" w:hanging="284"/>
              <w:jc w:val="right"/>
              <w:rPr>
                <w:rFonts w:eastAsia="Times New Roman" w:cs="Segoe UI"/>
                <w:b/>
                <w:bCs/>
                <w:color w:val="000000"/>
                <w:sz w:val="18"/>
                <w:szCs w:val="18"/>
                <w:lang w:eastAsia="sk-SK"/>
              </w:rPr>
            </w:pPr>
            <w:r w:rsidRPr="00977000">
              <w:rPr>
                <w:rFonts w:eastAsia="Times New Roman" w:cs="Segoe UI"/>
                <w:b/>
                <w:bCs/>
                <w:color w:val="000000"/>
                <w:sz w:val="18"/>
                <w:szCs w:val="18"/>
                <w:lang w:eastAsia="sk-SK"/>
              </w:rPr>
              <w:t xml:space="preserve">   1 995 765 </w:t>
            </w:r>
          </w:p>
          <w:p w14:paraId="39487A68" w14:textId="77777777" w:rsidR="006C0C30" w:rsidRPr="00977000" w:rsidRDefault="006C0C30" w:rsidP="00B57EEC">
            <w:pPr>
              <w:keepNext/>
              <w:widowControl w:val="0"/>
              <w:ind w:left="-640" w:right="-73" w:hanging="284"/>
              <w:jc w:val="right"/>
              <w:rPr>
                <w:rFonts w:eastAsia="Times New Roman" w:cs="Segoe UI"/>
                <w:b/>
                <w:bCs/>
                <w:color w:val="000000"/>
                <w:sz w:val="18"/>
                <w:szCs w:val="18"/>
                <w:lang w:eastAsia="sk-SK"/>
              </w:rPr>
            </w:pPr>
          </w:p>
        </w:tc>
        <w:tc>
          <w:tcPr>
            <w:tcW w:w="1418" w:type="dxa"/>
          </w:tcPr>
          <w:p w14:paraId="2C8CC691" w14:textId="77777777" w:rsidR="006C0C30" w:rsidRPr="00977000" w:rsidRDefault="006C0C30" w:rsidP="00B57EEC">
            <w:pPr>
              <w:ind w:left="-640" w:right="-73" w:hanging="284"/>
              <w:jc w:val="right"/>
              <w:rPr>
                <w:rFonts w:eastAsia="Times New Roman" w:cs="Segoe UI"/>
                <w:b/>
                <w:bCs/>
                <w:color w:val="000000"/>
                <w:sz w:val="18"/>
                <w:szCs w:val="18"/>
                <w:lang w:eastAsia="sk-SK"/>
              </w:rPr>
            </w:pPr>
            <w:r w:rsidRPr="00977000">
              <w:rPr>
                <w:rFonts w:eastAsia="Times New Roman" w:cs="Segoe UI"/>
                <w:b/>
                <w:bCs/>
                <w:color w:val="000000"/>
                <w:sz w:val="18"/>
                <w:szCs w:val="18"/>
                <w:lang w:eastAsia="sk-SK"/>
              </w:rPr>
              <w:t xml:space="preserve">                84 876 </w:t>
            </w:r>
          </w:p>
          <w:p w14:paraId="2FAA79E6" w14:textId="77777777" w:rsidR="006C0C30" w:rsidRPr="00977000" w:rsidRDefault="006C0C30" w:rsidP="00B57EEC">
            <w:pPr>
              <w:keepNext/>
              <w:widowControl w:val="0"/>
              <w:ind w:left="-640" w:right="-73" w:hanging="284"/>
              <w:jc w:val="right"/>
              <w:rPr>
                <w:rFonts w:eastAsia="Times New Roman" w:cs="Segoe UI"/>
                <w:b/>
                <w:bCs/>
                <w:color w:val="000000"/>
                <w:sz w:val="18"/>
                <w:szCs w:val="18"/>
                <w:lang w:eastAsia="sk-SK"/>
              </w:rPr>
            </w:pPr>
          </w:p>
        </w:tc>
        <w:tc>
          <w:tcPr>
            <w:tcW w:w="1412" w:type="dxa"/>
          </w:tcPr>
          <w:p w14:paraId="3A134280" w14:textId="77777777" w:rsidR="006C0C30" w:rsidRPr="00977000" w:rsidRDefault="006C0C30" w:rsidP="00B57EEC">
            <w:pPr>
              <w:ind w:left="-640" w:right="-73" w:hanging="284"/>
              <w:jc w:val="right"/>
              <w:rPr>
                <w:rFonts w:eastAsia="Times New Roman" w:cs="Segoe UI"/>
                <w:b/>
                <w:bCs/>
                <w:color w:val="000000"/>
                <w:sz w:val="18"/>
                <w:szCs w:val="18"/>
                <w:lang w:eastAsia="sk-SK"/>
              </w:rPr>
            </w:pPr>
            <w:r w:rsidRPr="00977000">
              <w:rPr>
                <w:rFonts w:eastAsia="Times New Roman" w:cs="Segoe UI"/>
                <w:b/>
                <w:bCs/>
                <w:color w:val="000000"/>
                <w:sz w:val="18"/>
                <w:szCs w:val="18"/>
                <w:lang w:eastAsia="sk-SK"/>
              </w:rPr>
              <w:t xml:space="preserve">                  104,4 </w:t>
            </w:r>
          </w:p>
          <w:p w14:paraId="0FEAE917" w14:textId="77777777" w:rsidR="006C0C30" w:rsidRPr="00977000" w:rsidRDefault="006C0C30" w:rsidP="00B57EEC">
            <w:pPr>
              <w:keepNext/>
              <w:widowControl w:val="0"/>
              <w:ind w:left="-640" w:right="-73" w:hanging="284"/>
              <w:jc w:val="right"/>
              <w:rPr>
                <w:rFonts w:eastAsia="Times New Roman" w:cs="Segoe UI"/>
                <w:b/>
                <w:bCs/>
                <w:color w:val="000000"/>
                <w:sz w:val="18"/>
                <w:szCs w:val="18"/>
                <w:lang w:eastAsia="sk-SK"/>
              </w:rPr>
            </w:pPr>
          </w:p>
        </w:tc>
      </w:tr>
      <w:tr w:rsidR="006C0C30" w:rsidRPr="007F6F2B" w14:paraId="09513D2B" w14:textId="77777777" w:rsidTr="00B57EEC">
        <w:trPr>
          <w:trHeight w:hRule="exact" w:val="227"/>
        </w:trPr>
        <w:tc>
          <w:tcPr>
            <w:tcW w:w="1980" w:type="dxa"/>
          </w:tcPr>
          <w:p w14:paraId="1D4B3908" w14:textId="77777777" w:rsidR="006C0C30" w:rsidRPr="00760699" w:rsidRDefault="006C0C30" w:rsidP="006C0C30">
            <w:pPr>
              <w:pStyle w:val="Odsekzoznamu"/>
              <w:keepNext/>
              <w:widowControl w:val="0"/>
              <w:numPr>
                <w:ilvl w:val="0"/>
                <w:numId w:val="37"/>
              </w:numPr>
              <w:spacing w:after="0" w:line="240" w:lineRule="auto"/>
              <w:ind w:left="598" w:hanging="283"/>
              <w:jc w:val="left"/>
              <w:rPr>
                <w:rFonts w:eastAsia="Times New Roman" w:cs="Segoe UI"/>
                <w:sz w:val="16"/>
                <w:szCs w:val="16"/>
              </w:rPr>
            </w:pPr>
            <w:r w:rsidRPr="00760699">
              <w:rPr>
                <w:rFonts w:eastAsia="Times New Roman" w:cs="Segoe UI"/>
                <w:sz w:val="16"/>
                <w:szCs w:val="16"/>
              </w:rPr>
              <w:t>Mzdy a odvody</w:t>
            </w:r>
          </w:p>
        </w:tc>
        <w:tc>
          <w:tcPr>
            <w:tcW w:w="1139" w:type="dxa"/>
            <w:gridSpan w:val="2"/>
          </w:tcPr>
          <w:p w14:paraId="69D7AAF7" w14:textId="77777777" w:rsidR="006C0C30" w:rsidRPr="00760699" w:rsidRDefault="006C0C30" w:rsidP="00B57EEC">
            <w:pPr>
              <w:ind w:left="-640" w:right="-73" w:hanging="284"/>
              <w:jc w:val="right"/>
              <w:rPr>
                <w:rFonts w:eastAsia="Times New Roman" w:cs="Segoe UI"/>
                <w:color w:val="000000"/>
                <w:sz w:val="16"/>
                <w:szCs w:val="16"/>
                <w:lang w:eastAsia="sk-SK"/>
              </w:rPr>
            </w:pPr>
            <w:r w:rsidRPr="00760699">
              <w:rPr>
                <w:rFonts w:eastAsia="Times New Roman" w:cs="Segoe UI"/>
                <w:color w:val="000000"/>
                <w:sz w:val="16"/>
                <w:szCs w:val="16"/>
                <w:lang w:eastAsia="sk-SK"/>
              </w:rPr>
              <w:t xml:space="preserve">       625 192 </w:t>
            </w:r>
          </w:p>
          <w:p w14:paraId="11C6B560" w14:textId="77777777" w:rsidR="006C0C30" w:rsidRPr="00760699" w:rsidRDefault="006C0C30" w:rsidP="00B57EEC">
            <w:pPr>
              <w:keepNext/>
              <w:widowControl w:val="0"/>
              <w:ind w:left="-640" w:right="-73" w:hanging="284"/>
              <w:jc w:val="right"/>
              <w:rPr>
                <w:rFonts w:eastAsia="Times New Roman" w:cs="Segoe UI"/>
                <w:color w:val="000000"/>
                <w:sz w:val="16"/>
                <w:szCs w:val="16"/>
                <w:lang w:eastAsia="sk-SK"/>
              </w:rPr>
            </w:pPr>
          </w:p>
        </w:tc>
        <w:tc>
          <w:tcPr>
            <w:tcW w:w="983" w:type="dxa"/>
          </w:tcPr>
          <w:p w14:paraId="0F28F015" w14:textId="77777777" w:rsidR="006C0C30" w:rsidRPr="00760699" w:rsidRDefault="006C0C30" w:rsidP="00B57EEC">
            <w:pPr>
              <w:ind w:left="-640" w:right="-73" w:hanging="284"/>
              <w:jc w:val="right"/>
              <w:rPr>
                <w:rFonts w:eastAsia="Times New Roman" w:cs="Segoe UI"/>
                <w:color w:val="000000"/>
                <w:sz w:val="16"/>
                <w:szCs w:val="16"/>
                <w:lang w:eastAsia="sk-SK"/>
              </w:rPr>
            </w:pPr>
            <w:r w:rsidRPr="00760699">
              <w:rPr>
                <w:rFonts w:eastAsia="Times New Roman" w:cs="Segoe UI"/>
                <w:color w:val="000000"/>
                <w:sz w:val="16"/>
                <w:szCs w:val="16"/>
                <w:lang w:eastAsia="sk-SK"/>
              </w:rPr>
              <w:t xml:space="preserve">       738 486 </w:t>
            </w:r>
          </w:p>
          <w:p w14:paraId="308EFEB1" w14:textId="77777777" w:rsidR="006C0C30" w:rsidRPr="00760699" w:rsidRDefault="006C0C30" w:rsidP="00B57EEC">
            <w:pPr>
              <w:keepNext/>
              <w:widowControl w:val="0"/>
              <w:ind w:left="-640" w:right="-73" w:hanging="284"/>
              <w:jc w:val="right"/>
              <w:rPr>
                <w:rFonts w:eastAsia="Times New Roman" w:cs="Segoe UI"/>
                <w:color w:val="000000"/>
                <w:sz w:val="16"/>
                <w:szCs w:val="16"/>
                <w:lang w:eastAsia="sk-SK"/>
              </w:rPr>
            </w:pPr>
          </w:p>
        </w:tc>
        <w:tc>
          <w:tcPr>
            <w:tcW w:w="1001" w:type="dxa"/>
          </w:tcPr>
          <w:p w14:paraId="78CD9474" w14:textId="77777777" w:rsidR="006C0C30" w:rsidRPr="00760699" w:rsidRDefault="006C0C30" w:rsidP="00B57EEC">
            <w:pPr>
              <w:ind w:left="-640" w:right="-106" w:hanging="284"/>
              <w:jc w:val="right"/>
              <w:rPr>
                <w:rFonts w:eastAsia="Times New Roman" w:cs="Segoe UI"/>
                <w:color w:val="000000"/>
                <w:sz w:val="16"/>
                <w:szCs w:val="16"/>
                <w:lang w:eastAsia="sk-SK"/>
              </w:rPr>
            </w:pPr>
            <w:r w:rsidRPr="00760699">
              <w:rPr>
                <w:rFonts w:eastAsia="Times New Roman" w:cs="Segoe UI"/>
                <w:color w:val="000000"/>
                <w:sz w:val="16"/>
                <w:szCs w:val="16"/>
                <w:lang w:eastAsia="sk-SK"/>
              </w:rPr>
              <w:t xml:space="preserve">       723 486 </w:t>
            </w:r>
          </w:p>
          <w:p w14:paraId="01C52346" w14:textId="77777777" w:rsidR="006C0C30" w:rsidRPr="00760699" w:rsidRDefault="006C0C30" w:rsidP="00B57EEC">
            <w:pPr>
              <w:keepNext/>
              <w:widowControl w:val="0"/>
              <w:ind w:left="-640" w:right="-106" w:hanging="284"/>
              <w:jc w:val="right"/>
              <w:rPr>
                <w:rFonts w:eastAsia="Times New Roman" w:cs="Segoe UI"/>
                <w:color w:val="000000"/>
                <w:sz w:val="16"/>
                <w:szCs w:val="16"/>
                <w:lang w:eastAsia="sk-SK"/>
              </w:rPr>
            </w:pPr>
          </w:p>
        </w:tc>
        <w:tc>
          <w:tcPr>
            <w:tcW w:w="1134" w:type="dxa"/>
            <w:gridSpan w:val="2"/>
          </w:tcPr>
          <w:p w14:paraId="02E6F519" w14:textId="77777777" w:rsidR="006C0C30" w:rsidRPr="00760699" w:rsidRDefault="006C0C30" w:rsidP="00B57EEC">
            <w:pPr>
              <w:ind w:left="-640" w:right="-73" w:hanging="284"/>
              <w:jc w:val="right"/>
              <w:rPr>
                <w:rFonts w:eastAsia="Times New Roman" w:cs="Segoe UI"/>
                <w:color w:val="000000"/>
                <w:sz w:val="16"/>
                <w:szCs w:val="16"/>
                <w:lang w:eastAsia="sk-SK"/>
              </w:rPr>
            </w:pPr>
            <w:r w:rsidRPr="00760699">
              <w:rPr>
                <w:rFonts w:eastAsia="Times New Roman" w:cs="Segoe UI"/>
                <w:color w:val="000000"/>
                <w:sz w:val="16"/>
                <w:szCs w:val="16"/>
                <w:lang w:eastAsia="sk-SK"/>
              </w:rPr>
              <w:t xml:space="preserve">       757 652 </w:t>
            </w:r>
          </w:p>
          <w:p w14:paraId="71556A31" w14:textId="77777777" w:rsidR="006C0C30" w:rsidRPr="00760699" w:rsidRDefault="006C0C30" w:rsidP="00B57EEC">
            <w:pPr>
              <w:keepNext/>
              <w:widowControl w:val="0"/>
              <w:ind w:left="-640" w:right="-73" w:hanging="284"/>
              <w:jc w:val="right"/>
              <w:rPr>
                <w:rFonts w:eastAsia="Times New Roman" w:cs="Segoe UI"/>
                <w:color w:val="000000"/>
                <w:sz w:val="16"/>
                <w:szCs w:val="16"/>
                <w:lang w:eastAsia="sk-SK"/>
              </w:rPr>
            </w:pPr>
          </w:p>
        </w:tc>
        <w:tc>
          <w:tcPr>
            <w:tcW w:w="1418" w:type="dxa"/>
          </w:tcPr>
          <w:p w14:paraId="74D7CDC8" w14:textId="77777777" w:rsidR="006C0C30" w:rsidRPr="00760699" w:rsidRDefault="006C0C30" w:rsidP="00B57EEC">
            <w:pPr>
              <w:ind w:left="-640" w:right="-73" w:hanging="284"/>
              <w:jc w:val="right"/>
              <w:rPr>
                <w:rFonts w:eastAsia="Times New Roman" w:cs="Segoe UI"/>
                <w:color w:val="000000"/>
                <w:sz w:val="16"/>
                <w:szCs w:val="16"/>
                <w:lang w:eastAsia="sk-SK"/>
              </w:rPr>
            </w:pPr>
            <w:r w:rsidRPr="00760699">
              <w:rPr>
                <w:rFonts w:eastAsia="Times New Roman" w:cs="Segoe UI"/>
                <w:color w:val="000000"/>
                <w:sz w:val="16"/>
                <w:szCs w:val="16"/>
                <w:lang w:eastAsia="sk-SK"/>
              </w:rPr>
              <w:t xml:space="preserve">                19 166 </w:t>
            </w:r>
          </w:p>
          <w:p w14:paraId="15FE7143" w14:textId="77777777" w:rsidR="006C0C30" w:rsidRPr="00760699" w:rsidRDefault="006C0C30" w:rsidP="00B57EEC">
            <w:pPr>
              <w:keepNext/>
              <w:widowControl w:val="0"/>
              <w:ind w:left="-640" w:right="-73" w:hanging="284"/>
              <w:jc w:val="right"/>
              <w:rPr>
                <w:rFonts w:eastAsia="Times New Roman" w:cs="Segoe UI"/>
                <w:color w:val="000000"/>
                <w:sz w:val="16"/>
                <w:szCs w:val="16"/>
                <w:lang w:eastAsia="sk-SK"/>
              </w:rPr>
            </w:pPr>
          </w:p>
        </w:tc>
        <w:tc>
          <w:tcPr>
            <w:tcW w:w="1412" w:type="dxa"/>
          </w:tcPr>
          <w:p w14:paraId="5D4BD7B4" w14:textId="77777777" w:rsidR="006C0C30" w:rsidRPr="00760699" w:rsidRDefault="006C0C30" w:rsidP="00B57EEC">
            <w:pPr>
              <w:ind w:left="-640" w:right="-73" w:hanging="284"/>
              <w:jc w:val="right"/>
              <w:rPr>
                <w:rFonts w:eastAsia="Times New Roman" w:cs="Segoe UI"/>
                <w:color w:val="000000"/>
                <w:sz w:val="16"/>
                <w:szCs w:val="16"/>
                <w:lang w:eastAsia="sk-SK"/>
              </w:rPr>
            </w:pPr>
            <w:r w:rsidRPr="00760699">
              <w:rPr>
                <w:rFonts w:eastAsia="Times New Roman" w:cs="Segoe UI"/>
                <w:color w:val="000000"/>
                <w:sz w:val="16"/>
                <w:szCs w:val="16"/>
                <w:lang w:eastAsia="sk-SK"/>
              </w:rPr>
              <w:t xml:space="preserve">                  102,6 </w:t>
            </w:r>
          </w:p>
          <w:p w14:paraId="419EEF5B" w14:textId="77777777" w:rsidR="006C0C30" w:rsidRPr="00760699" w:rsidRDefault="006C0C30" w:rsidP="00B57EEC">
            <w:pPr>
              <w:keepNext/>
              <w:widowControl w:val="0"/>
              <w:ind w:left="-640" w:right="-73" w:hanging="284"/>
              <w:jc w:val="right"/>
              <w:rPr>
                <w:rFonts w:eastAsia="Times New Roman" w:cs="Segoe UI"/>
                <w:color w:val="000000"/>
                <w:sz w:val="16"/>
                <w:szCs w:val="16"/>
                <w:lang w:eastAsia="sk-SK"/>
              </w:rPr>
            </w:pPr>
          </w:p>
        </w:tc>
      </w:tr>
      <w:tr w:rsidR="006C0C30" w:rsidRPr="007F6F2B" w14:paraId="6C480FDD" w14:textId="77777777" w:rsidTr="00B57EEC">
        <w:trPr>
          <w:trHeight w:hRule="exact" w:val="227"/>
        </w:trPr>
        <w:tc>
          <w:tcPr>
            <w:tcW w:w="1980" w:type="dxa"/>
          </w:tcPr>
          <w:p w14:paraId="0CA45C90" w14:textId="77777777" w:rsidR="006C0C30" w:rsidRPr="00760699" w:rsidRDefault="006C0C30" w:rsidP="006C0C30">
            <w:pPr>
              <w:pStyle w:val="Odsekzoznamu"/>
              <w:keepNext/>
              <w:widowControl w:val="0"/>
              <w:numPr>
                <w:ilvl w:val="0"/>
                <w:numId w:val="37"/>
              </w:numPr>
              <w:spacing w:after="0" w:line="240" w:lineRule="auto"/>
              <w:ind w:left="598" w:hanging="283"/>
              <w:jc w:val="left"/>
              <w:rPr>
                <w:rFonts w:eastAsia="Times New Roman" w:cs="Segoe UI"/>
                <w:sz w:val="16"/>
                <w:szCs w:val="16"/>
              </w:rPr>
            </w:pPr>
            <w:r w:rsidRPr="00760699">
              <w:rPr>
                <w:rFonts w:eastAsia="Times New Roman" w:cs="Segoe UI"/>
                <w:sz w:val="16"/>
                <w:szCs w:val="16"/>
              </w:rPr>
              <w:t>Tovary a služby</w:t>
            </w:r>
          </w:p>
        </w:tc>
        <w:tc>
          <w:tcPr>
            <w:tcW w:w="1139" w:type="dxa"/>
            <w:gridSpan w:val="2"/>
          </w:tcPr>
          <w:p w14:paraId="187FADCC" w14:textId="77777777" w:rsidR="006C0C30" w:rsidRPr="00760699" w:rsidRDefault="006C0C30" w:rsidP="00B57EEC">
            <w:pPr>
              <w:ind w:left="-640" w:right="-73" w:hanging="284"/>
              <w:jc w:val="right"/>
              <w:rPr>
                <w:rFonts w:eastAsia="Times New Roman" w:cs="Segoe UI"/>
                <w:color w:val="000000"/>
                <w:sz w:val="16"/>
                <w:szCs w:val="16"/>
                <w:lang w:eastAsia="sk-SK"/>
              </w:rPr>
            </w:pPr>
            <w:r w:rsidRPr="00760699">
              <w:rPr>
                <w:rFonts w:eastAsia="Times New Roman" w:cs="Segoe UI"/>
                <w:color w:val="000000"/>
                <w:sz w:val="16"/>
                <w:szCs w:val="16"/>
                <w:lang w:eastAsia="sk-SK"/>
              </w:rPr>
              <w:t xml:space="preserve">       308 255 </w:t>
            </w:r>
          </w:p>
          <w:p w14:paraId="753B2866" w14:textId="77777777" w:rsidR="006C0C30" w:rsidRPr="00760699" w:rsidRDefault="006C0C30" w:rsidP="00B57EEC">
            <w:pPr>
              <w:keepNext/>
              <w:widowControl w:val="0"/>
              <w:ind w:left="-640" w:right="-73" w:hanging="284"/>
              <w:jc w:val="right"/>
              <w:rPr>
                <w:rFonts w:eastAsia="Times New Roman" w:cs="Segoe UI"/>
                <w:color w:val="000000"/>
                <w:sz w:val="16"/>
                <w:szCs w:val="16"/>
                <w:lang w:eastAsia="sk-SK"/>
              </w:rPr>
            </w:pPr>
          </w:p>
        </w:tc>
        <w:tc>
          <w:tcPr>
            <w:tcW w:w="983" w:type="dxa"/>
          </w:tcPr>
          <w:p w14:paraId="7989C138" w14:textId="77777777" w:rsidR="006C0C30" w:rsidRPr="00760699" w:rsidRDefault="006C0C30" w:rsidP="00B57EEC">
            <w:pPr>
              <w:ind w:left="-640" w:right="-73" w:hanging="284"/>
              <w:jc w:val="right"/>
              <w:rPr>
                <w:rFonts w:eastAsia="Times New Roman" w:cs="Segoe UI"/>
                <w:color w:val="000000"/>
                <w:sz w:val="16"/>
                <w:szCs w:val="16"/>
                <w:lang w:eastAsia="sk-SK"/>
              </w:rPr>
            </w:pPr>
            <w:r w:rsidRPr="00760699">
              <w:rPr>
                <w:rFonts w:eastAsia="Times New Roman" w:cs="Segoe UI"/>
                <w:color w:val="000000"/>
                <w:sz w:val="16"/>
                <w:szCs w:val="16"/>
                <w:lang w:eastAsia="sk-SK"/>
              </w:rPr>
              <w:t xml:space="preserve">       295 811 </w:t>
            </w:r>
          </w:p>
          <w:p w14:paraId="34C67E66" w14:textId="77777777" w:rsidR="006C0C30" w:rsidRPr="00760699" w:rsidRDefault="006C0C30" w:rsidP="00B57EEC">
            <w:pPr>
              <w:keepNext/>
              <w:widowControl w:val="0"/>
              <w:ind w:left="-640" w:right="-73" w:hanging="284"/>
              <w:jc w:val="right"/>
              <w:rPr>
                <w:rFonts w:eastAsia="Times New Roman" w:cs="Segoe UI"/>
                <w:color w:val="000000"/>
                <w:sz w:val="16"/>
                <w:szCs w:val="16"/>
                <w:lang w:eastAsia="sk-SK"/>
              </w:rPr>
            </w:pPr>
          </w:p>
        </w:tc>
        <w:tc>
          <w:tcPr>
            <w:tcW w:w="1001" w:type="dxa"/>
          </w:tcPr>
          <w:p w14:paraId="3DEBEF0A" w14:textId="77777777" w:rsidR="006C0C30" w:rsidRPr="00760699" w:rsidRDefault="006C0C30" w:rsidP="00B57EEC">
            <w:pPr>
              <w:ind w:left="-640" w:right="-106" w:hanging="284"/>
              <w:jc w:val="right"/>
              <w:rPr>
                <w:rFonts w:eastAsia="Times New Roman" w:cs="Segoe UI"/>
                <w:color w:val="000000"/>
                <w:sz w:val="16"/>
                <w:szCs w:val="16"/>
                <w:lang w:eastAsia="sk-SK"/>
              </w:rPr>
            </w:pPr>
            <w:r w:rsidRPr="00760699">
              <w:rPr>
                <w:rFonts w:eastAsia="Times New Roman" w:cs="Segoe UI"/>
                <w:color w:val="000000"/>
                <w:sz w:val="16"/>
                <w:szCs w:val="16"/>
                <w:lang w:eastAsia="sk-SK"/>
              </w:rPr>
              <w:t xml:space="preserve">       313 680 </w:t>
            </w:r>
          </w:p>
          <w:p w14:paraId="1F3E2043" w14:textId="77777777" w:rsidR="006C0C30" w:rsidRPr="00760699" w:rsidRDefault="006C0C30" w:rsidP="00B57EEC">
            <w:pPr>
              <w:keepNext/>
              <w:widowControl w:val="0"/>
              <w:ind w:left="-640" w:right="-106" w:hanging="284"/>
              <w:jc w:val="right"/>
              <w:rPr>
                <w:rFonts w:eastAsia="Times New Roman" w:cs="Segoe UI"/>
                <w:color w:val="000000"/>
                <w:sz w:val="16"/>
                <w:szCs w:val="16"/>
                <w:lang w:eastAsia="sk-SK"/>
              </w:rPr>
            </w:pPr>
          </w:p>
        </w:tc>
        <w:tc>
          <w:tcPr>
            <w:tcW w:w="1134" w:type="dxa"/>
            <w:gridSpan w:val="2"/>
          </w:tcPr>
          <w:p w14:paraId="2D6864B6" w14:textId="77777777" w:rsidR="006C0C30" w:rsidRPr="00760699" w:rsidRDefault="006C0C30" w:rsidP="00B57EEC">
            <w:pPr>
              <w:ind w:left="-640" w:right="-73" w:hanging="284"/>
              <w:jc w:val="right"/>
              <w:rPr>
                <w:rFonts w:eastAsia="Times New Roman" w:cs="Segoe UI"/>
                <w:color w:val="000000"/>
                <w:sz w:val="16"/>
                <w:szCs w:val="16"/>
                <w:lang w:eastAsia="sk-SK"/>
              </w:rPr>
            </w:pPr>
            <w:r w:rsidRPr="00760699">
              <w:rPr>
                <w:rFonts w:eastAsia="Times New Roman" w:cs="Segoe UI"/>
                <w:color w:val="000000"/>
                <w:sz w:val="16"/>
                <w:szCs w:val="16"/>
                <w:lang w:eastAsia="sk-SK"/>
              </w:rPr>
              <w:t xml:space="preserve">       320 569 </w:t>
            </w:r>
          </w:p>
          <w:p w14:paraId="18EC60B4" w14:textId="77777777" w:rsidR="006C0C30" w:rsidRPr="00760699" w:rsidRDefault="006C0C30" w:rsidP="00B57EEC">
            <w:pPr>
              <w:keepNext/>
              <w:widowControl w:val="0"/>
              <w:ind w:left="-640" w:right="-73" w:hanging="284"/>
              <w:jc w:val="right"/>
              <w:rPr>
                <w:rFonts w:eastAsia="Times New Roman" w:cs="Segoe UI"/>
                <w:color w:val="000000"/>
                <w:sz w:val="16"/>
                <w:szCs w:val="16"/>
                <w:lang w:eastAsia="sk-SK"/>
              </w:rPr>
            </w:pPr>
          </w:p>
        </w:tc>
        <w:tc>
          <w:tcPr>
            <w:tcW w:w="1418" w:type="dxa"/>
          </w:tcPr>
          <w:p w14:paraId="3F4690EA" w14:textId="77777777" w:rsidR="006C0C30" w:rsidRPr="00760699" w:rsidRDefault="006C0C30" w:rsidP="00B57EEC">
            <w:pPr>
              <w:ind w:left="-640" w:right="-73" w:hanging="284"/>
              <w:jc w:val="right"/>
              <w:rPr>
                <w:rFonts w:eastAsia="Times New Roman" w:cs="Segoe UI"/>
                <w:color w:val="000000"/>
                <w:sz w:val="16"/>
                <w:szCs w:val="16"/>
                <w:lang w:eastAsia="sk-SK"/>
              </w:rPr>
            </w:pPr>
            <w:r w:rsidRPr="00760699">
              <w:rPr>
                <w:rFonts w:eastAsia="Times New Roman" w:cs="Segoe UI"/>
                <w:color w:val="000000"/>
                <w:sz w:val="16"/>
                <w:szCs w:val="16"/>
                <w:lang w:eastAsia="sk-SK"/>
              </w:rPr>
              <w:t xml:space="preserve">                24 758 </w:t>
            </w:r>
          </w:p>
          <w:p w14:paraId="11322B57" w14:textId="77777777" w:rsidR="006C0C30" w:rsidRPr="00760699" w:rsidRDefault="006C0C30" w:rsidP="00B57EEC">
            <w:pPr>
              <w:keepNext/>
              <w:widowControl w:val="0"/>
              <w:ind w:left="-640" w:right="-73" w:hanging="284"/>
              <w:jc w:val="right"/>
              <w:rPr>
                <w:rFonts w:eastAsia="Times New Roman" w:cs="Segoe UI"/>
                <w:color w:val="000000"/>
                <w:sz w:val="16"/>
                <w:szCs w:val="16"/>
                <w:lang w:eastAsia="sk-SK"/>
              </w:rPr>
            </w:pPr>
          </w:p>
        </w:tc>
        <w:tc>
          <w:tcPr>
            <w:tcW w:w="1412" w:type="dxa"/>
          </w:tcPr>
          <w:p w14:paraId="4CB56346" w14:textId="77777777" w:rsidR="006C0C30" w:rsidRPr="00760699" w:rsidRDefault="006C0C30" w:rsidP="00B57EEC">
            <w:pPr>
              <w:ind w:left="-640" w:right="-73" w:hanging="284"/>
              <w:jc w:val="right"/>
              <w:rPr>
                <w:rFonts w:eastAsia="Times New Roman" w:cs="Segoe UI"/>
                <w:color w:val="000000"/>
                <w:sz w:val="16"/>
                <w:szCs w:val="16"/>
                <w:lang w:eastAsia="sk-SK"/>
              </w:rPr>
            </w:pPr>
            <w:r w:rsidRPr="00760699">
              <w:rPr>
                <w:rFonts w:eastAsia="Times New Roman" w:cs="Segoe UI"/>
                <w:color w:val="000000"/>
                <w:sz w:val="16"/>
                <w:szCs w:val="16"/>
                <w:lang w:eastAsia="sk-SK"/>
              </w:rPr>
              <w:t xml:space="preserve">                  108,4 </w:t>
            </w:r>
          </w:p>
          <w:p w14:paraId="65AE56E2" w14:textId="77777777" w:rsidR="006C0C30" w:rsidRPr="00760699" w:rsidRDefault="006C0C30" w:rsidP="00B57EEC">
            <w:pPr>
              <w:keepNext/>
              <w:widowControl w:val="0"/>
              <w:ind w:left="-640" w:right="-73" w:hanging="284"/>
              <w:jc w:val="right"/>
              <w:rPr>
                <w:rFonts w:eastAsia="Times New Roman" w:cs="Segoe UI"/>
                <w:color w:val="000000"/>
                <w:sz w:val="16"/>
                <w:szCs w:val="16"/>
                <w:lang w:eastAsia="sk-SK"/>
              </w:rPr>
            </w:pPr>
          </w:p>
        </w:tc>
      </w:tr>
      <w:tr w:rsidR="006C0C30" w:rsidRPr="007F6F2B" w14:paraId="5705B276" w14:textId="77777777" w:rsidTr="00B57EEC">
        <w:trPr>
          <w:trHeight w:hRule="exact" w:val="227"/>
        </w:trPr>
        <w:tc>
          <w:tcPr>
            <w:tcW w:w="1980" w:type="dxa"/>
          </w:tcPr>
          <w:p w14:paraId="2395837A" w14:textId="77777777" w:rsidR="006C0C30" w:rsidRPr="00760699" w:rsidRDefault="006C0C30" w:rsidP="006C0C30">
            <w:pPr>
              <w:pStyle w:val="Odsekzoznamu"/>
              <w:keepNext/>
              <w:widowControl w:val="0"/>
              <w:numPr>
                <w:ilvl w:val="0"/>
                <w:numId w:val="37"/>
              </w:numPr>
              <w:spacing w:after="0" w:line="240" w:lineRule="auto"/>
              <w:ind w:left="598" w:hanging="283"/>
              <w:jc w:val="left"/>
              <w:rPr>
                <w:rFonts w:eastAsia="Times New Roman" w:cs="Segoe UI"/>
                <w:sz w:val="16"/>
                <w:szCs w:val="16"/>
              </w:rPr>
            </w:pPr>
            <w:r w:rsidRPr="00760699">
              <w:rPr>
                <w:rFonts w:eastAsia="Times New Roman" w:cs="Segoe UI"/>
                <w:sz w:val="16"/>
                <w:szCs w:val="16"/>
              </w:rPr>
              <w:t>Bežné transfery</w:t>
            </w:r>
          </w:p>
        </w:tc>
        <w:tc>
          <w:tcPr>
            <w:tcW w:w="1139" w:type="dxa"/>
            <w:gridSpan w:val="2"/>
          </w:tcPr>
          <w:p w14:paraId="39E1B244" w14:textId="77777777" w:rsidR="006C0C30" w:rsidRPr="00760699" w:rsidRDefault="006C0C30" w:rsidP="00B57EEC">
            <w:pPr>
              <w:ind w:left="-640" w:right="-73" w:hanging="284"/>
              <w:jc w:val="right"/>
              <w:rPr>
                <w:rFonts w:eastAsia="Times New Roman" w:cs="Segoe UI"/>
                <w:color w:val="000000"/>
                <w:sz w:val="16"/>
                <w:szCs w:val="16"/>
                <w:lang w:eastAsia="sk-SK"/>
              </w:rPr>
            </w:pPr>
            <w:r w:rsidRPr="00760699">
              <w:rPr>
                <w:rFonts w:eastAsia="Times New Roman" w:cs="Segoe UI"/>
                <w:color w:val="000000"/>
                <w:sz w:val="16"/>
                <w:szCs w:val="16"/>
                <w:lang w:eastAsia="sk-SK"/>
              </w:rPr>
              <w:t xml:space="preserve">       876 371 </w:t>
            </w:r>
          </w:p>
          <w:p w14:paraId="2280B777" w14:textId="77777777" w:rsidR="006C0C30" w:rsidRPr="00760699" w:rsidRDefault="006C0C30" w:rsidP="00B57EEC">
            <w:pPr>
              <w:keepNext/>
              <w:widowControl w:val="0"/>
              <w:ind w:left="-640" w:right="-73" w:hanging="284"/>
              <w:jc w:val="right"/>
              <w:rPr>
                <w:rFonts w:eastAsia="Times New Roman" w:cs="Segoe UI"/>
                <w:color w:val="000000"/>
                <w:sz w:val="16"/>
                <w:szCs w:val="16"/>
                <w:lang w:eastAsia="sk-SK"/>
              </w:rPr>
            </w:pPr>
          </w:p>
        </w:tc>
        <w:tc>
          <w:tcPr>
            <w:tcW w:w="983" w:type="dxa"/>
          </w:tcPr>
          <w:p w14:paraId="3F0B2520" w14:textId="77777777" w:rsidR="006C0C30" w:rsidRPr="00760699" w:rsidRDefault="006C0C30" w:rsidP="00B57EEC">
            <w:pPr>
              <w:ind w:left="-640" w:right="-73" w:hanging="284"/>
              <w:jc w:val="right"/>
              <w:rPr>
                <w:rFonts w:eastAsia="Times New Roman" w:cs="Segoe UI"/>
                <w:color w:val="000000"/>
                <w:sz w:val="16"/>
                <w:szCs w:val="16"/>
                <w:lang w:eastAsia="sk-SK"/>
              </w:rPr>
            </w:pPr>
            <w:r w:rsidRPr="00760699">
              <w:rPr>
                <w:rFonts w:eastAsia="Times New Roman" w:cs="Segoe UI"/>
                <w:color w:val="000000"/>
                <w:sz w:val="16"/>
                <w:szCs w:val="16"/>
                <w:lang w:eastAsia="sk-SK"/>
              </w:rPr>
              <w:t xml:space="preserve">       874 592 </w:t>
            </w:r>
          </w:p>
          <w:p w14:paraId="299C0EC0" w14:textId="77777777" w:rsidR="006C0C30" w:rsidRPr="00760699" w:rsidRDefault="006C0C30" w:rsidP="00B57EEC">
            <w:pPr>
              <w:keepNext/>
              <w:widowControl w:val="0"/>
              <w:ind w:left="-640" w:right="-73" w:hanging="284"/>
              <w:jc w:val="right"/>
              <w:rPr>
                <w:rFonts w:eastAsia="Times New Roman" w:cs="Segoe UI"/>
                <w:color w:val="000000"/>
                <w:sz w:val="16"/>
                <w:szCs w:val="16"/>
                <w:lang w:eastAsia="sk-SK"/>
              </w:rPr>
            </w:pPr>
          </w:p>
        </w:tc>
        <w:tc>
          <w:tcPr>
            <w:tcW w:w="1001" w:type="dxa"/>
          </w:tcPr>
          <w:p w14:paraId="62EE9239" w14:textId="77777777" w:rsidR="006C0C30" w:rsidRPr="00760699" w:rsidRDefault="006C0C30" w:rsidP="00B57EEC">
            <w:pPr>
              <w:ind w:left="-640" w:right="-106" w:hanging="284"/>
              <w:jc w:val="right"/>
              <w:rPr>
                <w:rFonts w:eastAsia="Times New Roman" w:cs="Segoe UI"/>
                <w:color w:val="000000"/>
                <w:sz w:val="16"/>
                <w:szCs w:val="16"/>
                <w:lang w:eastAsia="sk-SK"/>
              </w:rPr>
            </w:pPr>
            <w:r w:rsidRPr="00760699">
              <w:rPr>
                <w:rFonts w:eastAsia="Times New Roman" w:cs="Segoe UI"/>
                <w:color w:val="000000"/>
                <w:sz w:val="16"/>
                <w:szCs w:val="16"/>
                <w:lang w:eastAsia="sk-SK"/>
              </w:rPr>
              <w:t xml:space="preserve">       881 360 </w:t>
            </w:r>
          </w:p>
          <w:p w14:paraId="756C7091" w14:textId="77777777" w:rsidR="006C0C30" w:rsidRPr="00760699" w:rsidRDefault="006C0C30" w:rsidP="00B57EEC">
            <w:pPr>
              <w:keepNext/>
              <w:widowControl w:val="0"/>
              <w:ind w:left="-640" w:right="-106" w:hanging="284"/>
              <w:jc w:val="right"/>
              <w:rPr>
                <w:rFonts w:eastAsia="Times New Roman" w:cs="Segoe UI"/>
                <w:color w:val="000000"/>
                <w:sz w:val="16"/>
                <w:szCs w:val="16"/>
                <w:lang w:eastAsia="sk-SK"/>
              </w:rPr>
            </w:pPr>
          </w:p>
        </w:tc>
        <w:tc>
          <w:tcPr>
            <w:tcW w:w="1134" w:type="dxa"/>
            <w:gridSpan w:val="2"/>
          </w:tcPr>
          <w:p w14:paraId="5C275F0A" w14:textId="77777777" w:rsidR="006C0C30" w:rsidRPr="00760699" w:rsidRDefault="006C0C30" w:rsidP="00B57EEC">
            <w:pPr>
              <w:ind w:left="-640" w:right="-73" w:hanging="284"/>
              <w:jc w:val="right"/>
              <w:rPr>
                <w:rFonts w:eastAsia="Times New Roman" w:cs="Segoe UI"/>
                <w:color w:val="000000"/>
                <w:sz w:val="16"/>
                <w:szCs w:val="16"/>
                <w:lang w:eastAsia="sk-SK"/>
              </w:rPr>
            </w:pPr>
            <w:r w:rsidRPr="00760699">
              <w:rPr>
                <w:rFonts w:eastAsia="Times New Roman" w:cs="Segoe UI"/>
                <w:color w:val="000000"/>
                <w:sz w:val="16"/>
                <w:szCs w:val="16"/>
                <w:lang w:eastAsia="sk-SK"/>
              </w:rPr>
              <w:t xml:space="preserve">       905 544 </w:t>
            </w:r>
          </w:p>
          <w:p w14:paraId="6D75DFEB" w14:textId="77777777" w:rsidR="006C0C30" w:rsidRPr="00760699" w:rsidRDefault="006C0C30" w:rsidP="00B57EEC">
            <w:pPr>
              <w:keepNext/>
              <w:widowControl w:val="0"/>
              <w:ind w:left="-640" w:right="-73" w:hanging="284"/>
              <w:jc w:val="right"/>
              <w:rPr>
                <w:rFonts w:eastAsia="Times New Roman" w:cs="Segoe UI"/>
                <w:color w:val="000000"/>
                <w:sz w:val="16"/>
                <w:szCs w:val="16"/>
                <w:lang w:eastAsia="sk-SK"/>
              </w:rPr>
            </w:pPr>
          </w:p>
        </w:tc>
        <w:tc>
          <w:tcPr>
            <w:tcW w:w="1418" w:type="dxa"/>
          </w:tcPr>
          <w:p w14:paraId="5E1C19AE" w14:textId="77777777" w:rsidR="006C0C30" w:rsidRPr="00760699" w:rsidRDefault="006C0C30" w:rsidP="00B57EEC">
            <w:pPr>
              <w:ind w:left="-640" w:right="-73" w:hanging="284"/>
              <w:jc w:val="right"/>
              <w:rPr>
                <w:rFonts w:eastAsia="Times New Roman" w:cs="Segoe UI"/>
                <w:color w:val="000000"/>
                <w:sz w:val="16"/>
                <w:szCs w:val="16"/>
                <w:lang w:eastAsia="sk-SK"/>
              </w:rPr>
            </w:pPr>
            <w:r w:rsidRPr="00760699">
              <w:rPr>
                <w:rFonts w:eastAsia="Times New Roman" w:cs="Segoe UI"/>
                <w:color w:val="000000"/>
                <w:sz w:val="16"/>
                <w:szCs w:val="16"/>
                <w:lang w:eastAsia="sk-SK"/>
              </w:rPr>
              <w:t xml:space="preserve">                30 952 </w:t>
            </w:r>
          </w:p>
          <w:p w14:paraId="771203D8" w14:textId="77777777" w:rsidR="006C0C30" w:rsidRPr="00760699" w:rsidRDefault="006C0C30" w:rsidP="00B57EEC">
            <w:pPr>
              <w:keepNext/>
              <w:widowControl w:val="0"/>
              <w:ind w:left="-640" w:right="-73" w:hanging="284"/>
              <w:jc w:val="right"/>
              <w:rPr>
                <w:rFonts w:eastAsia="Times New Roman" w:cs="Segoe UI"/>
                <w:color w:val="000000"/>
                <w:sz w:val="16"/>
                <w:szCs w:val="16"/>
                <w:lang w:eastAsia="sk-SK"/>
              </w:rPr>
            </w:pPr>
          </w:p>
        </w:tc>
        <w:tc>
          <w:tcPr>
            <w:tcW w:w="1412" w:type="dxa"/>
          </w:tcPr>
          <w:p w14:paraId="092A7B4B" w14:textId="77777777" w:rsidR="006C0C30" w:rsidRPr="00760699" w:rsidRDefault="006C0C30" w:rsidP="00B57EEC">
            <w:pPr>
              <w:ind w:left="-640" w:right="-73" w:hanging="284"/>
              <w:jc w:val="right"/>
              <w:rPr>
                <w:rFonts w:eastAsia="Times New Roman" w:cs="Segoe UI"/>
                <w:color w:val="000000"/>
                <w:sz w:val="16"/>
                <w:szCs w:val="16"/>
                <w:lang w:eastAsia="sk-SK"/>
              </w:rPr>
            </w:pPr>
            <w:r w:rsidRPr="00760699">
              <w:rPr>
                <w:rFonts w:eastAsia="Times New Roman" w:cs="Segoe UI"/>
                <w:color w:val="000000"/>
                <w:sz w:val="16"/>
                <w:szCs w:val="16"/>
                <w:lang w:eastAsia="sk-SK"/>
              </w:rPr>
              <w:t xml:space="preserve">                  103,5 </w:t>
            </w:r>
          </w:p>
          <w:p w14:paraId="3DC8AF9B" w14:textId="77777777" w:rsidR="006C0C30" w:rsidRPr="00760699" w:rsidRDefault="006C0C30" w:rsidP="00B57EEC">
            <w:pPr>
              <w:keepNext/>
              <w:widowControl w:val="0"/>
              <w:ind w:left="-640" w:right="-73" w:hanging="284"/>
              <w:jc w:val="right"/>
              <w:rPr>
                <w:rFonts w:eastAsia="Times New Roman" w:cs="Segoe UI"/>
                <w:color w:val="000000"/>
                <w:sz w:val="16"/>
                <w:szCs w:val="16"/>
                <w:lang w:eastAsia="sk-SK"/>
              </w:rPr>
            </w:pPr>
          </w:p>
        </w:tc>
      </w:tr>
      <w:tr w:rsidR="006C0C30" w:rsidRPr="007F6F2B" w14:paraId="1D554EBF" w14:textId="77777777" w:rsidTr="00B57EEC">
        <w:trPr>
          <w:trHeight w:hRule="exact" w:val="284"/>
        </w:trPr>
        <w:tc>
          <w:tcPr>
            <w:tcW w:w="1980" w:type="dxa"/>
          </w:tcPr>
          <w:p w14:paraId="109C3AF4" w14:textId="77777777" w:rsidR="006C0C30" w:rsidRPr="00977000" w:rsidRDefault="006C0C30" w:rsidP="00B57EEC">
            <w:pPr>
              <w:keepNext/>
              <w:widowControl w:val="0"/>
              <w:jc w:val="left"/>
              <w:rPr>
                <w:rFonts w:eastAsia="Times New Roman" w:cs="Segoe UI"/>
                <w:b/>
                <w:bCs/>
                <w:sz w:val="18"/>
                <w:szCs w:val="18"/>
                <w:lang w:eastAsia="sk-SK" w:bidi="sk-SK"/>
              </w:rPr>
            </w:pPr>
            <w:r w:rsidRPr="00977000">
              <w:rPr>
                <w:rFonts w:eastAsia="Times New Roman" w:cs="Segoe UI"/>
                <w:b/>
                <w:bCs/>
                <w:sz w:val="18"/>
                <w:szCs w:val="18"/>
                <w:lang w:eastAsia="sk-SK" w:bidi="sk-SK"/>
              </w:rPr>
              <w:t>Kapitálové výdavky</w:t>
            </w:r>
          </w:p>
        </w:tc>
        <w:tc>
          <w:tcPr>
            <w:tcW w:w="1139" w:type="dxa"/>
            <w:gridSpan w:val="2"/>
          </w:tcPr>
          <w:p w14:paraId="548E4D33" w14:textId="77777777" w:rsidR="006C0C30" w:rsidRPr="00977000" w:rsidRDefault="006C0C30" w:rsidP="00B57EEC">
            <w:pPr>
              <w:ind w:left="-640" w:right="-73" w:hanging="284"/>
              <w:jc w:val="right"/>
              <w:rPr>
                <w:rFonts w:eastAsia="Times New Roman" w:cs="Segoe UI"/>
                <w:b/>
                <w:bCs/>
                <w:color w:val="000000"/>
                <w:sz w:val="18"/>
                <w:szCs w:val="18"/>
                <w:lang w:eastAsia="sk-SK"/>
              </w:rPr>
            </w:pPr>
            <w:r w:rsidRPr="00977000">
              <w:rPr>
                <w:rFonts w:eastAsia="Times New Roman" w:cs="Segoe UI"/>
                <w:b/>
                <w:bCs/>
                <w:color w:val="000000"/>
                <w:sz w:val="18"/>
                <w:szCs w:val="18"/>
                <w:lang w:eastAsia="sk-SK"/>
              </w:rPr>
              <w:t xml:space="preserve">       707 069 </w:t>
            </w:r>
          </w:p>
          <w:p w14:paraId="72347DF5" w14:textId="77777777" w:rsidR="006C0C30" w:rsidRPr="00977000" w:rsidRDefault="006C0C30" w:rsidP="00B57EEC">
            <w:pPr>
              <w:keepNext/>
              <w:widowControl w:val="0"/>
              <w:ind w:left="-640" w:right="-73" w:hanging="284"/>
              <w:jc w:val="right"/>
              <w:rPr>
                <w:rFonts w:eastAsia="Times New Roman" w:cs="Segoe UI"/>
                <w:b/>
                <w:bCs/>
                <w:color w:val="000000"/>
                <w:sz w:val="18"/>
                <w:szCs w:val="18"/>
                <w:lang w:eastAsia="sk-SK"/>
              </w:rPr>
            </w:pPr>
          </w:p>
        </w:tc>
        <w:tc>
          <w:tcPr>
            <w:tcW w:w="983" w:type="dxa"/>
          </w:tcPr>
          <w:p w14:paraId="62D11770" w14:textId="77777777" w:rsidR="006C0C30" w:rsidRPr="00977000" w:rsidRDefault="006C0C30" w:rsidP="00B57EEC">
            <w:pPr>
              <w:ind w:left="-640" w:right="-73" w:hanging="284"/>
              <w:jc w:val="right"/>
              <w:rPr>
                <w:rFonts w:eastAsia="Times New Roman" w:cs="Segoe UI"/>
                <w:b/>
                <w:bCs/>
                <w:color w:val="000000"/>
                <w:sz w:val="18"/>
                <w:szCs w:val="18"/>
                <w:lang w:eastAsia="sk-SK"/>
              </w:rPr>
            </w:pPr>
            <w:r w:rsidRPr="00977000">
              <w:rPr>
                <w:rFonts w:eastAsia="Times New Roman" w:cs="Segoe UI"/>
                <w:b/>
                <w:bCs/>
                <w:color w:val="000000"/>
                <w:sz w:val="18"/>
                <w:szCs w:val="18"/>
                <w:lang w:eastAsia="sk-SK"/>
              </w:rPr>
              <w:t xml:space="preserve">       181 514 </w:t>
            </w:r>
          </w:p>
          <w:p w14:paraId="0A7D1236" w14:textId="77777777" w:rsidR="006C0C30" w:rsidRPr="00977000" w:rsidRDefault="006C0C30" w:rsidP="00B57EEC">
            <w:pPr>
              <w:keepNext/>
              <w:widowControl w:val="0"/>
              <w:ind w:left="-640" w:right="-73" w:hanging="284"/>
              <w:jc w:val="right"/>
              <w:rPr>
                <w:rFonts w:eastAsia="Times New Roman" w:cs="Segoe UI"/>
                <w:b/>
                <w:bCs/>
                <w:color w:val="000000"/>
                <w:sz w:val="18"/>
                <w:szCs w:val="18"/>
                <w:lang w:eastAsia="sk-SK"/>
              </w:rPr>
            </w:pPr>
          </w:p>
        </w:tc>
        <w:tc>
          <w:tcPr>
            <w:tcW w:w="1001" w:type="dxa"/>
          </w:tcPr>
          <w:p w14:paraId="7B305205" w14:textId="77777777" w:rsidR="006C0C30" w:rsidRPr="00977000" w:rsidRDefault="006C0C30" w:rsidP="00B57EEC">
            <w:pPr>
              <w:ind w:left="-640" w:right="-106" w:hanging="284"/>
              <w:jc w:val="right"/>
              <w:rPr>
                <w:rFonts w:eastAsia="Times New Roman" w:cs="Segoe UI"/>
                <w:b/>
                <w:bCs/>
                <w:color w:val="000000"/>
                <w:sz w:val="18"/>
                <w:szCs w:val="18"/>
                <w:lang w:eastAsia="sk-SK"/>
              </w:rPr>
            </w:pPr>
            <w:r w:rsidRPr="00977000">
              <w:rPr>
                <w:rFonts w:eastAsia="Times New Roman" w:cs="Segoe UI"/>
                <w:b/>
                <w:bCs/>
                <w:color w:val="000000"/>
                <w:sz w:val="18"/>
                <w:szCs w:val="18"/>
                <w:lang w:eastAsia="sk-SK"/>
              </w:rPr>
              <w:t xml:space="preserve">       275 009 </w:t>
            </w:r>
          </w:p>
          <w:p w14:paraId="07C770B2" w14:textId="77777777" w:rsidR="006C0C30" w:rsidRPr="00977000" w:rsidRDefault="006C0C30" w:rsidP="00B57EEC">
            <w:pPr>
              <w:keepNext/>
              <w:widowControl w:val="0"/>
              <w:ind w:left="-640" w:right="-106" w:hanging="284"/>
              <w:jc w:val="right"/>
              <w:rPr>
                <w:rFonts w:eastAsia="Times New Roman" w:cs="Segoe UI"/>
                <w:b/>
                <w:bCs/>
                <w:color w:val="000000"/>
                <w:sz w:val="18"/>
                <w:szCs w:val="18"/>
                <w:lang w:eastAsia="sk-SK"/>
              </w:rPr>
            </w:pPr>
          </w:p>
        </w:tc>
        <w:tc>
          <w:tcPr>
            <w:tcW w:w="1134" w:type="dxa"/>
            <w:gridSpan w:val="2"/>
          </w:tcPr>
          <w:p w14:paraId="093B1F47" w14:textId="77777777" w:rsidR="006C0C30" w:rsidRPr="00977000" w:rsidRDefault="006C0C30" w:rsidP="00B57EEC">
            <w:pPr>
              <w:ind w:left="-640" w:right="-73" w:hanging="284"/>
              <w:jc w:val="right"/>
              <w:rPr>
                <w:rFonts w:eastAsia="Times New Roman" w:cs="Segoe UI"/>
                <w:b/>
                <w:bCs/>
                <w:color w:val="000000"/>
                <w:sz w:val="18"/>
                <w:szCs w:val="18"/>
                <w:lang w:eastAsia="sk-SK"/>
              </w:rPr>
            </w:pPr>
            <w:r w:rsidRPr="00977000">
              <w:rPr>
                <w:rFonts w:eastAsia="Times New Roman" w:cs="Segoe UI"/>
                <w:b/>
                <w:bCs/>
                <w:color w:val="000000"/>
                <w:sz w:val="18"/>
                <w:szCs w:val="18"/>
                <w:lang w:eastAsia="sk-SK"/>
              </w:rPr>
              <w:t xml:space="preserve">       201 714 </w:t>
            </w:r>
          </w:p>
          <w:p w14:paraId="3C2BACA0" w14:textId="77777777" w:rsidR="006C0C30" w:rsidRPr="00977000" w:rsidRDefault="006C0C30" w:rsidP="00B57EEC">
            <w:pPr>
              <w:keepNext/>
              <w:widowControl w:val="0"/>
              <w:ind w:left="-640" w:right="-73" w:hanging="284"/>
              <w:jc w:val="right"/>
              <w:rPr>
                <w:rFonts w:eastAsia="Times New Roman" w:cs="Segoe UI"/>
                <w:b/>
                <w:bCs/>
                <w:color w:val="000000"/>
                <w:sz w:val="18"/>
                <w:szCs w:val="18"/>
                <w:lang w:eastAsia="sk-SK"/>
              </w:rPr>
            </w:pPr>
          </w:p>
        </w:tc>
        <w:tc>
          <w:tcPr>
            <w:tcW w:w="1418" w:type="dxa"/>
          </w:tcPr>
          <w:p w14:paraId="728A5B0D" w14:textId="77777777" w:rsidR="006C0C30" w:rsidRPr="00977000" w:rsidRDefault="006C0C30" w:rsidP="00B57EEC">
            <w:pPr>
              <w:ind w:left="-640" w:right="-73" w:hanging="284"/>
              <w:jc w:val="right"/>
              <w:rPr>
                <w:rFonts w:eastAsia="Times New Roman" w:cs="Segoe UI"/>
                <w:b/>
                <w:bCs/>
                <w:color w:val="000000"/>
                <w:sz w:val="18"/>
                <w:szCs w:val="18"/>
                <w:lang w:eastAsia="sk-SK"/>
              </w:rPr>
            </w:pPr>
            <w:r w:rsidRPr="00977000">
              <w:rPr>
                <w:rFonts w:eastAsia="Times New Roman" w:cs="Segoe UI"/>
                <w:b/>
                <w:bCs/>
                <w:color w:val="000000"/>
                <w:sz w:val="18"/>
                <w:szCs w:val="18"/>
                <w:lang w:eastAsia="sk-SK"/>
              </w:rPr>
              <w:t xml:space="preserve">                20 200 </w:t>
            </w:r>
          </w:p>
          <w:p w14:paraId="40D3F543" w14:textId="77777777" w:rsidR="006C0C30" w:rsidRPr="00977000" w:rsidRDefault="006C0C30" w:rsidP="00B57EEC">
            <w:pPr>
              <w:keepNext/>
              <w:widowControl w:val="0"/>
              <w:ind w:left="-640" w:right="-73" w:hanging="284"/>
              <w:jc w:val="right"/>
              <w:rPr>
                <w:rFonts w:eastAsia="Times New Roman" w:cs="Segoe UI"/>
                <w:b/>
                <w:bCs/>
                <w:color w:val="000000"/>
                <w:sz w:val="18"/>
                <w:szCs w:val="18"/>
                <w:lang w:eastAsia="sk-SK"/>
              </w:rPr>
            </w:pPr>
          </w:p>
        </w:tc>
        <w:tc>
          <w:tcPr>
            <w:tcW w:w="1412" w:type="dxa"/>
          </w:tcPr>
          <w:p w14:paraId="1E74E8C7" w14:textId="77777777" w:rsidR="006C0C30" w:rsidRPr="00977000" w:rsidRDefault="006C0C30" w:rsidP="00B57EEC">
            <w:pPr>
              <w:ind w:left="-640" w:right="-73" w:hanging="284"/>
              <w:jc w:val="right"/>
              <w:rPr>
                <w:rFonts w:eastAsia="Times New Roman" w:cs="Segoe UI"/>
                <w:b/>
                <w:bCs/>
                <w:color w:val="000000"/>
                <w:sz w:val="18"/>
                <w:szCs w:val="18"/>
                <w:lang w:eastAsia="sk-SK"/>
              </w:rPr>
            </w:pPr>
            <w:r w:rsidRPr="00977000">
              <w:rPr>
                <w:rFonts w:eastAsia="Times New Roman" w:cs="Segoe UI"/>
                <w:b/>
                <w:bCs/>
                <w:color w:val="000000"/>
                <w:sz w:val="18"/>
                <w:szCs w:val="18"/>
                <w:lang w:eastAsia="sk-SK"/>
              </w:rPr>
              <w:t xml:space="preserve">                  111,1 </w:t>
            </w:r>
          </w:p>
          <w:p w14:paraId="0612E12E" w14:textId="77777777" w:rsidR="006C0C30" w:rsidRPr="00977000" w:rsidRDefault="006C0C30" w:rsidP="00B57EEC">
            <w:pPr>
              <w:keepNext/>
              <w:widowControl w:val="0"/>
              <w:ind w:left="-640" w:right="-73" w:hanging="284"/>
              <w:jc w:val="right"/>
              <w:rPr>
                <w:rFonts w:eastAsia="Times New Roman" w:cs="Segoe UI"/>
                <w:b/>
                <w:bCs/>
                <w:color w:val="000000"/>
                <w:sz w:val="18"/>
                <w:szCs w:val="18"/>
                <w:lang w:eastAsia="sk-SK"/>
              </w:rPr>
            </w:pPr>
          </w:p>
        </w:tc>
      </w:tr>
      <w:tr w:rsidR="006C0C30" w:rsidRPr="007F6F2B" w14:paraId="6042A286" w14:textId="77777777" w:rsidTr="00B57EEC">
        <w:trPr>
          <w:trHeight w:hRule="exact" w:val="284"/>
        </w:trPr>
        <w:tc>
          <w:tcPr>
            <w:tcW w:w="1980" w:type="dxa"/>
          </w:tcPr>
          <w:p w14:paraId="6CBAAF3B" w14:textId="77777777" w:rsidR="006C0C30" w:rsidRPr="00977000" w:rsidRDefault="006C0C30" w:rsidP="00B57EEC">
            <w:pPr>
              <w:keepNext/>
              <w:widowControl w:val="0"/>
              <w:jc w:val="left"/>
              <w:rPr>
                <w:rFonts w:eastAsia="Times New Roman" w:cs="Segoe UI"/>
                <w:b/>
                <w:bCs/>
                <w:sz w:val="18"/>
                <w:szCs w:val="18"/>
                <w:lang w:eastAsia="sk-SK" w:bidi="sk-SK"/>
              </w:rPr>
            </w:pPr>
            <w:r w:rsidRPr="00977000">
              <w:rPr>
                <w:rFonts w:eastAsia="Times New Roman" w:cs="Segoe UI"/>
                <w:b/>
                <w:bCs/>
                <w:sz w:val="18"/>
                <w:szCs w:val="18"/>
                <w:lang w:eastAsia="sk-SK" w:bidi="sk-SK"/>
              </w:rPr>
              <w:t>Finančné operácie</w:t>
            </w:r>
          </w:p>
        </w:tc>
        <w:tc>
          <w:tcPr>
            <w:tcW w:w="1139" w:type="dxa"/>
            <w:gridSpan w:val="2"/>
          </w:tcPr>
          <w:p w14:paraId="50E14CF7" w14:textId="77777777" w:rsidR="006C0C30" w:rsidRPr="00977000" w:rsidRDefault="006C0C30" w:rsidP="00B57EEC">
            <w:pPr>
              <w:ind w:left="-640" w:right="-73" w:hanging="284"/>
              <w:jc w:val="right"/>
              <w:rPr>
                <w:rFonts w:eastAsia="Times New Roman" w:cs="Segoe UI"/>
                <w:b/>
                <w:bCs/>
                <w:color w:val="000000"/>
                <w:sz w:val="18"/>
                <w:szCs w:val="18"/>
                <w:lang w:eastAsia="sk-SK"/>
              </w:rPr>
            </w:pPr>
            <w:r w:rsidRPr="00977000">
              <w:rPr>
                <w:rFonts w:eastAsia="Times New Roman" w:cs="Segoe UI"/>
                <w:b/>
                <w:bCs/>
                <w:color w:val="000000"/>
                <w:sz w:val="18"/>
                <w:szCs w:val="18"/>
                <w:lang w:eastAsia="sk-SK"/>
              </w:rPr>
              <w:t xml:space="preserve">         76 090 </w:t>
            </w:r>
          </w:p>
          <w:p w14:paraId="6E52742C" w14:textId="77777777" w:rsidR="006C0C30" w:rsidRPr="00977000" w:rsidRDefault="006C0C30" w:rsidP="00B57EEC">
            <w:pPr>
              <w:keepNext/>
              <w:widowControl w:val="0"/>
              <w:ind w:left="-640" w:right="-73" w:hanging="284"/>
              <w:jc w:val="right"/>
              <w:rPr>
                <w:rFonts w:eastAsia="Times New Roman" w:cs="Segoe UI"/>
                <w:b/>
                <w:bCs/>
                <w:color w:val="000000"/>
                <w:sz w:val="18"/>
                <w:szCs w:val="18"/>
                <w:lang w:eastAsia="sk-SK"/>
              </w:rPr>
            </w:pPr>
          </w:p>
        </w:tc>
        <w:tc>
          <w:tcPr>
            <w:tcW w:w="983" w:type="dxa"/>
          </w:tcPr>
          <w:p w14:paraId="6C3FB105" w14:textId="77777777" w:rsidR="006C0C30" w:rsidRPr="00977000" w:rsidRDefault="006C0C30" w:rsidP="00B57EEC">
            <w:pPr>
              <w:ind w:left="-640" w:right="-73" w:hanging="284"/>
              <w:jc w:val="right"/>
              <w:rPr>
                <w:rFonts w:eastAsia="Times New Roman" w:cs="Segoe UI"/>
                <w:b/>
                <w:bCs/>
                <w:color w:val="000000"/>
                <w:sz w:val="18"/>
                <w:szCs w:val="18"/>
                <w:lang w:eastAsia="sk-SK"/>
              </w:rPr>
            </w:pPr>
            <w:r w:rsidRPr="00977000">
              <w:rPr>
                <w:rFonts w:eastAsia="Times New Roman" w:cs="Segoe UI"/>
                <w:b/>
                <w:bCs/>
                <w:color w:val="000000"/>
                <w:sz w:val="18"/>
                <w:szCs w:val="18"/>
                <w:lang w:eastAsia="sk-SK"/>
              </w:rPr>
              <w:t xml:space="preserve">         56 000 </w:t>
            </w:r>
          </w:p>
          <w:p w14:paraId="62770287" w14:textId="77777777" w:rsidR="006C0C30" w:rsidRPr="00977000" w:rsidRDefault="006C0C30" w:rsidP="00B57EEC">
            <w:pPr>
              <w:keepNext/>
              <w:widowControl w:val="0"/>
              <w:ind w:left="-640" w:right="-73" w:hanging="284"/>
              <w:jc w:val="right"/>
              <w:rPr>
                <w:rFonts w:eastAsia="Times New Roman" w:cs="Segoe UI"/>
                <w:b/>
                <w:bCs/>
                <w:color w:val="000000"/>
                <w:sz w:val="18"/>
                <w:szCs w:val="18"/>
                <w:lang w:eastAsia="sk-SK"/>
              </w:rPr>
            </w:pPr>
          </w:p>
        </w:tc>
        <w:tc>
          <w:tcPr>
            <w:tcW w:w="1001" w:type="dxa"/>
          </w:tcPr>
          <w:p w14:paraId="0AA8DCAC" w14:textId="77777777" w:rsidR="006C0C30" w:rsidRPr="00977000" w:rsidRDefault="006C0C30" w:rsidP="00B57EEC">
            <w:pPr>
              <w:ind w:left="-640" w:right="-106" w:hanging="284"/>
              <w:jc w:val="right"/>
              <w:rPr>
                <w:rFonts w:eastAsia="Times New Roman" w:cs="Segoe UI"/>
                <w:b/>
                <w:bCs/>
                <w:color w:val="000000"/>
                <w:sz w:val="18"/>
                <w:szCs w:val="18"/>
                <w:lang w:eastAsia="sk-SK"/>
              </w:rPr>
            </w:pPr>
            <w:r w:rsidRPr="00977000">
              <w:rPr>
                <w:rFonts w:eastAsia="Times New Roman" w:cs="Segoe UI"/>
                <w:b/>
                <w:bCs/>
                <w:color w:val="000000"/>
                <w:sz w:val="18"/>
                <w:szCs w:val="18"/>
                <w:lang w:eastAsia="sk-SK"/>
              </w:rPr>
              <w:t xml:space="preserve">         96 000 </w:t>
            </w:r>
          </w:p>
          <w:p w14:paraId="0B266DFB" w14:textId="77777777" w:rsidR="006C0C30" w:rsidRPr="00977000" w:rsidRDefault="006C0C30" w:rsidP="00B57EEC">
            <w:pPr>
              <w:keepNext/>
              <w:widowControl w:val="0"/>
              <w:ind w:left="-640" w:right="-106" w:hanging="284"/>
              <w:jc w:val="right"/>
              <w:rPr>
                <w:rFonts w:eastAsia="Times New Roman" w:cs="Segoe UI"/>
                <w:b/>
                <w:bCs/>
                <w:color w:val="000000"/>
                <w:sz w:val="18"/>
                <w:szCs w:val="18"/>
                <w:lang w:eastAsia="sk-SK"/>
              </w:rPr>
            </w:pPr>
          </w:p>
        </w:tc>
        <w:tc>
          <w:tcPr>
            <w:tcW w:w="1134" w:type="dxa"/>
            <w:gridSpan w:val="2"/>
          </w:tcPr>
          <w:p w14:paraId="5C55F233" w14:textId="77777777" w:rsidR="006C0C30" w:rsidRPr="00977000" w:rsidRDefault="006C0C30" w:rsidP="00B57EEC">
            <w:pPr>
              <w:ind w:left="-640" w:right="-73" w:hanging="284"/>
              <w:jc w:val="right"/>
              <w:rPr>
                <w:rFonts w:eastAsia="Times New Roman" w:cs="Segoe UI"/>
                <w:b/>
                <w:bCs/>
                <w:color w:val="000000"/>
                <w:sz w:val="18"/>
                <w:szCs w:val="18"/>
                <w:lang w:eastAsia="sk-SK"/>
              </w:rPr>
            </w:pPr>
            <w:r w:rsidRPr="00977000">
              <w:rPr>
                <w:rFonts w:eastAsia="Times New Roman" w:cs="Segoe UI"/>
                <w:b/>
                <w:bCs/>
                <w:color w:val="000000"/>
                <w:sz w:val="18"/>
                <w:szCs w:val="18"/>
                <w:lang w:eastAsia="sk-SK"/>
              </w:rPr>
              <w:t xml:space="preserve">         56 000 </w:t>
            </w:r>
          </w:p>
          <w:p w14:paraId="68397B52" w14:textId="77777777" w:rsidR="006C0C30" w:rsidRPr="00977000" w:rsidRDefault="006C0C30" w:rsidP="00B57EEC">
            <w:pPr>
              <w:keepNext/>
              <w:widowControl w:val="0"/>
              <w:ind w:left="-640" w:right="-73" w:hanging="284"/>
              <w:jc w:val="right"/>
              <w:rPr>
                <w:rFonts w:eastAsia="Times New Roman" w:cs="Segoe UI"/>
                <w:b/>
                <w:bCs/>
                <w:color w:val="000000"/>
                <w:sz w:val="18"/>
                <w:szCs w:val="18"/>
                <w:lang w:eastAsia="sk-SK"/>
              </w:rPr>
            </w:pPr>
          </w:p>
        </w:tc>
        <w:tc>
          <w:tcPr>
            <w:tcW w:w="1418" w:type="dxa"/>
          </w:tcPr>
          <w:p w14:paraId="003CEF1B" w14:textId="77777777" w:rsidR="006C0C30" w:rsidRPr="00977000" w:rsidRDefault="006C0C30" w:rsidP="00B57EEC">
            <w:pPr>
              <w:ind w:left="-640" w:right="-73" w:hanging="284"/>
              <w:jc w:val="right"/>
              <w:rPr>
                <w:rFonts w:eastAsia="Times New Roman" w:cs="Segoe UI"/>
                <w:b/>
                <w:bCs/>
                <w:color w:val="000000"/>
                <w:sz w:val="18"/>
                <w:szCs w:val="18"/>
                <w:lang w:eastAsia="sk-SK"/>
              </w:rPr>
            </w:pPr>
            <w:r w:rsidRPr="00977000">
              <w:rPr>
                <w:rFonts w:eastAsia="Times New Roman" w:cs="Segoe UI"/>
                <w:b/>
                <w:bCs/>
                <w:color w:val="000000"/>
                <w:sz w:val="18"/>
                <w:szCs w:val="18"/>
                <w:lang w:eastAsia="sk-SK"/>
              </w:rPr>
              <w:t>0</w:t>
            </w:r>
          </w:p>
          <w:p w14:paraId="3CAD8B04" w14:textId="77777777" w:rsidR="006C0C30" w:rsidRPr="00977000" w:rsidRDefault="006C0C30" w:rsidP="00B57EEC">
            <w:pPr>
              <w:keepNext/>
              <w:widowControl w:val="0"/>
              <w:ind w:left="-640" w:right="-73" w:hanging="284"/>
              <w:jc w:val="right"/>
              <w:rPr>
                <w:rFonts w:eastAsia="Times New Roman" w:cs="Segoe UI"/>
                <w:b/>
                <w:bCs/>
                <w:color w:val="000000"/>
                <w:sz w:val="18"/>
                <w:szCs w:val="18"/>
                <w:lang w:eastAsia="sk-SK"/>
              </w:rPr>
            </w:pPr>
          </w:p>
        </w:tc>
        <w:tc>
          <w:tcPr>
            <w:tcW w:w="1412" w:type="dxa"/>
          </w:tcPr>
          <w:p w14:paraId="68BAF8BC" w14:textId="77777777" w:rsidR="006C0C30" w:rsidRPr="00977000" w:rsidRDefault="006C0C30" w:rsidP="00B57EEC">
            <w:pPr>
              <w:ind w:left="-640" w:right="-73" w:hanging="284"/>
              <w:jc w:val="right"/>
              <w:rPr>
                <w:rFonts w:eastAsia="Times New Roman" w:cs="Segoe UI"/>
                <w:b/>
                <w:bCs/>
                <w:color w:val="000000"/>
                <w:sz w:val="18"/>
                <w:szCs w:val="18"/>
                <w:lang w:eastAsia="sk-SK"/>
              </w:rPr>
            </w:pPr>
            <w:r w:rsidRPr="00977000">
              <w:rPr>
                <w:rFonts w:eastAsia="Times New Roman" w:cs="Segoe UI"/>
                <w:b/>
                <w:bCs/>
                <w:color w:val="000000"/>
                <w:sz w:val="18"/>
                <w:szCs w:val="18"/>
                <w:lang w:eastAsia="sk-SK"/>
              </w:rPr>
              <w:t xml:space="preserve">                  100,0 </w:t>
            </w:r>
          </w:p>
          <w:p w14:paraId="67E53C2E" w14:textId="77777777" w:rsidR="006C0C30" w:rsidRPr="00977000" w:rsidRDefault="006C0C30" w:rsidP="00B57EEC">
            <w:pPr>
              <w:keepNext/>
              <w:widowControl w:val="0"/>
              <w:ind w:left="-640" w:right="-73" w:hanging="284"/>
              <w:jc w:val="right"/>
              <w:rPr>
                <w:rFonts w:eastAsia="Times New Roman" w:cs="Segoe UI"/>
                <w:b/>
                <w:bCs/>
                <w:color w:val="000000"/>
                <w:sz w:val="18"/>
                <w:szCs w:val="18"/>
                <w:lang w:eastAsia="sk-SK"/>
              </w:rPr>
            </w:pPr>
          </w:p>
        </w:tc>
      </w:tr>
    </w:tbl>
    <w:p w14:paraId="58B901AB" w14:textId="77777777" w:rsidR="00790C32" w:rsidRDefault="00790C32" w:rsidP="00790C32">
      <w:pPr>
        <w:spacing w:line="240" w:lineRule="auto"/>
        <w:jc w:val="left"/>
        <w:rPr>
          <w:rFonts w:eastAsia="Calibri" w:cs="Times New Roman"/>
          <w:i/>
          <w:color w:val="314364"/>
          <w:sz w:val="16"/>
        </w:rPr>
      </w:pPr>
      <w:r>
        <w:rPr>
          <w:rFonts w:eastAsia="Calibri" w:cs="Times New Roman"/>
          <w:i/>
          <w:color w:val="314364"/>
          <w:sz w:val="16"/>
        </w:rPr>
        <w:t>Zdroj: Návrh RVS 2025 až 2027.</w:t>
      </w:r>
    </w:p>
    <w:p w14:paraId="4A9D68A9" w14:textId="6C69DE65" w:rsidR="00E62C50" w:rsidRDefault="00714741" w:rsidP="00790C32">
      <w:r>
        <w:rPr>
          <w:b/>
        </w:rPr>
        <w:t xml:space="preserve">Podiel </w:t>
      </w:r>
      <w:r w:rsidRPr="00847CD0">
        <w:rPr>
          <w:b/>
        </w:rPr>
        <w:t xml:space="preserve">VÚC </w:t>
      </w:r>
      <w:r>
        <w:rPr>
          <w:b/>
        </w:rPr>
        <w:t>na výnose</w:t>
      </w:r>
      <w:r w:rsidRPr="00847CD0">
        <w:rPr>
          <w:b/>
        </w:rPr>
        <w:t xml:space="preserve"> DPFO </w:t>
      </w:r>
      <w:r>
        <w:rPr>
          <w:b/>
        </w:rPr>
        <w:t xml:space="preserve">sa </w:t>
      </w:r>
      <w:r w:rsidRPr="00847CD0">
        <w:rPr>
          <w:b/>
        </w:rPr>
        <w:t xml:space="preserve">z pôvodných 30 % </w:t>
      </w:r>
      <w:r>
        <w:rPr>
          <w:b/>
        </w:rPr>
        <w:t xml:space="preserve">od 1. januára 2025 zníži </w:t>
      </w:r>
      <w:r w:rsidRPr="00847CD0">
        <w:rPr>
          <w:b/>
        </w:rPr>
        <w:t>na 29,5 %</w:t>
      </w:r>
      <w:r>
        <w:rPr>
          <w:b/>
        </w:rPr>
        <w:t xml:space="preserve">. </w:t>
      </w:r>
      <w:r w:rsidRPr="00F35B35">
        <w:t xml:space="preserve">Pokles podielu VÚC zodpovedá objemu opatrení prijímaných za účelom </w:t>
      </w:r>
      <w:r>
        <w:t>konsolidácie verejných financií, pričom bol</w:t>
      </w:r>
      <w:r w:rsidR="00D27779">
        <w:t>i</w:t>
      </w:r>
      <w:r>
        <w:t xml:space="preserve"> nastavené tak, aby sa zachovala suma príjmov na základe doterajších prognóz. P</w:t>
      </w:r>
      <w:r w:rsidRPr="002B09DC">
        <w:t xml:space="preserve">ríjmy </w:t>
      </w:r>
      <w:r>
        <w:t xml:space="preserve">VÚC </w:t>
      </w:r>
      <w:r w:rsidRPr="002B09DC">
        <w:t>z</w:t>
      </w:r>
      <w:r>
        <w:t> </w:t>
      </w:r>
      <w:r w:rsidRPr="002B09DC">
        <w:t>DPFO</w:t>
      </w:r>
      <w:r>
        <w:t xml:space="preserve"> </w:t>
      </w:r>
      <w:r w:rsidRPr="002B09DC">
        <w:t>od jej zavedenia v roku 2005</w:t>
      </w:r>
      <w:r w:rsidRPr="000C6806">
        <w:rPr>
          <w:rStyle w:val="Odkaznapoznmkupodiarou"/>
          <w:rFonts w:eastAsia="Times New Roman" w:cs="Segoe UI"/>
          <w:color w:val="000000"/>
          <w:lang w:eastAsia="sk-SK"/>
        </w:rPr>
        <w:footnoteReference w:id="118"/>
      </w:r>
      <w:r w:rsidRPr="002B09DC">
        <w:t xml:space="preserve"> rástli v priemere </w:t>
      </w:r>
      <w:r>
        <w:t xml:space="preserve">o </w:t>
      </w:r>
      <w:r w:rsidRPr="002B09DC">
        <w:t>8,3 % ročne</w:t>
      </w:r>
      <w:r>
        <w:t xml:space="preserve"> a vo vzťahu k vyššie uvedeným skutočnostiam NKÚ SR neeviduje do budúcnosti významnú zmenu.</w:t>
      </w:r>
    </w:p>
    <w:p w14:paraId="74FC866D" w14:textId="169A929A" w:rsidR="00ED1EE8" w:rsidRPr="00E62C50" w:rsidRDefault="00913EB0" w:rsidP="00790C32">
      <w:pPr>
        <w:rPr>
          <w:b/>
        </w:rPr>
      </w:pPr>
      <w:r>
        <w:rPr>
          <w:b/>
        </w:rPr>
        <w:t xml:space="preserve">V súvislosti so zmenami financovania samosprávy </w:t>
      </w:r>
      <w:r w:rsidR="00E62C50" w:rsidRPr="00E62C50">
        <w:rPr>
          <w:b/>
        </w:rPr>
        <w:t>NKÚ SR upozorňuje</w:t>
      </w:r>
      <w:r w:rsidR="00E62C50">
        <w:rPr>
          <w:b/>
        </w:rPr>
        <w:t>, že je potrebné</w:t>
      </w:r>
      <w:r w:rsidR="00E62C50" w:rsidRPr="00E62C50">
        <w:rPr>
          <w:b/>
        </w:rPr>
        <w:t xml:space="preserve"> </w:t>
      </w:r>
      <w:r>
        <w:rPr>
          <w:b/>
        </w:rPr>
        <w:t>realizovať komplexnú</w:t>
      </w:r>
      <w:r w:rsidR="00E62C50" w:rsidRPr="00E62C50">
        <w:rPr>
          <w:b/>
        </w:rPr>
        <w:t xml:space="preserve"> reform</w:t>
      </w:r>
      <w:r>
        <w:rPr>
          <w:b/>
        </w:rPr>
        <w:t>u v tejto oblasti</w:t>
      </w:r>
      <w:r w:rsidR="00E62C50" w:rsidRPr="00E62C50">
        <w:rPr>
          <w:b/>
        </w:rPr>
        <w:t>.</w:t>
      </w:r>
      <w:r w:rsidR="00ED1EE8" w:rsidRPr="00E62C50">
        <w:rPr>
          <w:b/>
        </w:rPr>
        <w:br w:type="page"/>
      </w:r>
    </w:p>
    <w:p w14:paraId="42FDA198" w14:textId="4EB62234" w:rsidR="00AA3773" w:rsidRDefault="00B46458" w:rsidP="00B46458">
      <w:pPr>
        <w:pStyle w:val="Nadpis1"/>
      </w:pPr>
      <w:bookmarkStart w:id="63" w:name="_Toc182559208"/>
      <w:r>
        <w:lastRenderedPageBreak/>
        <w:t>Príloha</w:t>
      </w:r>
      <w:bookmarkEnd w:id="63"/>
    </w:p>
    <w:p w14:paraId="118B57E5" w14:textId="4721EB7E" w:rsidR="00B5522E" w:rsidRPr="000C6806" w:rsidRDefault="00B5522E" w:rsidP="00B5522E">
      <w:pPr>
        <w:keepNext/>
        <w:spacing w:after="0"/>
        <w:rPr>
          <w:rFonts w:cs="Times New Roman"/>
          <w:b/>
          <w:iCs/>
          <w:color w:val="314364"/>
          <w:szCs w:val="18"/>
        </w:rPr>
      </w:pPr>
      <w:r w:rsidRPr="000C6806">
        <w:rPr>
          <w:rFonts w:cs="Times New Roman"/>
          <w:b/>
          <w:iCs/>
          <w:color w:val="314364"/>
          <w:szCs w:val="18"/>
        </w:rPr>
        <w:t>Tabuľka 1</w:t>
      </w:r>
      <w:r w:rsidR="002B1C1E">
        <w:rPr>
          <w:rFonts w:cs="Times New Roman"/>
          <w:b/>
          <w:iCs/>
          <w:color w:val="314364"/>
          <w:szCs w:val="18"/>
        </w:rPr>
        <w:t>7</w:t>
      </w:r>
      <w:r w:rsidRPr="000C6806">
        <w:rPr>
          <w:rFonts w:cs="Times New Roman"/>
          <w:b/>
          <w:iCs/>
          <w:color w:val="314364"/>
          <w:szCs w:val="18"/>
        </w:rPr>
        <w:t>: Limit verejných výdavkov subjektov verejnej správy a ďalších súčastí RVS na rok 2025</w:t>
      </w:r>
    </w:p>
    <w:tbl>
      <w:tblPr>
        <w:tblW w:w="5000" w:type="pct"/>
        <w:jc w:val="center"/>
        <w:tblCellMar>
          <w:top w:w="28" w:type="dxa"/>
        </w:tblCellMar>
        <w:tblLook w:val="04A0" w:firstRow="1" w:lastRow="0" w:firstColumn="1" w:lastColumn="0" w:noHBand="0" w:noVBand="1"/>
      </w:tblPr>
      <w:tblGrid>
        <w:gridCol w:w="5514"/>
        <w:gridCol w:w="1778"/>
        <w:gridCol w:w="1778"/>
      </w:tblGrid>
      <w:tr w:rsidR="00B5522E" w:rsidRPr="00D46D45" w14:paraId="0DF1A766" w14:textId="77777777" w:rsidTr="00B571E8">
        <w:trPr>
          <w:trHeight w:val="57"/>
          <w:tblHeader/>
          <w:jc w:val="center"/>
        </w:trPr>
        <w:tc>
          <w:tcPr>
            <w:tcW w:w="3040" w:type="pct"/>
            <w:tcBorders>
              <w:bottom w:val="single" w:sz="4" w:space="0" w:color="314364"/>
            </w:tcBorders>
            <w:shd w:val="clear" w:color="auto" w:fill="314364"/>
            <w:vAlign w:val="center"/>
          </w:tcPr>
          <w:p w14:paraId="29B79BC6" w14:textId="77777777" w:rsidR="00B5522E" w:rsidRPr="00D46D45" w:rsidRDefault="00B5522E" w:rsidP="00B571E8">
            <w:pPr>
              <w:spacing w:after="0" w:line="240" w:lineRule="auto"/>
              <w:jc w:val="left"/>
              <w:rPr>
                <w:rFonts w:eastAsia="Calibri" w:cs="Segoe UI"/>
                <w:b/>
                <w:color w:val="FFFFFF"/>
                <w:sz w:val="18"/>
                <w:szCs w:val="16"/>
              </w:rPr>
            </w:pPr>
            <w:r w:rsidRPr="00D46D45">
              <w:rPr>
                <w:rFonts w:eastAsia="Calibri" w:cs="Segoe UI"/>
                <w:b/>
                <w:color w:val="FFFFFF"/>
                <w:sz w:val="18"/>
                <w:szCs w:val="16"/>
              </w:rPr>
              <w:t>Subjekt verejnej správy</w:t>
            </w:r>
          </w:p>
        </w:tc>
        <w:tc>
          <w:tcPr>
            <w:tcW w:w="980" w:type="pct"/>
            <w:tcBorders>
              <w:bottom w:val="single" w:sz="4" w:space="0" w:color="314364"/>
            </w:tcBorders>
            <w:shd w:val="clear" w:color="auto" w:fill="314364"/>
            <w:vAlign w:val="center"/>
          </w:tcPr>
          <w:p w14:paraId="03DFBB86" w14:textId="6D60C435" w:rsidR="00B5522E" w:rsidRPr="00D46D45" w:rsidRDefault="00B5522E" w:rsidP="00B571E8">
            <w:pPr>
              <w:spacing w:after="0" w:line="240" w:lineRule="auto"/>
              <w:jc w:val="right"/>
              <w:rPr>
                <w:rFonts w:eastAsia="Calibri" w:cs="Segoe UI"/>
                <w:b/>
                <w:color w:val="FFFFFF"/>
                <w:sz w:val="18"/>
                <w:szCs w:val="16"/>
              </w:rPr>
            </w:pPr>
            <w:r w:rsidRPr="00D46D45">
              <w:rPr>
                <w:rFonts w:eastAsia="Calibri" w:cs="Segoe UI"/>
                <w:b/>
                <w:color w:val="FFFFFF"/>
                <w:sz w:val="18"/>
                <w:szCs w:val="16"/>
              </w:rPr>
              <w:t>LVV (v eur</w:t>
            </w:r>
            <w:r>
              <w:rPr>
                <w:rFonts w:eastAsia="Calibri" w:cs="Segoe UI"/>
                <w:b/>
                <w:color w:val="FFFFFF"/>
                <w:sz w:val="18"/>
                <w:szCs w:val="16"/>
              </w:rPr>
              <w:t>ách</w:t>
            </w:r>
            <w:r w:rsidRPr="00D46D45">
              <w:rPr>
                <w:rFonts w:eastAsia="Calibri" w:cs="Segoe UI"/>
                <w:b/>
                <w:color w:val="FFFFFF"/>
                <w:sz w:val="18"/>
                <w:szCs w:val="16"/>
              </w:rPr>
              <w:t>)</w:t>
            </w:r>
          </w:p>
        </w:tc>
        <w:tc>
          <w:tcPr>
            <w:tcW w:w="980" w:type="pct"/>
            <w:tcBorders>
              <w:bottom w:val="single" w:sz="4" w:space="0" w:color="314364"/>
            </w:tcBorders>
            <w:shd w:val="clear" w:color="auto" w:fill="314364"/>
            <w:vAlign w:val="center"/>
          </w:tcPr>
          <w:p w14:paraId="3929A6D2" w14:textId="41726EE1" w:rsidR="00B5522E" w:rsidRPr="00D46D45" w:rsidRDefault="00B5522E" w:rsidP="00B571E8">
            <w:pPr>
              <w:spacing w:after="0" w:line="240" w:lineRule="auto"/>
              <w:jc w:val="right"/>
              <w:rPr>
                <w:rFonts w:eastAsia="Calibri" w:cs="Segoe UI"/>
                <w:b/>
                <w:color w:val="FFFFFF"/>
                <w:sz w:val="18"/>
                <w:szCs w:val="16"/>
              </w:rPr>
            </w:pPr>
            <w:r w:rsidRPr="00D46D45">
              <w:rPr>
                <w:rFonts w:eastAsia="Calibri" w:cs="Segoe UI"/>
                <w:b/>
                <w:color w:val="FFFFFF"/>
                <w:sz w:val="18"/>
                <w:szCs w:val="16"/>
              </w:rPr>
              <w:t>Podiel na LVV (</w:t>
            </w:r>
            <w:r>
              <w:rPr>
                <w:rFonts w:eastAsia="Calibri" w:cs="Segoe UI"/>
                <w:b/>
                <w:color w:val="FFFFFF"/>
                <w:sz w:val="18"/>
                <w:szCs w:val="16"/>
              </w:rPr>
              <w:t xml:space="preserve">v </w:t>
            </w:r>
            <w:r w:rsidRPr="00D46D45">
              <w:rPr>
                <w:rFonts w:eastAsia="Calibri" w:cs="Segoe UI"/>
                <w:b/>
                <w:color w:val="FFFFFF"/>
                <w:sz w:val="18"/>
                <w:szCs w:val="16"/>
              </w:rPr>
              <w:t>%)</w:t>
            </w:r>
          </w:p>
        </w:tc>
      </w:tr>
      <w:tr w:rsidR="00B5522E" w:rsidRPr="00D46D45" w14:paraId="6996EB6E" w14:textId="77777777" w:rsidTr="00B571E8">
        <w:trPr>
          <w:trHeight w:val="57"/>
          <w:jc w:val="center"/>
        </w:trPr>
        <w:tc>
          <w:tcPr>
            <w:tcW w:w="3040" w:type="pct"/>
            <w:tcBorders>
              <w:top w:val="single" w:sz="4" w:space="0" w:color="314364"/>
            </w:tcBorders>
            <w:vAlign w:val="center"/>
          </w:tcPr>
          <w:p w14:paraId="0AAFB71E" w14:textId="77777777" w:rsidR="00B5522E" w:rsidRPr="002571D3" w:rsidRDefault="00B5522E" w:rsidP="00B571E8">
            <w:pPr>
              <w:spacing w:after="0" w:line="240" w:lineRule="auto"/>
              <w:jc w:val="left"/>
              <w:rPr>
                <w:rFonts w:eastAsia="Calibri" w:cs="Segoe UI"/>
                <w:b/>
                <w:sz w:val="18"/>
                <w:szCs w:val="18"/>
              </w:rPr>
            </w:pPr>
            <w:r w:rsidRPr="002571D3">
              <w:rPr>
                <w:rFonts w:cs="Segoe UI"/>
                <w:b/>
                <w:color w:val="000000"/>
                <w:sz w:val="18"/>
                <w:szCs w:val="18"/>
              </w:rPr>
              <w:t>LVV subjektov verejnej správy a ďalších súčastí RVS 2025</w:t>
            </w:r>
          </w:p>
        </w:tc>
        <w:tc>
          <w:tcPr>
            <w:tcW w:w="980" w:type="pct"/>
            <w:tcBorders>
              <w:top w:val="single" w:sz="4" w:space="0" w:color="314364"/>
            </w:tcBorders>
            <w:vAlign w:val="center"/>
          </w:tcPr>
          <w:p w14:paraId="1210C32E" w14:textId="77777777" w:rsidR="00B5522E" w:rsidRPr="002571D3" w:rsidRDefault="00B5522E" w:rsidP="00B571E8">
            <w:pPr>
              <w:spacing w:after="0" w:line="240" w:lineRule="auto"/>
              <w:jc w:val="right"/>
              <w:rPr>
                <w:rFonts w:eastAsia="Calibri" w:cs="Segoe UI"/>
                <w:b/>
                <w:sz w:val="18"/>
                <w:szCs w:val="18"/>
              </w:rPr>
            </w:pPr>
            <w:r w:rsidRPr="002571D3">
              <w:rPr>
                <w:rFonts w:cs="Segoe UI"/>
                <w:b/>
                <w:color w:val="000000"/>
                <w:sz w:val="18"/>
                <w:szCs w:val="18"/>
              </w:rPr>
              <w:t>61 063 029 944</w:t>
            </w:r>
          </w:p>
        </w:tc>
        <w:tc>
          <w:tcPr>
            <w:tcW w:w="980" w:type="pct"/>
            <w:tcBorders>
              <w:top w:val="single" w:sz="4" w:space="0" w:color="314364"/>
            </w:tcBorders>
            <w:shd w:val="clear" w:color="auto" w:fill="auto"/>
            <w:vAlign w:val="center"/>
          </w:tcPr>
          <w:p w14:paraId="281C87EA" w14:textId="77777777" w:rsidR="00B5522E" w:rsidRPr="002571D3" w:rsidRDefault="00B5522E" w:rsidP="00B571E8">
            <w:pPr>
              <w:spacing w:after="0" w:line="240" w:lineRule="auto"/>
              <w:jc w:val="right"/>
              <w:rPr>
                <w:rFonts w:eastAsia="Calibri" w:cs="Segoe UI"/>
                <w:b/>
                <w:sz w:val="18"/>
                <w:szCs w:val="18"/>
              </w:rPr>
            </w:pPr>
            <w:r w:rsidRPr="002571D3">
              <w:rPr>
                <w:rFonts w:cs="Segoe UI"/>
                <w:b/>
                <w:color w:val="000000"/>
                <w:sz w:val="18"/>
                <w:szCs w:val="18"/>
              </w:rPr>
              <w:t>-</w:t>
            </w:r>
          </w:p>
        </w:tc>
      </w:tr>
      <w:tr w:rsidR="00B5522E" w:rsidRPr="00D46D45" w14:paraId="77C863A4" w14:textId="77777777" w:rsidTr="00B571E8">
        <w:trPr>
          <w:trHeight w:val="57"/>
          <w:jc w:val="center"/>
        </w:trPr>
        <w:tc>
          <w:tcPr>
            <w:tcW w:w="3040" w:type="pct"/>
            <w:vAlign w:val="center"/>
          </w:tcPr>
          <w:p w14:paraId="5DD2C97B" w14:textId="77777777" w:rsidR="00B5522E" w:rsidRPr="00D46D45" w:rsidRDefault="00B5522E" w:rsidP="00B571E8">
            <w:pPr>
              <w:spacing w:after="0" w:line="240" w:lineRule="auto"/>
              <w:jc w:val="left"/>
              <w:rPr>
                <w:rFonts w:eastAsia="Calibri" w:cs="Segoe UI"/>
                <w:sz w:val="18"/>
                <w:szCs w:val="18"/>
              </w:rPr>
            </w:pPr>
            <w:r w:rsidRPr="00D46D45">
              <w:rPr>
                <w:rFonts w:cs="Segoe UI"/>
                <w:color w:val="000000"/>
                <w:sz w:val="18"/>
                <w:szCs w:val="18"/>
              </w:rPr>
              <w:t>Štátny rozpočet</w:t>
            </w:r>
          </w:p>
        </w:tc>
        <w:tc>
          <w:tcPr>
            <w:tcW w:w="980" w:type="pct"/>
            <w:vAlign w:val="center"/>
          </w:tcPr>
          <w:p w14:paraId="7A884A73"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23 455 548 832</w:t>
            </w:r>
          </w:p>
        </w:tc>
        <w:tc>
          <w:tcPr>
            <w:tcW w:w="980" w:type="pct"/>
            <w:shd w:val="clear" w:color="auto" w:fill="auto"/>
            <w:vAlign w:val="center"/>
          </w:tcPr>
          <w:p w14:paraId="599D04A7"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38,412%</w:t>
            </w:r>
          </w:p>
        </w:tc>
      </w:tr>
      <w:tr w:rsidR="00B5522E" w:rsidRPr="00D46D45" w14:paraId="410B8B5E" w14:textId="77777777" w:rsidTr="00B571E8">
        <w:trPr>
          <w:trHeight w:val="57"/>
          <w:jc w:val="center"/>
        </w:trPr>
        <w:tc>
          <w:tcPr>
            <w:tcW w:w="3040" w:type="pct"/>
            <w:vAlign w:val="center"/>
          </w:tcPr>
          <w:p w14:paraId="5DA376C6" w14:textId="77777777" w:rsidR="00B5522E" w:rsidRPr="00D46D45" w:rsidRDefault="00B5522E" w:rsidP="00B571E8">
            <w:pPr>
              <w:spacing w:after="0" w:line="240" w:lineRule="auto"/>
              <w:jc w:val="left"/>
              <w:rPr>
                <w:rFonts w:eastAsia="Calibri" w:cs="Segoe UI"/>
                <w:sz w:val="18"/>
                <w:szCs w:val="18"/>
              </w:rPr>
            </w:pPr>
            <w:r w:rsidRPr="00D46D45">
              <w:rPr>
                <w:rFonts w:cs="Segoe UI"/>
                <w:color w:val="000000"/>
                <w:sz w:val="18"/>
                <w:szCs w:val="18"/>
              </w:rPr>
              <w:t>Sociálna poisťovňa</w:t>
            </w:r>
          </w:p>
        </w:tc>
        <w:tc>
          <w:tcPr>
            <w:tcW w:w="980" w:type="pct"/>
            <w:vAlign w:val="center"/>
          </w:tcPr>
          <w:p w14:paraId="63106EDB"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14 733 431 628</w:t>
            </w:r>
          </w:p>
        </w:tc>
        <w:tc>
          <w:tcPr>
            <w:tcW w:w="980" w:type="pct"/>
            <w:shd w:val="clear" w:color="auto" w:fill="auto"/>
            <w:vAlign w:val="center"/>
          </w:tcPr>
          <w:p w14:paraId="0879BB1A"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24,128%</w:t>
            </w:r>
          </w:p>
        </w:tc>
      </w:tr>
      <w:tr w:rsidR="00B5522E" w:rsidRPr="00D46D45" w14:paraId="22D7CD37" w14:textId="77777777" w:rsidTr="00B571E8">
        <w:trPr>
          <w:trHeight w:val="57"/>
          <w:jc w:val="center"/>
        </w:trPr>
        <w:tc>
          <w:tcPr>
            <w:tcW w:w="3040" w:type="pct"/>
            <w:vAlign w:val="center"/>
          </w:tcPr>
          <w:p w14:paraId="72EE7474" w14:textId="77777777" w:rsidR="00B5522E" w:rsidRPr="00D46D45" w:rsidRDefault="00B5522E" w:rsidP="00B571E8">
            <w:pPr>
              <w:spacing w:after="0" w:line="240" w:lineRule="auto"/>
              <w:jc w:val="left"/>
              <w:rPr>
                <w:rFonts w:eastAsia="Calibri" w:cs="Segoe UI"/>
                <w:sz w:val="18"/>
                <w:szCs w:val="18"/>
              </w:rPr>
            </w:pPr>
            <w:r w:rsidRPr="00D46D45">
              <w:rPr>
                <w:rFonts w:cs="Segoe UI"/>
                <w:color w:val="000000"/>
                <w:sz w:val="18"/>
                <w:szCs w:val="18"/>
              </w:rPr>
              <w:t>Obce</w:t>
            </w:r>
          </w:p>
        </w:tc>
        <w:tc>
          <w:tcPr>
            <w:tcW w:w="980" w:type="pct"/>
            <w:vAlign w:val="center"/>
          </w:tcPr>
          <w:p w14:paraId="40F68824"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6 464 751 246</w:t>
            </w:r>
          </w:p>
        </w:tc>
        <w:tc>
          <w:tcPr>
            <w:tcW w:w="980" w:type="pct"/>
            <w:shd w:val="clear" w:color="auto" w:fill="auto"/>
            <w:vAlign w:val="center"/>
          </w:tcPr>
          <w:p w14:paraId="4CD1AC9C"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10,587%</w:t>
            </w:r>
          </w:p>
        </w:tc>
      </w:tr>
      <w:tr w:rsidR="00B5522E" w:rsidRPr="00D46D45" w14:paraId="0F1DED75" w14:textId="77777777" w:rsidTr="00B571E8">
        <w:trPr>
          <w:trHeight w:val="57"/>
          <w:jc w:val="center"/>
        </w:trPr>
        <w:tc>
          <w:tcPr>
            <w:tcW w:w="3040" w:type="pct"/>
            <w:vAlign w:val="center"/>
          </w:tcPr>
          <w:p w14:paraId="4BE88A13" w14:textId="77777777" w:rsidR="00B5522E" w:rsidRPr="00D46D45" w:rsidRDefault="00B5522E" w:rsidP="00B571E8">
            <w:pPr>
              <w:spacing w:after="0" w:line="240" w:lineRule="auto"/>
              <w:jc w:val="left"/>
              <w:rPr>
                <w:rFonts w:eastAsia="Calibri" w:cs="Segoe UI"/>
                <w:sz w:val="18"/>
                <w:szCs w:val="18"/>
              </w:rPr>
            </w:pPr>
            <w:r w:rsidRPr="00D46D45">
              <w:rPr>
                <w:rFonts w:cs="Segoe UI"/>
                <w:color w:val="000000"/>
                <w:sz w:val="18"/>
                <w:szCs w:val="18"/>
              </w:rPr>
              <w:t>Verejné zdravotné poistenie</w:t>
            </w:r>
          </w:p>
        </w:tc>
        <w:tc>
          <w:tcPr>
            <w:tcW w:w="980" w:type="pct"/>
            <w:vAlign w:val="center"/>
          </w:tcPr>
          <w:p w14:paraId="3305E59A"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5 800 713 122</w:t>
            </w:r>
          </w:p>
        </w:tc>
        <w:tc>
          <w:tcPr>
            <w:tcW w:w="980" w:type="pct"/>
            <w:shd w:val="clear" w:color="auto" w:fill="auto"/>
            <w:vAlign w:val="center"/>
          </w:tcPr>
          <w:p w14:paraId="0446119A"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9,500%</w:t>
            </w:r>
          </w:p>
        </w:tc>
      </w:tr>
      <w:tr w:rsidR="00B5522E" w:rsidRPr="00D46D45" w14:paraId="0032118F" w14:textId="77777777" w:rsidTr="00B571E8">
        <w:trPr>
          <w:trHeight w:val="57"/>
          <w:jc w:val="center"/>
        </w:trPr>
        <w:tc>
          <w:tcPr>
            <w:tcW w:w="3040" w:type="pct"/>
            <w:vAlign w:val="center"/>
          </w:tcPr>
          <w:p w14:paraId="0A2B50F0" w14:textId="77777777" w:rsidR="00B5522E" w:rsidRPr="00D46D45" w:rsidRDefault="00B5522E" w:rsidP="00B571E8">
            <w:pPr>
              <w:spacing w:after="0" w:line="240" w:lineRule="auto"/>
              <w:jc w:val="left"/>
              <w:rPr>
                <w:rFonts w:eastAsia="Calibri" w:cs="Segoe UI"/>
                <w:sz w:val="18"/>
                <w:szCs w:val="18"/>
              </w:rPr>
            </w:pPr>
            <w:r w:rsidRPr="00D46D45">
              <w:rPr>
                <w:rFonts w:cs="Segoe UI"/>
                <w:color w:val="000000"/>
                <w:sz w:val="18"/>
                <w:szCs w:val="18"/>
              </w:rPr>
              <w:t>Zdravotnícke zariadenia zaradené v ústrednej správe</w:t>
            </w:r>
          </w:p>
        </w:tc>
        <w:tc>
          <w:tcPr>
            <w:tcW w:w="980" w:type="pct"/>
            <w:vAlign w:val="center"/>
          </w:tcPr>
          <w:p w14:paraId="3ACCB9D7"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3 031 620 492</w:t>
            </w:r>
          </w:p>
        </w:tc>
        <w:tc>
          <w:tcPr>
            <w:tcW w:w="980" w:type="pct"/>
            <w:shd w:val="clear" w:color="auto" w:fill="auto"/>
            <w:vAlign w:val="center"/>
          </w:tcPr>
          <w:p w14:paraId="5B023EDA"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4,965%</w:t>
            </w:r>
          </w:p>
        </w:tc>
      </w:tr>
      <w:tr w:rsidR="00B5522E" w:rsidRPr="00D46D45" w14:paraId="6C110851" w14:textId="77777777" w:rsidTr="00B571E8">
        <w:trPr>
          <w:trHeight w:val="57"/>
          <w:jc w:val="center"/>
        </w:trPr>
        <w:tc>
          <w:tcPr>
            <w:tcW w:w="3040" w:type="pct"/>
            <w:vAlign w:val="center"/>
          </w:tcPr>
          <w:p w14:paraId="1BD83EB1" w14:textId="77777777" w:rsidR="00B5522E" w:rsidRPr="00D46D45" w:rsidRDefault="00B5522E" w:rsidP="00B571E8">
            <w:pPr>
              <w:spacing w:after="0" w:line="240" w:lineRule="auto"/>
              <w:jc w:val="left"/>
              <w:rPr>
                <w:rFonts w:eastAsia="Calibri" w:cs="Segoe UI"/>
                <w:sz w:val="18"/>
                <w:szCs w:val="18"/>
              </w:rPr>
            </w:pPr>
            <w:r w:rsidRPr="00D46D45">
              <w:rPr>
                <w:rFonts w:cs="Segoe UI"/>
                <w:color w:val="000000"/>
                <w:sz w:val="18"/>
                <w:szCs w:val="18"/>
              </w:rPr>
              <w:t>Vyššie územné celky</w:t>
            </w:r>
          </w:p>
        </w:tc>
        <w:tc>
          <w:tcPr>
            <w:tcW w:w="980" w:type="pct"/>
            <w:vAlign w:val="center"/>
          </w:tcPr>
          <w:p w14:paraId="51E9D86E"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1 583 196 814</w:t>
            </w:r>
          </w:p>
        </w:tc>
        <w:tc>
          <w:tcPr>
            <w:tcW w:w="980" w:type="pct"/>
            <w:shd w:val="clear" w:color="auto" w:fill="auto"/>
            <w:vAlign w:val="center"/>
          </w:tcPr>
          <w:p w14:paraId="1320CACE"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2,593%</w:t>
            </w:r>
          </w:p>
        </w:tc>
      </w:tr>
      <w:tr w:rsidR="00B5522E" w:rsidRPr="00D46D45" w14:paraId="367EFD6C" w14:textId="77777777" w:rsidTr="00B571E8">
        <w:trPr>
          <w:trHeight w:val="57"/>
          <w:jc w:val="center"/>
        </w:trPr>
        <w:tc>
          <w:tcPr>
            <w:tcW w:w="3040" w:type="pct"/>
            <w:vAlign w:val="center"/>
          </w:tcPr>
          <w:p w14:paraId="6478F034" w14:textId="77777777" w:rsidR="00B5522E" w:rsidRPr="00D46D45" w:rsidRDefault="00B5522E" w:rsidP="00B571E8">
            <w:pPr>
              <w:spacing w:after="0" w:line="240" w:lineRule="auto"/>
              <w:jc w:val="left"/>
              <w:rPr>
                <w:rFonts w:eastAsia="Calibri" w:cs="Segoe UI"/>
                <w:sz w:val="18"/>
                <w:szCs w:val="18"/>
              </w:rPr>
            </w:pPr>
            <w:r w:rsidRPr="00D46D45">
              <w:rPr>
                <w:rFonts w:cs="Segoe UI"/>
                <w:color w:val="000000"/>
                <w:sz w:val="18"/>
                <w:szCs w:val="18"/>
              </w:rPr>
              <w:t>Verejné vysoké školy</w:t>
            </w:r>
          </w:p>
        </w:tc>
        <w:tc>
          <w:tcPr>
            <w:tcW w:w="980" w:type="pct"/>
            <w:vAlign w:val="center"/>
          </w:tcPr>
          <w:p w14:paraId="0EA3E092"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1 121 940 838</w:t>
            </w:r>
          </w:p>
        </w:tc>
        <w:tc>
          <w:tcPr>
            <w:tcW w:w="980" w:type="pct"/>
            <w:shd w:val="clear" w:color="auto" w:fill="auto"/>
            <w:vAlign w:val="center"/>
          </w:tcPr>
          <w:p w14:paraId="3FEB072C"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1,837%</w:t>
            </w:r>
          </w:p>
        </w:tc>
      </w:tr>
      <w:tr w:rsidR="00B5522E" w:rsidRPr="00D46D45" w14:paraId="36A056EA" w14:textId="77777777" w:rsidTr="00B571E8">
        <w:trPr>
          <w:trHeight w:val="57"/>
          <w:jc w:val="center"/>
        </w:trPr>
        <w:tc>
          <w:tcPr>
            <w:tcW w:w="3040" w:type="pct"/>
            <w:vAlign w:val="center"/>
          </w:tcPr>
          <w:p w14:paraId="40CCFB4A" w14:textId="77777777" w:rsidR="00B5522E" w:rsidRPr="00D46D45" w:rsidRDefault="00B5522E" w:rsidP="00B571E8">
            <w:pPr>
              <w:spacing w:after="0" w:line="240" w:lineRule="auto"/>
              <w:jc w:val="left"/>
              <w:rPr>
                <w:rFonts w:eastAsia="Calibri" w:cs="Segoe UI"/>
                <w:sz w:val="18"/>
                <w:szCs w:val="18"/>
              </w:rPr>
            </w:pPr>
            <w:r w:rsidRPr="00D46D45">
              <w:rPr>
                <w:rFonts w:cs="Segoe UI"/>
                <w:color w:val="000000"/>
                <w:sz w:val="18"/>
                <w:szCs w:val="18"/>
              </w:rPr>
              <w:t>Železnice Slovenskej republiky</w:t>
            </w:r>
          </w:p>
        </w:tc>
        <w:tc>
          <w:tcPr>
            <w:tcW w:w="980" w:type="pct"/>
            <w:vAlign w:val="center"/>
          </w:tcPr>
          <w:p w14:paraId="12D124AC"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763 647 930</w:t>
            </w:r>
          </w:p>
        </w:tc>
        <w:tc>
          <w:tcPr>
            <w:tcW w:w="980" w:type="pct"/>
            <w:shd w:val="clear" w:color="auto" w:fill="auto"/>
            <w:vAlign w:val="center"/>
          </w:tcPr>
          <w:p w14:paraId="7C788557"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1,251%</w:t>
            </w:r>
          </w:p>
        </w:tc>
      </w:tr>
      <w:tr w:rsidR="00B5522E" w:rsidRPr="00D46D45" w14:paraId="11C84BB7" w14:textId="77777777" w:rsidTr="00B571E8">
        <w:trPr>
          <w:trHeight w:val="57"/>
          <w:jc w:val="center"/>
        </w:trPr>
        <w:tc>
          <w:tcPr>
            <w:tcW w:w="3040" w:type="pct"/>
            <w:vAlign w:val="center"/>
          </w:tcPr>
          <w:p w14:paraId="40330FAC" w14:textId="77777777" w:rsidR="00B5522E" w:rsidRPr="00D46D45" w:rsidRDefault="00B5522E" w:rsidP="00B571E8">
            <w:pPr>
              <w:spacing w:after="0" w:line="240" w:lineRule="auto"/>
              <w:jc w:val="left"/>
              <w:rPr>
                <w:rFonts w:eastAsia="Calibri" w:cs="Segoe UI"/>
                <w:sz w:val="18"/>
                <w:szCs w:val="18"/>
              </w:rPr>
            </w:pPr>
            <w:r w:rsidRPr="00D46D45">
              <w:rPr>
                <w:rFonts w:cs="Segoe UI"/>
                <w:color w:val="000000"/>
                <w:sz w:val="18"/>
                <w:szCs w:val="18"/>
              </w:rPr>
              <w:t>Príspevkové organizácie vyšších územných celkov</w:t>
            </w:r>
          </w:p>
        </w:tc>
        <w:tc>
          <w:tcPr>
            <w:tcW w:w="980" w:type="pct"/>
            <w:vAlign w:val="center"/>
          </w:tcPr>
          <w:p w14:paraId="01ED09F6"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702 105 288</w:t>
            </w:r>
          </w:p>
        </w:tc>
        <w:tc>
          <w:tcPr>
            <w:tcW w:w="980" w:type="pct"/>
            <w:shd w:val="clear" w:color="auto" w:fill="auto"/>
            <w:vAlign w:val="center"/>
          </w:tcPr>
          <w:p w14:paraId="7DA3D8FD"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1,150%</w:t>
            </w:r>
          </w:p>
        </w:tc>
      </w:tr>
      <w:tr w:rsidR="00B5522E" w:rsidRPr="00D46D45" w14:paraId="087B0680" w14:textId="77777777" w:rsidTr="00B571E8">
        <w:trPr>
          <w:trHeight w:val="57"/>
          <w:jc w:val="center"/>
        </w:trPr>
        <w:tc>
          <w:tcPr>
            <w:tcW w:w="3040" w:type="pct"/>
            <w:vAlign w:val="center"/>
          </w:tcPr>
          <w:p w14:paraId="4C0D61F4" w14:textId="77777777" w:rsidR="00B5522E" w:rsidRPr="00D46D45" w:rsidRDefault="00B5522E" w:rsidP="00B571E8">
            <w:pPr>
              <w:spacing w:after="0" w:line="240" w:lineRule="auto"/>
              <w:jc w:val="left"/>
              <w:rPr>
                <w:rFonts w:eastAsia="Calibri" w:cs="Segoe UI"/>
                <w:sz w:val="18"/>
                <w:szCs w:val="18"/>
              </w:rPr>
            </w:pPr>
            <w:r w:rsidRPr="00D46D45">
              <w:rPr>
                <w:rFonts w:cs="Segoe UI"/>
                <w:color w:val="000000"/>
                <w:sz w:val="18"/>
                <w:szCs w:val="18"/>
              </w:rPr>
              <w:t>Železničná spoločnosť Slovensko, a. s.</w:t>
            </w:r>
          </w:p>
        </w:tc>
        <w:tc>
          <w:tcPr>
            <w:tcW w:w="980" w:type="pct"/>
            <w:vAlign w:val="center"/>
          </w:tcPr>
          <w:p w14:paraId="3873A981"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647 693 535</w:t>
            </w:r>
          </w:p>
        </w:tc>
        <w:tc>
          <w:tcPr>
            <w:tcW w:w="980" w:type="pct"/>
            <w:shd w:val="clear" w:color="auto" w:fill="auto"/>
            <w:vAlign w:val="center"/>
          </w:tcPr>
          <w:p w14:paraId="483A87DD"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1,061%</w:t>
            </w:r>
          </w:p>
        </w:tc>
      </w:tr>
      <w:tr w:rsidR="00B5522E" w:rsidRPr="00D46D45" w14:paraId="294F572C" w14:textId="77777777" w:rsidTr="00B571E8">
        <w:trPr>
          <w:trHeight w:val="57"/>
          <w:jc w:val="center"/>
        </w:trPr>
        <w:tc>
          <w:tcPr>
            <w:tcW w:w="3040" w:type="pct"/>
            <w:vAlign w:val="center"/>
          </w:tcPr>
          <w:p w14:paraId="72B50E79" w14:textId="77777777" w:rsidR="00B5522E" w:rsidRPr="00D46D45" w:rsidRDefault="00B5522E" w:rsidP="00B571E8">
            <w:pPr>
              <w:spacing w:after="0" w:line="240" w:lineRule="auto"/>
              <w:jc w:val="left"/>
              <w:rPr>
                <w:rFonts w:eastAsia="Calibri" w:cs="Segoe UI"/>
                <w:sz w:val="18"/>
                <w:szCs w:val="18"/>
              </w:rPr>
            </w:pPr>
            <w:r w:rsidRPr="00D46D45">
              <w:rPr>
                <w:rFonts w:cs="Segoe UI"/>
                <w:color w:val="000000"/>
                <w:sz w:val="18"/>
                <w:szCs w:val="18"/>
              </w:rPr>
              <w:t>Národná diaľničná spoločnosť, a. s.</w:t>
            </w:r>
          </w:p>
        </w:tc>
        <w:tc>
          <w:tcPr>
            <w:tcW w:w="980" w:type="pct"/>
            <w:vAlign w:val="center"/>
          </w:tcPr>
          <w:p w14:paraId="26F93E15"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405 870 906</w:t>
            </w:r>
          </w:p>
        </w:tc>
        <w:tc>
          <w:tcPr>
            <w:tcW w:w="980" w:type="pct"/>
            <w:shd w:val="clear" w:color="auto" w:fill="auto"/>
            <w:vAlign w:val="center"/>
          </w:tcPr>
          <w:p w14:paraId="42CF6480"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0,665%</w:t>
            </w:r>
          </w:p>
        </w:tc>
      </w:tr>
      <w:tr w:rsidR="00B5522E" w:rsidRPr="00D46D45" w14:paraId="5D4BA643" w14:textId="77777777" w:rsidTr="00B571E8">
        <w:trPr>
          <w:trHeight w:val="57"/>
          <w:jc w:val="center"/>
        </w:trPr>
        <w:tc>
          <w:tcPr>
            <w:tcW w:w="3040" w:type="pct"/>
            <w:vAlign w:val="center"/>
          </w:tcPr>
          <w:p w14:paraId="63CFF033" w14:textId="77777777" w:rsidR="00B5522E" w:rsidRPr="00D46D45" w:rsidRDefault="00B5522E" w:rsidP="00B571E8">
            <w:pPr>
              <w:spacing w:after="0" w:line="240" w:lineRule="auto"/>
              <w:jc w:val="left"/>
              <w:rPr>
                <w:rFonts w:eastAsia="Calibri" w:cs="Segoe UI"/>
                <w:sz w:val="18"/>
                <w:szCs w:val="18"/>
              </w:rPr>
            </w:pPr>
            <w:r w:rsidRPr="00D46D45">
              <w:rPr>
                <w:rFonts w:cs="Segoe UI"/>
                <w:color w:val="000000"/>
                <w:sz w:val="18"/>
                <w:szCs w:val="18"/>
              </w:rPr>
              <w:t>Príspevkové organizácie obcí</w:t>
            </w:r>
          </w:p>
        </w:tc>
        <w:tc>
          <w:tcPr>
            <w:tcW w:w="980" w:type="pct"/>
            <w:vAlign w:val="center"/>
          </w:tcPr>
          <w:p w14:paraId="3B3EBDBA"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341 045 874</w:t>
            </w:r>
          </w:p>
        </w:tc>
        <w:tc>
          <w:tcPr>
            <w:tcW w:w="980" w:type="pct"/>
            <w:shd w:val="clear" w:color="auto" w:fill="auto"/>
            <w:vAlign w:val="center"/>
          </w:tcPr>
          <w:p w14:paraId="7101634E"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0,559%</w:t>
            </w:r>
          </w:p>
        </w:tc>
      </w:tr>
      <w:tr w:rsidR="00B5522E" w:rsidRPr="00D46D45" w14:paraId="77AAEF7E" w14:textId="77777777" w:rsidTr="00B571E8">
        <w:trPr>
          <w:trHeight w:val="57"/>
          <w:jc w:val="center"/>
        </w:trPr>
        <w:tc>
          <w:tcPr>
            <w:tcW w:w="3040" w:type="pct"/>
            <w:vAlign w:val="center"/>
          </w:tcPr>
          <w:p w14:paraId="3A364D27" w14:textId="77777777" w:rsidR="00B5522E" w:rsidRPr="00D46D45" w:rsidRDefault="00B5522E" w:rsidP="00B571E8">
            <w:pPr>
              <w:spacing w:after="0" w:line="240" w:lineRule="auto"/>
              <w:jc w:val="left"/>
              <w:rPr>
                <w:rFonts w:eastAsia="Calibri" w:cs="Segoe UI"/>
                <w:sz w:val="18"/>
                <w:szCs w:val="18"/>
              </w:rPr>
            </w:pPr>
            <w:r w:rsidRPr="00D46D45">
              <w:rPr>
                <w:rFonts w:cs="Segoe UI"/>
                <w:color w:val="000000"/>
                <w:sz w:val="18"/>
                <w:szCs w:val="18"/>
              </w:rPr>
              <w:t>Zdravotnícke zariadenia v územnej samospráve</w:t>
            </w:r>
          </w:p>
        </w:tc>
        <w:tc>
          <w:tcPr>
            <w:tcW w:w="980" w:type="pct"/>
            <w:vAlign w:val="center"/>
          </w:tcPr>
          <w:p w14:paraId="503AB1D3"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328 888 518</w:t>
            </w:r>
          </w:p>
        </w:tc>
        <w:tc>
          <w:tcPr>
            <w:tcW w:w="980" w:type="pct"/>
            <w:shd w:val="clear" w:color="auto" w:fill="auto"/>
            <w:vAlign w:val="center"/>
          </w:tcPr>
          <w:p w14:paraId="76C4D1A0"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0,539%</w:t>
            </w:r>
          </w:p>
        </w:tc>
      </w:tr>
      <w:tr w:rsidR="00B5522E" w:rsidRPr="00D46D45" w14:paraId="4B32F342" w14:textId="77777777" w:rsidTr="00B571E8">
        <w:trPr>
          <w:trHeight w:val="57"/>
          <w:jc w:val="center"/>
        </w:trPr>
        <w:tc>
          <w:tcPr>
            <w:tcW w:w="3040" w:type="pct"/>
            <w:vAlign w:val="center"/>
          </w:tcPr>
          <w:p w14:paraId="73B2A517" w14:textId="77777777" w:rsidR="00B5522E" w:rsidRPr="00D46D45" w:rsidRDefault="00B5522E" w:rsidP="00B571E8">
            <w:pPr>
              <w:spacing w:after="0" w:line="240" w:lineRule="auto"/>
              <w:jc w:val="left"/>
              <w:rPr>
                <w:rFonts w:eastAsia="Calibri" w:cs="Segoe UI"/>
                <w:sz w:val="18"/>
                <w:szCs w:val="18"/>
              </w:rPr>
            </w:pPr>
            <w:r w:rsidRPr="00D46D45">
              <w:rPr>
                <w:rFonts w:cs="Segoe UI"/>
                <w:color w:val="000000"/>
                <w:sz w:val="18"/>
                <w:szCs w:val="18"/>
              </w:rPr>
              <w:t>Jadrová a vyraďovacia spoločnosť, a. s.</w:t>
            </w:r>
          </w:p>
        </w:tc>
        <w:tc>
          <w:tcPr>
            <w:tcW w:w="980" w:type="pct"/>
            <w:vAlign w:val="center"/>
          </w:tcPr>
          <w:p w14:paraId="277447FC"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312 389 907</w:t>
            </w:r>
          </w:p>
        </w:tc>
        <w:tc>
          <w:tcPr>
            <w:tcW w:w="980" w:type="pct"/>
            <w:shd w:val="clear" w:color="auto" w:fill="auto"/>
            <w:vAlign w:val="center"/>
          </w:tcPr>
          <w:p w14:paraId="32FA664A"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0,512%</w:t>
            </w:r>
          </w:p>
        </w:tc>
      </w:tr>
      <w:tr w:rsidR="00B5522E" w:rsidRPr="00D46D45" w14:paraId="1EF1FB47" w14:textId="77777777" w:rsidTr="00B571E8">
        <w:trPr>
          <w:trHeight w:val="57"/>
          <w:jc w:val="center"/>
        </w:trPr>
        <w:tc>
          <w:tcPr>
            <w:tcW w:w="3040" w:type="pct"/>
            <w:vAlign w:val="center"/>
          </w:tcPr>
          <w:p w14:paraId="7CAB04AA" w14:textId="77777777" w:rsidR="00B5522E" w:rsidRPr="00D46D45" w:rsidRDefault="00B5522E" w:rsidP="00B571E8">
            <w:pPr>
              <w:spacing w:after="0" w:line="240" w:lineRule="auto"/>
              <w:jc w:val="left"/>
              <w:rPr>
                <w:rFonts w:eastAsia="Calibri" w:cs="Segoe UI"/>
                <w:sz w:val="18"/>
                <w:szCs w:val="18"/>
              </w:rPr>
            </w:pPr>
            <w:r w:rsidRPr="00D46D45">
              <w:rPr>
                <w:rFonts w:cs="Segoe UI"/>
                <w:color w:val="000000"/>
                <w:sz w:val="18"/>
                <w:szCs w:val="18"/>
              </w:rPr>
              <w:t>Dopravné podniky</w:t>
            </w:r>
          </w:p>
        </w:tc>
        <w:tc>
          <w:tcPr>
            <w:tcW w:w="980" w:type="pct"/>
            <w:vAlign w:val="center"/>
          </w:tcPr>
          <w:p w14:paraId="47DED7DB"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286 739 150</w:t>
            </w:r>
          </w:p>
        </w:tc>
        <w:tc>
          <w:tcPr>
            <w:tcW w:w="980" w:type="pct"/>
            <w:shd w:val="clear" w:color="auto" w:fill="auto"/>
            <w:vAlign w:val="center"/>
          </w:tcPr>
          <w:p w14:paraId="4B0BCE31"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0,470%</w:t>
            </w:r>
          </w:p>
        </w:tc>
      </w:tr>
      <w:tr w:rsidR="00B5522E" w:rsidRPr="00D46D45" w14:paraId="25D4B7B5" w14:textId="77777777" w:rsidTr="00B571E8">
        <w:trPr>
          <w:trHeight w:val="57"/>
          <w:jc w:val="center"/>
        </w:trPr>
        <w:tc>
          <w:tcPr>
            <w:tcW w:w="3040" w:type="pct"/>
            <w:vAlign w:val="center"/>
          </w:tcPr>
          <w:p w14:paraId="4441A597" w14:textId="77777777" w:rsidR="00B5522E" w:rsidRPr="00D46D45" w:rsidRDefault="00B5522E" w:rsidP="00B571E8">
            <w:pPr>
              <w:spacing w:after="0" w:line="240" w:lineRule="auto"/>
              <w:jc w:val="left"/>
              <w:rPr>
                <w:rFonts w:eastAsia="Calibri" w:cs="Segoe UI"/>
                <w:sz w:val="18"/>
                <w:szCs w:val="18"/>
              </w:rPr>
            </w:pPr>
            <w:r w:rsidRPr="00D46D45">
              <w:rPr>
                <w:rFonts w:cs="Segoe UI"/>
                <w:color w:val="000000"/>
                <w:sz w:val="18"/>
                <w:szCs w:val="18"/>
              </w:rPr>
              <w:t>Valaliky Industrial Park, s. r. o.</w:t>
            </w:r>
          </w:p>
        </w:tc>
        <w:tc>
          <w:tcPr>
            <w:tcW w:w="980" w:type="pct"/>
            <w:vAlign w:val="center"/>
          </w:tcPr>
          <w:p w14:paraId="257A60AF"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245 559 478</w:t>
            </w:r>
          </w:p>
        </w:tc>
        <w:tc>
          <w:tcPr>
            <w:tcW w:w="980" w:type="pct"/>
            <w:shd w:val="clear" w:color="auto" w:fill="auto"/>
            <w:vAlign w:val="center"/>
          </w:tcPr>
          <w:p w14:paraId="62DBD058"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0,402%</w:t>
            </w:r>
          </w:p>
        </w:tc>
      </w:tr>
      <w:tr w:rsidR="00B5522E" w:rsidRPr="00D46D45" w14:paraId="6AD7D5EC" w14:textId="77777777" w:rsidTr="00B571E8">
        <w:trPr>
          <w:trHeight w:val="57"/>
          <w:jc w:val="center"/>
        </w:trPr>
        <w:tc>
          <w:tcPr>
            <w:tcW w:w="3040" w:type="pct"/>
            <w:vAlign w:val="center"/>
          </w:tcPr>
          <w:p w14:paraId="6C985845" w14:textId="77777777" w:rsidR="00B5522E" w:rsidRPr="00D46D45" w:rsidRDefault="00B5522E" w:rsidP="00B571E8">
            <w:pPr>
              <w:spacing w:after="0" w:line="240" w:lineRule="auto"/>
              <w:jc w:val="left"/>
              <w:rPr>
                <w:rFonts w:eastAsia="Calibri" w:cs="Segoe UI"/>
                <w:sz w:val="18"/>
                <w:szCs w:val="18"/>
              </w:rPr>
            </w:pPr>
            <w:r w:rsidRPr="00D46D45">
              <w:rPr>
                <w:rFonts w:cs="Segoe UI"/>
                <w:color w:val="000000"/>
                <w:sz w:val="18"/>
                <w:szCs w:val="18"/>
              </w:rPr>
              <w:t>Slovenská televízia a rozhlas</w:t>
            </w:r>
          </w:p>
        </w:tc>
        <w:tc>
          <w:tcPr>
            <w:tcW w:w="980" w:type="pct"/>
            <w:vAlign w:val="center"/>
          </w:tcPr>
          <w:p w14:paraId="2B7F2DC7"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157 310 774</w:t>
            </w:r>
          </w:p>
        </w:tc>
        <w:tc>
          <w:tcPr>
            <w:tcW w:w="980" w:type="pct"/>
            <w:shd w:val="clear" w:color="auto" w:fill="auto"/>
            <w:vAlign w:val="center"/>
          </w:tcPr>
          <w:p w14:paraId="490BF58C"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0,258%</w:t>
            </w:r>
          </w:p>
        </w:tc>
      </w:tr>
      <w:tr w:rsidR="00B5522E" w:rsidRPr="00D46D45" w14:paraId="0B909AB5" w14:textId="77777777" w:rsidTr="00B571E8">
        <w:trPr>
          <w:trHeight w:val="57"/>
          <w:jc w:val="center"/>
        </w:trPr>
        <w:tc>
          <w:tcPr>
            <w:tcW w:w="3040" w:type="pct"/>
            <w:vAlign w:val="center"/>
          </w:tcPr>
          <w:p w14:paraId="7536A54F" w14:textId="77777777" w:rsidR="00B5522E" w:rsidRPr="00D46D45" w:rsidRDefault="00B5522E" w:rsidP="00B571E8">
            <w:pPr>
              <w:spacing w:after="0" w:line="240" w:lineRule="auto"/>
              <w:jc w:val="left"/>
              <w:rPr>
                <w:rFonts w:eastAsia="Calibri" w:cs="Segoe UI"/>
                <w:sz w:val="18"/>
                <w:szCs w:val="18"/>
              </w:rPr>
            </w:pPr>
            <w:r w:rsidRPr="00D46D45">
              <w:rPr>
                <w:rFonts w:cs="Segoe UI"/>
                <w:color w:val="000000"/>
                <w:sz w:val="18"/>
                <w:szCs w:val="18"/>
              </w:rPr>
              <w:t>Slovenský vodohospodársky podnik, š. p.</w:t>
            </w:r>
          </w:p>
        </w:tc>
        <w:tc>
          <w:tcPr>
            <w:tcW w:w="980" w:type="pct"/>
            <w:vAlign w:val="center"/>
          </w:tcPr>
          <w:p w14:paraId="4C70BB2A"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154 682 270</w:t>
            </w:r>
          </w:p>
        </w:tc>
        <w:tc>
          <w:tcPr>
            <w:tcW w:w="980" w:type="pct"/>
            <w:shd w:val="clear" w:color="auto" w:fill="auto"/>
            <w:vAlign w:val="center"/>
          </w:tcPr>
          <w:p w14:paraId="1BC910A7"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0,253%</w:t>
            </w:r>
          </w:p>
        </w:tc>
      </w:tr>
      <w:tr w:rsidR="00B5522E" w:rsidRPr="00D46D45" w14:paraId="40E3E674" w14:textId="77777777" w:rsidTr="00B571E8">
        <w:trPr>
          <w:trHeight w:val="57"/>
          <w:jc w:val="center"/>
        </w:trPr>
        <w:tc>
          <w:tcPr>
            <w:tcW w:w="3040" w:type="pct"/>
            <w:vAlign w:val="center"/>
          </w:tcPr>
          <w:p w14:paraId="458BC288" w14:textId="77777777" w:rsidR="00B5522E" w:rsidRPr="00D46D45" w:rsidRDefault="00B5522E" w:rsidP="00B571E8">
            <w:pPr>
              <w:spacing w:after="0" w:line="240" w:lineRule="auto"/>
              <w:jc w:val="left"/>
              <w:rPr>
                <w:rFonts w:eastAsia="Calibri" w:cs="Segoe UI"/>
                <w:sz w:val="18"/>
                <w:szCs w:val="18"/>
              </w:rPr>
            </w:pPr>
            <w:r w:rsidRPr="00D46D45">
              <w:rPr>
                <w:rFonts w:cs="Segoe UI"/>
                <w:color w:val="000000"/>
                <w:sz w:val="18"/>
                <w:szCs w:val="18"/>
              </w:rPr>
              <w:t>Verejné výskumné inštitúcie</w:t>
            </w:r>
          </w:p>
        </w:tc>
        <w:tc>
          <w:tcPr>
            <w:tcW w:w="980" w:type="pct"/>
            <w:vAlign w:val="center"/>
          </w:tcPr>
          <w:p w14:paraId="1DB2BEC3"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140 687 707</w:t>
            </w:r>
          </w:p>
        </w:tc>
        <w:tc>
          <w:tcPr>
            <w:tcW w:w="980" w:type="pct"/>
            <w:shd w:val="clear" w:color="auto" w:fill="auto"/>
            <w:vAlign w:val="center"/>
          </w:tcPr>
          <w:p w14:paraId="6D4D1322"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0,230%</w:t>
            </w:r>
          </w:p>
        </w:tc>
      </w:tr>
      <w:tr w:rsidR="00B5522E" w:rsidRPr="00D46D45" w14:paraId="32905605" w14:textId="77777777" w:rsidTr="00B571E8">
        <w:trPr>
          <w:trHeight w:val="57"/>
          <w:jc w:val="center"/>
        </w:trPr>
        <w:tc>
          <w:tcPr>
            <w:tcW w:w="3040" w:type="pct"/>
            <w:vAlign w:val="center"/>
          </w:tcPr>
          <w:p w14:paraId="020CC796" w14:textId="77777777" w:rsidR="00B5522E" w:rsidRPr="00D46D45" w:rsidRDefault="00B5522E" w:rsidP="00B571E8">
            <w:pPr>
              <w:spacing w:after="0" w:line="240" w:lineRule="auto"/>
              <w:jc w:val="left"/>
              <w:rPr>
                <w:rFonts w:eastAsia="Calibri" w:cs="Segoe UI"/>
                <w:sz w:val="18"/>
                <w:szCs w:val="18"/>
              </w:rPr>
            </w:pPr>
            <w:r w:rsidRPr="00D46D45">
              <w:rPr>
                <w:rFonts w:cs="Segoe UI"/>
                <w:color w:val="000000"/>
                <w:sz w:val="18"/>
                <w:szCs w:val="18"/>
              </w:rPr>
              <w:t>Environmentálny fond</w:t>
            </w:r>
          </w:p>
        </w:tc>
        <w:tc>
          <w:tcPr>
            <w:tcW w:w="980" w:type="pct"/>
            <w:vAlign w:val="center"/>
          </w:tcPr>
          <w:p w14:paraId="3F5177FF"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70 438 984</w:t>
            </w:r>
          </w:p>
        </w:tc>
        <w:tc>
          <w:tcPr>
            <w:tcW w:w="980" w:type="pct"/>
            <w:shd w:val="clear" w:color="auto" w:fill="auto"/>
            <w:vAlign w:val="center"/>
          </w:tcPr>
          <w:p w14:paraId="33753573"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0,115%</w:t>
            </w:r>
          </w:p>
        </w:tc>
      </w:tr>
      <w:tr w:rsidR="00B5522E" w:rsidRPr="00D46D45" w14:paraId="38BDDCBD" w14:textId="77777777" w:rsidTr="00B571E8">
        <w:trPr>
          <w:trHeight w:val="57"/>
          <w:jc w:val="center"/>
        </w:trPr>
        <w:tc>
          <w:tcPr>
            <w:tcW w:w="3040" w:type="pct"/>
            <w:vAlign w:val="center"/>
          </w:tcPr>
          <w:p w14:paraId="6640BE1A" w14:textId="77777777" w:rsidR="00B5522E" w:rsidRPr="00D46D45" w:rsidRDefault="00B5522E" w:rsidP="00B571E8">
            <w:pPr>
              <w:spacing w:after="0" w:line="240" w:lineRule="auto"/>
              <w:jc w:val="left"/>
              <w:rPr>
                <w:rFonts w:eastAsia="Calibri" w:cs="Segoe UI"/>
                <w:sz w:val="18"/>
                <w:szCs w:val="18"/>
              </w:rPr>
            </w:pPr>
            <w:r w:rsidRPr="00D46D45">
              <w:rPr>
                <w:rFonts w:cs="Segoe UI"/>
                <w:color w:val="000000"/>
                <w:sz w:val="18"/>
                <w:szCs w:val="18"/>
              </w:rPr>
              <w:t>MH Invest, s. r. o.</w:t>
            </w:r>
          </w:p>
        </w:tc>
        <w:tc>
          <w:tcPr>
            <w:tcW w:w="980" w:type="pct"/>
            <w:vAlign w:val="center"/>
          </w:tcPr>
          <w:p w14:paraId="5CC9E5CD"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60 798 762</w:t>
            </w:r>
          </w:p>
        </w:tc>
        <w:tc>
          <w:tcPr>
            <w:tcW w:w="980" w:type="pct"/>
            <w:shd w:val="clear" w:color="auto" w:fill="auto"/>
            <w:vAlign w:val="center"/>
          </w:tcPr>
          <w:p w14:paraId="4881DB10"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0,100%</w:t>
            </w:r>
          </w:p>
        </w:tc>
      </w:tr>
      <w:tr w:rsidR="00B5522E" w:rsidRPr="00D46D45" w14:paraId="7FED5F68" w14:textId="77777777" w:rsidTr="00B571E8">
        <w:trPr>
          <w:trHeight w:val="57"/>
          <w:jc w:val="center"/>
        </w:trPr>
        <w:tc>
          <w:tcPr>
            <w:tcW w:w="3040" w:type="pct"/>
            <w:vAlign w:val="center"/>
          </w:tcPr>
          <w:p w14:paraId="66CA1606" w14:textId="77777777" w:rsidR="00B5522E" w:rsidRPr="00D46D45" w:rsidRDefault="00B5522E" w:rsidP="00B571E8">
            <w:pPr>
              <w:spacing w:after="0" w:line="240" w:lineRule="auto"/>
              <w:jc w:val="left"/>
              <w:rPr>
                <w:rFonts w:eastAsia="Calibri" w:cs="Segoe UI"/>
                <w:sz w:val="18"/>
                <w:szCs w:val="18"/>
              </w:rPr>
            </w:pPr>
            <w:r w:rsidRPr="00D46D45">
              <w:rPr>
                <w:rFonts w:cs="Segoe UI"/>
                <w:color w:val="000000"/>
                <w:sz w:val="18"/>
                <w:szCs w:val="18"/>
              </w:rPr>
              <w:t>Agentúra pre núdzové zásoby ropy a ropných výrobkov</w:t>
            </w:r>
          </w:p>
        </w:tc>
        <w:tc>
          <w:tcPr>
            <w:tcW w:w="980" w:type="pct"/>
            <w:vAlign w:val="center"/>
          </w:tcPr>
          <w:p w14:paraId="71BBDC70"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58 835 555</w:t>
            </w:r>
          </w:p>
        </w:tc>
        <w:tc>
          <w:tcPr>
            <w:tcW w:w="980" w:type="pct"/>
            <w:shd w:val="clear" w:color="auto" w:fill="auto"/>
            <w:vAlign w:val="center"/>
          </w:tcPr>
          <w:p w14:paraId="4F04A2FB"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0,096%</w:t>
            </w:r>
          </w:p>
        </w:tc>
      </w:tr>
      <w:tr w:rsidR="00B5522E" w:rsidRPr="00D46D45" w14:paraId="159B393A" w14:textId="77777777" w:rsidTr="00B571E8">
        <w:trPr>
          <w:trHeight w:val="57"/>
          <w:jc w:val="center"/>
        </w:trPr>
        <w:tc>
          <w:tcPr>
            <w:tcW w:w="3040" w:type="pct"/>
            <w:vAlign w:val="center"/>
          </w:tcPr>
          <w:p w14:paraId="50720C05" w14:textId="77777777" w:rsidR="00B5522E" w:rsidRPr="00D46D45" w:rsidRDefault="00B5522E" w:rsidP="00B571E8">
            <w:pPr>
              <w:spacing w:after="0" w:line="240" w:lineRule="auto"/>
              <w:jc w:val="left"/>
              <w:rPr>
                <w:rFonts w:eastAsia="Calibri" w:cs="Segoe UI"/>
                <w:sz w:val="18"/>
                <w:szCs w:val="18"/>
              </w:rPr>
            </w:pPr>
            <w:r w:rsidRPr="00D46D45">
              <w:rPr>
                <w:rFonts w:cs="Segoe UI"/>
                <w:color w:val="000000"/>
                <w:sz w:val="18"/>
                <w:szCs w:val="18"/>
              </w:rPr>
              <w:t>Eximbanka</w:t>
            </w:r>
          </w:p>
        </w:tc>
        <w:tc>
          <w:tcPr>
            <w:tcW w:w="980" w:type="pct"/>
            <w:vAlign w:val="center"/>
          </w:tcPr>
          <w:p w14:paraId="424403BE"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43 780 000</w:t>
            </w:r>
          </w:p>
        </w:tc>
        <w:tc>
          <w:tcPr>
            <w:tcW w:w="980" w:type="pct"/>
            <w:shd w:val="clear" w:color="auto" w:fill="auto"/>
            <w:vAlign w:val="center"/>
          </w:tcPr>
          <w:p w14:paraId="46506764"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0,072%</w:t>
            </w:r>
          </w:p>
        </w:tc>
      </w:tr>
      <w:tr w:rsidR="00B5522E" w:rsidRPr="00D46D45" w14:paraId="3F968290" w14:textId="77777777" w:rsidTr="00B571E8">
        <w:trPr>
          <w:trHeight w:val="57"/>
          <w:jc w:val="center"/>
        </w:trPr>
        <w:tc>
          <w:tcPr>
            <w:tcW w:w="3040" w:type="pct"/>
            <w:vAlign w:val="center"/>
          </w:tcPr>
          <w:p w14:paraId="7EEF2DFF" w14:textId="77777777" w:rsidR="00B5522E" w:rsidRPr="00D46D45" w:rsidRDefault="00B5522E" w:rsidP="00B571E8">
            <w:pPr>
              <w:spacing w:after="0" w:line="240" w:lineRule="auto"/>
              <w:jc w:val="left"/>
              <w:rPr>
                <w:rFonts w:eastAsia="Calibri" w:cs="Segoe UI"/>
                <w:sz w:val="18"/>
                <w:szCs w:val="18"/>
              </w:rPr>
            </w:pPr>
            <w:r w:rsidRPr="00D46D45">
              <w:rPr>
                <w:rFonts w:cs="Segoe UI"/>
                <w:color w:val="000000"/>
                <w:sz w:val="18"/>
                <w:szCs w:val="18"/>
              </w:rPr>
              <w:t>Úrad pre dohľad nad zdravotnou starostlivosťou</w:t>
            </w:r>
          </w:p>
        </w:tc>
        <w:tc>
          <w:tcPr>
            <w:tcW w:w="980" w:type="pct"/>
            <w:vAlign w:val="center"/>
          </w:tcPr>
          <w:p w14:paraId="38C49E3A"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28 349 269</w:t>
            </w:r>
          </w:p>
        </w:tc>
        <w:tc>
          <w:tcPr>
            <w:tcW w:w="980" w:type="pct"/>
            <w:shd w:val="clear" w:color="auto" w:fill="auto"/>
            <w:vAlign w:val="center"/>
          </w:tcPr>
          <w:p w14:paraId="69F6E405"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0,046%</w:t>
            </w:r>
          </w:p>
        </w:tc>
      </w:tr>
      <w:tr w:rsidR="00B5522E" w:rsidRPr="00D46D45" w14:paraId="128D24CF" w14:textId="77777777" w:rsidTr="00B571E8">
        <w:trPr>
          <w:trHeight w:val="57"/>
          <w:jc w:val="center"/>
        </w:trPr>
        <w:tc>
          <w:tcPr>
            <w:tcW w:w="3040" w:type="pct"/>
            <w:vAlign w:val="center"/>
          </w:tcPr>
          <w:p w14:paraId="0C1B93A0" w14:textId="77777777" w:rsidR="00B5522E" w:rsidRPr="00D46D45" w:rsidRDefault="00B5522E" w:rsidP="00B571E8">
            <w:pPr>
              <w:spacing w:after="0" w:line="240" w:lineRule="auto"/>
              <w:jc w:val="left"/>
              <w:rPr>
                <w:rFonts w:eastAsia="Calibri" w:cs="Segoe UI"/>
                <w:sz w:val="18"/>
                <w:szCs w:val="18"/>
              </w:rPr>
            </w:pPr>
            <w:r w:rsidRPr="00D46D45">
              <w:rPr>
                <w:rFonts w:cs="Segoe UI"/>
                <w:color w:val="000000"/>
                <w:sz w:val="18"/>
                <w:szCs w:val="18"/>
              </w:rPr>
              <w:t>Fond na podporu umenia</w:t>
            </w:r>
          </w:p>
        </w:tc>
        <w:tc>
          <w:tcPr>
            <w:tcW w:w="980" w:type="pct"/>
            <w:vAlign w:val="center"/>
          </w:tcPr>
          <w:p w14:paraId="18FB1547"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20 586 800</w:t>
            </w:r>
          </w:p>
        </w:tc>
        <w:tc>
          <w:tcPr>
            <w:tcW w:w="980" w:type="pct"/>
            <w:shd w:val="clear" w:color="auto" w:fill="auto"/>
            <w:vAlign w:val="center"/>
          </w:tcPr>
          <w:p w14:paraId="736C0873"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0,034%</w:t>
            </w:r>
          </w:p>
        </w:tc>
      </w:tr>
      <w:tr w:rsidR="00B5522E" w:rsidRPr="00D46D45" w14:paraId="636A8D14" w14:textId="77777777" w:rsidTr="00B571E8">
        <w:trPr>
          <w:trHeight w:val="57"/>
          <w:jc w:val="center"/>
        </w:trPr>
        <w:tc>
          <w:tcPr>
            <w:tcW w:w="3040" w:type="pct"/>
            <w:vAlign w:val="center"/>
          </w:tcPr>
          <w:p w14:paraId="4BC9C495" w14:textId="77777777" w:rsidR="00B5522E" w:rsidRPr="00D46D45" w:rsidRDefault="00B5522E" w:rsidP="00B571E8">
            <w:pPr>
              <w:spacing w:after="0" w:line="240" w:lineRule="auto"/>
              <w:jc w:val="left"/>
              <w:rPr>
                <w:rFonts w:eastAsia="Calibri" w:cs="Segoe UI"/>
                <w:sz w:val="18"/>
                <w:szCs w:val="18"/>
              </w:rPr>
            </w:pPr>
            <w:r w:rsidRPr="00D46D45">
              <w:rPr>
                <w:rFonts w:cs="Segoe UI"/>
                <w:color w:val="000000"/>
                <w:sz w:val="18"/>
                <w:szCs w:val="18"/>
              </w:rPr>
              <w:t>Slovenský pozemkový fond</w:t>
            </w:r>
          </w:p>
        </w:tc>
        <w:tc>
          <w:tcPr>
            <w:tcW w:w="980" w:type="pct"/>
            <w:vAlign w:val="center"/>
          </w:tcPr>
          <w:p w14:paraId="1687687D"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19 954 792</w:t>
            </w:r>
          </w:p>
        </w:tc>
        <w:tc>
          <w:tcPr>
            <w:tcW w:w="980" w:type="pct"/>
            <w:shd w:val="clear" w:color="auto" w:fill="auto"/>
            <w:vAlign w:val="center"/>
          </w:tcPr>
          <w:p w14:paraId="63C04D83"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0,033%</w:t>
            </w:r>
          </w:p>
        </w:tc>
      </w:tr>
      <w:tr w:rsidR="00B5522E" w:rsidRPr="00D46D45" w14:paraId="388A66E7" w14:textId="77777777" w:rsidTr="00B571E8">
        <w:trPr>
          <w:trHeight w:val="57"/>
          <w:jc w:val="center"/>
        </w:trPr>
        <w:tc>
          <w:tcPr>
            <w:tcW w:w="3040" w:type="pct"/>
            <w:vAlign w:val="center"/>
          </w:tcPr>
          <w:p w14:paraId="09B32717" w14:textId="77777777" w:rsidR="00B5522E" w:rsidRPr="00D46D45" w:rsidRDefault="00B5522E" w:rsidP="00B571E8">
            <w:pPr>
              <w:spacing w:after="0" w:line="240" w:lineRule="auto"/>
              <w:jc w:val="left"/>
              <w:rPr>
                <w:rFonts w:eastAsia="Calibri" w:cs="Segoe UI"/>
                <w:sz w:val="18"/>
                <w:szCs w:val="18"/>
              </w:rPr>
            </w:pPr>
            <w:r w:rsidRPr="00D46D45">
              <w:rPr>
                <w:rFonts w:cs="Segoe UI"/>
                <w:color w:val="000000"/>
                <w:sz w:val="18"/>
                <w:szCs w:val="18"/>
              </w:rPr>
              <w:t>Fond na podporu športu</w:t>
            </w:r>
          </w:p>
        </w:tc>
        <w:tc>
          <w:tcPr>
            <w:tcW w:w="980" w:type="pct"/>
            <w:vAlign w:val="center"/>
          </w:tcPr>
          <w:p w14:paraId="38EF4345"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16 052 130</w:t>
            </w:r>
          </w:p>
        </w:tc>
        <w:tc>
          <w:tcPr>
            <w:tcW w:w="980" w:type="pct"/>
            <w:shd w:val="clear" w:color="auto" w:fill="auto"/>
            <w:vAlign w:val="center"/>
          </w:tcPr>
          <w:p w14:paraId="4DF48475"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0,026%</w:t>
            </w:r>
          </w:p>
        </w:tc>
      </w:tr>
      <w:tr w:rsidR="00B5522E" w:rsidRPr="00D46D45" w14:paraId="61DC2116" w14:textId="77777777" w:rsidTr="00B571E8">
        <w:trPr>
          <w:trHeight w:val="57"/>
          <w:jc w:val="center"/>
        </w:trPr>
        <w:tc>
          <w:tcPr>
            <w:tcW w:w="3040" w:type="pct"/>
            <w:vAlign w:val="center"/>
          </w:tcPr>
          <w:p w14:paraId="309A8310" w14:textId="77777777" w:rsidR="00B5522E" w:rsidRPr="00D46D45" w:rsidRDefault="00B5522E" w:rsidP="00B571E8">
            <w:pPr>
              <w:spacing w:after="0" w:line="240" w:lineRule="auto"/>
              <w:jc w:val="left"/>
              <w:rPr>
                <w:rFonts w:eastAsia="Calibri" w:cs="Segoe UI"/>
                <w:sz w:val="18"/>
                <w:szCs w:val="18"/>
              </w:rPr>
            </w:pPr>
            <w:r w:rsidRPr="00D46D45">
              <w:rPr>
                <w:rFonts w:cs="Segoe UI"/>
                <w:color w:val="000000"/>
                <w:sz w:val="18"/>
                <w:szCs w:val="18"/>
              </w:rPr>
              <w:t>Audiovizuálny fond</w:t>
            </w:r>
          </w:p>
        </w:tc>
        <w:tc>
          <w:tcPr>
            <w:tcW w:w="980" w:type="pct"/>
            <w:vAlign w:val="center"/>
          </w:tcPr>
          <w:p w14:paraId="32A2B9CE"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15 365 300</w:t>
            </w:r>
          </w:p>
        </w:tc>
        <w:tc>
          <w:tcPr>
            <w:tcW w:w="980" w:type="pct"/>
            <w:shd w:val="clear" w:color="auto" w:fill="auto"/>
            <w:vAlign w:val="center"/>
          </w:tcPr>
          <w:p w14:paraId="27BEE822"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0,025%</w:t>
            </w:r>
          </w:p>
        </w:tc>
      </w:tr>
      <w:tr w:rsidR="00B5522E" w:rsidRPr="00D46D45" w14:paraId="6AAFB316" w14:textId="77777777" w:rsidTr="00B571E8">
        <w:trPr>
          <w:trHeight w:val="57"/>
          <w:jc w:val="center"/>
        </w:trPr>
        <w:tc>
          <w:tcPr>
            <w:tcW w:w="3040" w:type="pct"/>
            <w:vAlign w:val="center"/>
          </w:tcPr>
          <w:p w14:paraId="54EE46CC" w14:textId="77777777" w:rsidR="00B5522E" w:rsidRPr="00D46D45" w:rsidRDefault="00B5522E" w:rsidP="00B571E8">
            <w:pPr>
              <w:spacing w:after="0" w:line="240" w:lineRule="auto"/>
              <w:jc w:val="left"/>
              <w:rPr>
                <w:rFonts w:eastAsia="Calibri" w:cs="Segoe UI"/>
                <w:sz w:val="18"/>
                <w:szCs w:val="18"/>
              </w:rPr>
            </w:pPr>
            <w:r w:rsidRPr="00D46D45">
              <w:rPr>
                <w:rFonts w:cs="Segoe UI"/>
                <w:color w:val="000000"/>
                <w:sz w:val="18"/>
                <w:szCs w:val="18"/>
              </w:rPr>
              <w:t>Slovenská konsolidačná, a. s.</w:t>
            </w:r>
          </w:p>
        </w:tc>
        <w:tc>
          <w:tcPr>
            <w:tcW w:w="980" w:type="pct"/>
            <w:vAlign w:val="center"/>
          </w:tcPr>
          <w:p w14:paraId="541ED8F9"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11 282 008</w:t>
            </w:r>
          </w:p>
        </w:tc>
        <w:tc>
          <w:tcPr>
            <w:tcW w:w="980" w:type="pct"/>
            <w:shd w:val="clear" w:color="auto" w:fill="auto"/>
            <w:vAlign w:val="center"/>
          </w:tcPr>
          <w:p w14:paraId="3E76B2A1"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0,018%</w:t>
            </w:r>
          </w:p>
        </w:tc>
      </w:tr>
      <w:tr w:rsidR="00B5522E" w:rsidRPr="00D46D45" w14:paraId="1322BEB6" w14:textId="77777777" w:rsidTr="00B571E8">
        <w:trPr>
          <w:trHeight w:val="57"/>
          <w:jc w:val="center"/>
        </w:trPr>
        <w:tc>
          <w:tcPr>
            <w:tcW w:w="3040" w:type="pct"/>
            <w:shd w:val="clear" w:color="auto" w:fill="auto"/>
            <w:vAlign w:val="center"/>
          </w:tcPr>
          <w:p w14:paraId="717642B5" w14:textId="77777777" w:rsidR="00B5522E" w:rsidRPr="00D46D45" w:rsidRDefault="00B5522E" w:rsidP="00B571E8">
            <w:pPr>
              <w:spacing w:after="0" w:line="240" w:lineRule="auto"/>
              <w:jc w:val="left"/>
              <w:rPr>
                <w:rFonts w:eastAsia="Calibri" w:cs="Segoe UI"/>
                <w:sz w:val="18"/>
                <w:szCs w:val="18"/>
              </w:rPr>
            </w:pPr>
            <w:r w:rsidRPr="00D46D45">
              <w:rPr>
                <w:rFonts w:cs="Segoe UI"/>
                <w:color w:val="000000"/>
                <w:sz w:val="18"/>
                <w:szCs w:val="18"/>
              </w:rPr>
              <w:t>Štátny fond rozvoja bývania</w:t>
            </w:r>
          </w:p>
        </w:tc>
        <w:tc>
          <w:tcPr>
            <w:tcW w:w="980" w:type="pct"/>
            <w:shd w:val="clear" w:color="auto" w:fill="auto"/>
            <w:vAlign w:val="center"/>
          </w:tcPr>
          <w:p w14:paraId="60EA1349"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9 856 479</w:t>
            </w:r>
          </w:p>
        </w:tc>
        <w:tc>
          <w:tcPr>
            <w:tcW w:w="980" w:type="pct"/>
            <w:shd w:val="clear" w:color="auto" w:fill="auto"/>
            <w:vAlign w:val="center"/>
          </w:tcPr>
          <w:p w14:paraId="0EF2C957"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0,016%</w:t>
            </w:r>
          </w:p>
        </w:tc>
      </w:tr>
      <w:tr w:rsidR="00B5522E" w:rsidRPr="00D46D45" w14:paraId="56A5593D" w14:textId="77777777" w:rsidTr="00B571E8">
        <w:trPr>
          <w:trHeight w:val="57"/>
          <w:jc w:val="center"/>
        </w:trPr>
        <w:tc>
          <w:tcPr>
            <w:tcW w:w="3040" w:type="pct"/>
            <w:vAlign w:val="center"/>
          </w:tcPr>
          <w:p w14:paraId="36FB171F" w14:textId="77777777" w:rsidR="00B5522E" w:rsidRPr="00D46D45" w:rsidRDefault="00B5522E" w:rsidP="00B571E8">
            <w:pPr>
              <w:spacing w:after="0" w:line="240" w:lineRule="auto"/>
              <w:jc w:val="left"/>
              <w:rPr>
                <w:rFonts w:eastAsia="Calibri" w:cs="Segoe UI"/>
                <w:sz w:val="18"/>
                <w:szCs w:val="18"/>
              </w:rPr>
            </w:pPr>
            <w:r w:rsidRPr="00D46D45">
              <w:rPr>
                <w:rFonts w:cs="Segoe UI"/>
                <w:color w:val="000000"/>
                <w:sz w:val="18"/>
                <w:szCs w:val="18"/>
              </w:rPr>
              <w:t>Fond na podporu kultúry národnostných menšín</w:t>
            </w:r>
          </w:p>
        </w:tc>
        <w:tc>
          <w:tcPr>
            <w:tcW w:w="980" w:type="pct"/>
            <w:vAlign w:val="center"/>
          </w:tcPr>
          <w:p w14:paraId="59B2D348"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8 017 000</w:t>
            </w:r>
          </w:p>
        </w:tc>
        <w:tc>
          <w:tcPr>
            <w:tcW w:w="980" w:type="pct"/>
            <w:shd w:val="clear" w:color="auto" w:fill="auto"/>
            <w:vAlign w:val="center"/>
          </w:tcPr>
          <w:p w14:paraId="3C6054E3"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0,013%</w:t>
            </w:r>
          </w:p>
        </w:tc>
      </w:tr>
      <w:tr w:rsidR="00B5522E" w:rsidRPr="00D46D45" w14:paraId="06A126BC" w14:textId="77777777" w:rsidTr="00B571E8">
        <w:trPr>
          <w:trHeight w:val="57"/>
          <w:jc w:val="center"/>
        </w:trPr>
        <w:tc>
          <w:tcPr>
            <w:tcW w:w="3040" w:type="pct"/>
            <w:vAlign w:val="center"/>
          </w:tcPr>
          <w:p w14:paraId="205D4BA9" w14:textId="77777777" w:rsidR="00B5522E" w:rsidRPr="00D46D45" w:rsidRDefault="00B5522E" w:rsidP="00B571E8">
            <w:pPr>
              <w:spacing w:after="0" w:line="240" w:lineRule="auto"/>
              <w:jc w:val="left"/>
              <w:rPr>
                <w:rFonts w:eastAsia="Calibri" w:cs="Segoe UI"/>
                <w:sz w:val="18"/>
                <w:szCs w:val="18"/>
              </w:rPr>
            </w:pPr>
            <w:r w:rsidRPr="00D46D45">
              <w:rPr>
                <w:rFonts w:cs="Segoe UI"/>
                <w:color w:val="000000"/>
                <w:sz w:val="18"/>
                <w:szCs w:val="18"/>
              </w:rPr>
              <w:t>Tlačová agentúra Slovenskej republiky</w:t>
            </w:r>
          </w:p>
        </w:tc>
        <w:tc>
          <w:tcPr>
            <w:tcW w:w="980" w:type="pct"/>
            <w:vAlign w:val="center"/>
          </w:tcPr>
          <w:p w14:paraId="362C4559"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6 812 307</w:t>
            </w:r>
          </w:p>
        </w:tc>
        <w:tc>
          <w:tcPr>
            <w:tcW w:w="980" w:type="pct"/>
            <w:shd w:val="clear" w:color="auto" w:fill="auto"/>
            <w:vAlign w:val="center"/>
          </w:tcPr>
          <w:p w14:paraId="5B6D2E96"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0,011%</w:t>
            </w:r>
          </w:p>
        </w:tc>
      </w:tr>
      <w:tr w:rsidR="00B5522E" w:rsidRPr="00D46D45" w14:paraId="1234C9F2" w14:textId="77777777" w:rsidTr="00B571E8">
        <w:trPr>
          <w:trHeight w:val="57"/>
          <w:jc w:val="center"/>
        </w:trPr>
        <w:tc>
          <w:tcPr>
            <w:tcW w:w="3040" w:type="pct"/>
            <w:vAlign w:val="center"/>
          </w:tcPr>
          <w:p w14:paraId="6F579F89" w14:textId="77777777" w:rsidR="00B5522E" w:rsidRPr="00E967F0" w:rsidRDefault="00B5522E" w:rsidP="00B571E8">
            <w:pPr>
              <w:spacing w:after="0" w:line="240" w:lineRule="auto"/>
              <w:jc w:val="left"/>
              <w:rPr>
                <w:rFonts w:eastAsia="Calibri" w:cs="Segoe UI"/>
                <w:sz w:val="18"/>
                <w:szCs w:val="18"/>
              </w:rPr>
            </w:pPr>
            <w:r w:rsidRPr="00E967F0">
              <w:rPr>
                <w:rFonts w:cs="Segoe UI"/>
                <w:color w:val="000000"/>
                <w:sz w:val="18"/>
                <w:szCs w:val="18"/>
              </w:rPr>
              <w:t>Kancelária Rady pre rozpočtovú zodpovednosť</w:t>
            </w:r>
          </w:p>
        </w:tc>
        <w:tc>
          <w:tcPr>
            <w:tcW w:w="980" w:type="pct"/>
            <w:vAlign w:val="center"/>
          </w:tcPr>
          <w:p w14:paraId="0F902F2D" w14:textId="77777777" w:rsidR="00B5522E" w:rsidRPr="00E967F0" w:rsidRDefault="00B5522E" w:rsidP="00B571E8">
            <w:pPr>
              <w:spacing w:after="0" w:line="240" w:lineRule="auto"/>
              <w:jc w:val="right"/>
              <w:rPr>
                <w:rFonts w:eastAsia="Calibri" w:cs="Segoe UI"/>
                <w:sz w:val="18"/>
                <w:szCs w:val="18"/>
              </w:rPr>
            </w:pPr>
            <w:r w:rsidRPr="00E967F0">
              <w:rPr>
                <w:rFonts w:cs="Segoe UI"/>
                <w:color w:val="000000"/>
                <w:sz w:val="18"/>
                <w:szCs w:val="18"/>
              </w:rPr>
              <w:t>4 211 950</w:t>
            </w:r>
          </w:p>
        </w:tc>
        <w:tc>
          <w:tcPr>
            <w:tcW w:w="980" w:type="pct"/>
            <w:shd w:val="clear" w:color="auto" w:fill="auto"/>
            <w:vAlign w:val="center"/>
          </w:tcPr>
          <w:p w14:paraId="296E941C" w14:textId="77777777" w:rsidR="00B5522E" w:rsidRPr="00E967F0" w:rsidRDefault="00B5522E" w:rsidP="00B571E8">
            <w:pPr>
              <w:spacing w:after="0" w:line="240" w:lineRule="auto"/>
              <w:jc w:val="right"/>
              <w:rPr>
                <w:rFonts w:eastAsia="Calibri" w:cs="Segoe UI"/>
                <w:sz w:val="18"/>
                <w:szCs w:val="18"/>
              </w:rPr>
            </w:pPr>
            <w:r w:rsidRPr="00E967F0">
              <w:rPr>
                <w:rFonts w:cs="Segoe UI"/>
                <w:color w:val="000000"/>
                <w:sz w:val="18"/>
                <w:szCs w:val="18"/>
              </w:rPr>
              <w:t>0,007%</w:t>
            </w:r>
          </w:p>
        </w:tc>
      </w:tr>
      <w:tr w:rsidR="00B5522E" w:rsidRPr="00D46D45" w14:paraId="6E1F3155" w14:textId="77777777" w:rsidTr="00B571E8">
        <w:trPr>
          <w:trHeight w:val="57"/>
          <w:jc w:val="center"/>
        </w:trPr>
        <w:tc>
          <w:tcPr>
            <w:tcW w:w="3040" w:type="pct"/>
            <w:vAlign w:val="center"/>
          </w:tcPr>
          <w:p w14:paraId="0E33FF3E" w14:textId="77777777" w:rsidR="00B5522E" w:rsidRPr="00D46D45" w:rsidRDefault="00B5522E" w:rsidP="00B571E8">
            <w:pPr>
              <w:spacing w:after="0" w:line="240" w:lineRule="auto"/>
              <w:jc w:val="left"/>
              <w:rPr>
                <w:rFonts w:eastAsia="Calibri" w:cs="Segoe UI"/>
                <w:i/>
                <w:sz w:val="18"/>
                <w:szCs w:val="18"/>
              </w:rPr>
            </w:pPr>
            <w:r w:rsidRPr="00D46D45">
              <w:rPr>
                <w:rFonts w:cs="Segoe UI"/>
                <w:color w:val="000000"/>
                <w:sz w:val="18"/>
                <w:szCs w:val="18"/>
              </w:rPr>
              <w:t>MH Invest II, s. r. o.</w:t>
            </w:r>
          </w:p>
        </w:tc>
        <w:tc>
          <w:tcPr>
            <w:tcW w:w="980" w:type="pct"/>
            <w:vAlign w:val="center"/>
          </w:tcPr>
          <w:p w14:paraId="7BD39515"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2 316 868</w:t>
            </w:r>
          </w:p>
        </w:tc>
        <w:tc>
          <w:tcPr>
            <w:tcW w:w="980" w:type="pct"/>
            <w:shd w:val="clear" w:color="auto" w:fill="auto"/>
            <w:vAlign w:val="center"/>
          </w:tcPr>
          <w:p w14:paraId="7F0B433B"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0,004%</w:t>
            </w:r>
          </w:p>
        </w:tc>
      </w:tr>
      <w:tr w:rsidR="00B5522E" w:rsidRPr="00D46D45" w14:paraId="619DFA26" w14:textId="77777777" w:rsidTr="00B571E8">
        <w:trPr>
          <w:trHeight w:val="57"/>
          <w:jc w:val="center"/>
        </w:trPr>
        <w:tc>
          <w:tcPr>
            <w:tcW w:w="3040" w:type="pct"/>
            <w:vAlign w:val="center"/>
          </w:tcPr>
          <w:p w14:paraId="3DB4704E" w14:textId="77777777" w:rsidR="00B5522E" w:rsidRPr="00D46D45" w:rsidRDefault="00B5522E" w:rsidP="00B571E8">
            <w:pPr>
              <w:spacing w:after="0" w:line="240" w:lineRule="auto"/>
              <w:jc w:val="left"/>
              <w:rPr>
                <w:rFonts w:eastAsia="Calibri" w:cs="Segoe UI"/>
                <w:i/>
                <w:sz w:val="18"/>
                <w:szCs w:val="18"/>
              </w:rPr>
            </w:pPr>
            <w:r w:rsidRPr="00D46D45">
              <w:rPr>
                <w:rFonts w:cs="Segoe UI"/>
                <w:color w:val="000000"/>
                <w:sz w:val="18"/>
                <w:szCs w:val="18"/>
              </w:rPr>
              <w:t>Národný inštitút pre hodnotu a technológie v zdravotníctve</w:t>
            </w:r>
          </w:p>
        </w:tc>
        <w:tc>
          <w:tcPr>
            <w:tcW w:w="980" w:type="pct"/>
            <w:vAlign w:val="center"/>
          </w:tcPr>
          <w:p w14:paraId="4E4545DD"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2 249 925</w:t>
            </w:r>
          </w:p>
        </w:tc>
        <w:tc>
          <w:tcPr>
            <w:tcW w:w="980" w:type="pct"/>
            <w:shd w:val="clear" w:color="auto" w:fill="auto"/>
            <w:vAlign w:val="center"/>
          </w:tcPr>
          <w:p w14:paraId="52960DD8"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0,004%</w:t>
            </w:r>
          </w:p>
        </w:tc>
      </w:tr>
      <w:tr w:rsidR="00B5522E" w:rsidRPr="00D46D45" w14:paraId="25E05EE3" w14:textId="77777777" w:rsidTr="00B571E8">
        <w:trPr>
          <w:trHeight w:val="57"/>
          <w:jc w:val="center"/>
        </w:trPr>
        <w:tc>
          <w:tcPr>
            <w:tcW w:w="3040" w:type="pct"/>
            <w:vAlign w:val="center"/>
          </w:tcPr>
          <w:p w14:paraId="0492661D" w14:textId="77777777" w:rsidR="00B5522E" w:rsidRPr="00D46D45" w:rsidRDefault="00B5522E" w:rsidP="00B571E8">
            <w:pPr>
              <w:spacing w:after="0" w:line="240" w:lineRule="auto"/>
              <w:jc w:val="left"/>
              <w:rPr>
                <w:rFonts w:cs="Segoe UI"/>
                <w:color w:val="000000"/>
                <w:sz w:val="18"/>
                <w:szCs w:val="18"/>
              </w:rPr>
            </w:pPr>
            <w:r w:rsidRPr="00D46D45">
              <w:rPr>
                <w:rFonts w:cs="Segoe UI"/>
                <w:color w:val="000000"/>
                <w:sz w:val="18"/>
                <w:szCs w:val="18"/>
              </w:rPr>
              <w:t>MH Manažment, a. s.</w:t>
            </w:r>
          </w:p>
        </w:tc>
        <w:tc>
          <w:tcPr>
            <w:tcW w:w="980" w:type="pct"/>
            <w:vAlign w:val="center"/>
          </w:tcPr>
          <w:p w14:paraId="7F6425FF" w14:textId="77777777" w:rsidR="00B5522E" w:rsidRPr="00D46D45" w:rsidRDefault="00B5522E" w:rsidP="00B571E8">
            <w:pPr>
              <w:spacing w:after="0" w:line="240" w:lineRule="auto"/>
              <w:jc w:val="right"/>
              <w:rPr>
                <w:rFonts w:cs="Segoe UI"/>
                <w:color w:val="000000"/>
                <w:sz w:val="18"/>
                <w:szCs w:val="18"/>
              </w:rPr>
            </w:pPr>
            <w:r w:rsidRPr="00D46D45">
              <w:rPr>
                <w:rFonts w:cs="Segoe UI"/>
                <w:color w:val="000000"/>
                <w:sz w:val="18"/>
                <w:szCs w:val="18"/>
              </w:rPr>
              <w:t>1 906 500</w:t>
            </w:r>
          </w:p>
        </w:tc>
        <w:tc>
          <w:tcPr>
            <w:tcW w:w="980" w:type="pct"/>
            <w:shd w:val="clear" w:color="auto" w:fill="auto"/>
            <w:vAlign w:val="center"/>
          </w:tcPr>
          <w:p w14:paraId="4012A212" w14:textId="77777777" w:rsidR="00B5522E" w:rsidRPr="00D46D45" w:rsidRDefault="00B5522E" w:rsidP="00B571E8">
            <w:pPr>
              <w:spacing w:after="0" w:line="240" w:lineRule="auto"/>
              <w:jc w:val="right"/>
              <w:rPr>
                <w:rFonts w:cs="Segoe UI"/>
                <w:color w:val="000000"/>
                <w:sz w:val="18"/>
                <w:szCs w:val="18"/>
              </w:rPr>
            </w:pPr>
            <w:r w:rsidRPr="00D46D45">
              <w:rPr>
                <w:rFonts w:cs="Segoe UI"/>
                <w:color w:val="000000"/>
                <w:sz w:val="18"/>
                <w:szCs w:val="18"/>
              </w:rPr>
              <w:t>0,003%</w:t>
            </w:r>
          </w:p>
        </w:tc>
      </w:tr>
      <w:tr w:rsidR="00B5522E" w:rsidRPr="00D46D45" w14:paraId="5384C9FD" w14:textId="77777777" w:rsidTr="00B571E8">
        <w:trPr>
          <w:trHeight w:val="57"/>
          <w:jc w:val="center"/>
        </w:trPr>
        <w:tc>
          <w:tcPr>
            <w:tcW w:w="3040" w:type="pct"/>
            <w:vAlign w:val="center"/>
          </w:tcPr>
          <w:p w14:paraId="2BA4F5D8" w14:textId="77777777" w:rsidR="00B5522E" w:rsidRPr="00D46D45" w:rsidRDefault="00B5522E" w:rsidP="00B571E8">
            <w:pPr>
              <w:spacing w:after="0" w:line="240" w:lineRule="auto"/>
              <w:jc w:val="left"/>
              <w:rPr>
                <w:rFonts w:cs="Segoe UI"/>
                <w:color w:val="000000"/>
                <w:sz w:val="18"/>
                <w:szCs w:val="18"/>
              </w:rPr>
            </w:pPr>
            <w:r w:rsidRPr="00D46D45">
              <w:rPr>
                <w:rFonts w:cs="Segoe UI"/>
                <w:color w:val="000000"/>
                <w:sz w:val="18"/>
                <w:szCs w:val="18"/>
              </w:rPr>
              <w:t>Úrad pre dohľad nad výkonom auditu</w:t>
            </w:r>
          </w:p>
        </w:tc>
        <w:tc>
          <w:tcPr>
            <w:tcW w:w="980" w:type="pct"/>
            <w:vAlign w:val="center"/>
          </w:tcPr>
          <w:p w14:paraId="72782EF7" w14:textId="77777777" w:rsidR="00B5522E" w:rsidRPr="00D46D45" w:rsidRDefault="00B5522E" w:rsidP="00B571E8">
            <w:pPr>
              <w:spacing w:after="0" w:line="240" w:lineRule="auto"/>
              <w:jc w:val="right"/>
              <w:rPr>
                <w:rFonts w:cs="Segoe UI"/>
                <w:color w:val="000000"/>
                <w:sz w:val="18"/>
                <w:szCs w:val="18"/>
              </w:rPr>
            </w:pPr>
            <w:r w:rsidRPr="00D46D45">
              <w:rPr>
                <w:rFonts w:cs="Segoe UI"/>
                <w:color w:val="000000"/>
                <w:sz w:val="18"/>
                <w:szCs w:val="18"/>
              </w:rPr>
              <w:t>1 652 703</w:t>
            </w:r>
          </w:p>
        </w:tc>
        <w:tc>
          <w:tcPr>
            <w:tcW w:w="980" w:type="pct"/>
            <w:shd w:val="clear" w:color="auto" w:fill="auto"/>
            <w:vAlign w:val="center"/>
          </w:tcPr>
          <w:p w14:paraId="07AEAF39" w14:textId="77777777" w:rsidR="00B5522E" w:rsidRPr="00D46D45" w:rsidRDefault="00B5522E" w:rsidP="00B571E8">
            <w:pPr>
              <w:spacing w:after="0" w:line="240" w:lineRule="auto"/>
              <w:jc w:val="right"/>
              <w:rPr>
                <w:rFonts w:cs="Segoe UI"/>
                <w:color w:val="000000"/>
                <w:sz w:val="18"/>
                <w:szCs w:val="18"/>
              </w:rPr>
            </w:pPr>
            <w:r w:rsidRPr="00D46D45">
              <w:rPr>
                <w:rFonts w:cs="Segoe UI"/>
                <w:color w:val="000000"/>
                <w:sz w:val="18"/>
                <w:szCs w:val="18"/>
              </w:rPr>
              <w:t>0,003%</w:t>
            </w:r>
          </w:p>
        </w:tc>
      </w:tr>
      <w:tr w:rsidR="00B5522E" w:rsidRPr="00D46D45" w14:paraId="68FC3BA5" w14:textId="77777777" w:rsidTr="00B571E8">
        <w:trPr>
          <w:trHeight w:val="57"/>
          <w:jc w:val="center"/>
        </w:trPr>
        <w:tc>
          <w:tcPr>
            <w:tcW w:w="3040" w:type="pct"/>
            <w:vAlign w:val="center"/>
          </w:tcPr>
          <w:p w14:paraId="2845D62A" w14:textId="77777777" w:rsidR="00B5522E" w:rsidRPr="00D46D45" w:rsidRDefault="00B5522E" w:rsidP="00B571E8">
            <w:pPr>
              <w:spacing w:after="0" w:line="240" w:lineRule="auto"/>
              <w:jc w:val="left"/>
              <w:rPr>
                <w:rFonts w:cs="Segoe UI"/>
                <w:color w:val="000000"/>
                <w:sz w:val="18"/>
                <w:szCs w:val="18"/>
              </w:rPr>
            </w:pPr>
            <w:r w:rsidRPr="00D46D45">
              <w:rPr>
                <w:rFonts w:cs="Segoe UI"/>
                <w:color w:val="000000"/>
                <w:sz w:val="18"/>
                <w:szCs w:val="18"/>
              </w:rPr>
              <w:t>Národný jadrový fond</w:t>
            </w:r>
          </w:p>
        </w:tc>
        <w:tc>
          <w:tcPr>
            <w:tcW w:w="980" w:type="pct"/>
            <w:vAlign w:val="center"/>
          </w:tcPr>
          <w:p w14:paraId="1A35C846" w14:textId="77777777" w:rsidR="00B5522E" w:rsidRPr="00D46D45" w:rsidRDefault="00B5522E" w:rsidP="00B571E8">
            <w:pPr>
              <w:spacing w:after="0" w:line="240" w:lineRule="auto"/>
              <w:jc w:val="right"/>
              <w:rPr>
                <w:rFonts w:cs="Segoe UI"/>
                <w:color w:val="000000"/>
                <w:sz w:val="18"/>
                <w:szCs w:val="18"/>
              </w:rPr>
            </w:pPr>
            <w:r w:rsidRPr="00D46D45">
              <w:rPr>
                <w:rFonts w:cs="Segoe UI"/>
                <w:color w:val="000000"/>
                <w:sz w:val="18"/>
                <w:szCs w:val="18"/>
              </w:rPr>
              <w:t>1 536 161</w:t>
            </w:r>
          </w:p>
        </w:tc>
        <w:tc>
          <w:tcPr>
            <w:tcW w:w="980" w:type="pct"/>
            <w:shd w:val="clear" w:color="auto" w:fill="auto"/>
            <w:vAlign w:val="center"/>
          </w:tcPr>
          <w:p w14:paraId="1C50F60E" w14:textId="77777777" w:rsidR="00B5522E" w:rsidRPr="00D46D45" w:rsidRDefault="00B5522E" w:rsidP="00B571E8">
            <w:pPr>
              <w:spacing w:after="0" w:line="240" w:lineRule="auto"/>
              <w:jc w:val="right"/>
              <w:rPr>
                <w:rFonts w:cs="Segoe UI"/>
                <w:color w:val="000000"/>
                <w:sz w:val="18"/>
                <w:szCs w:val="18"/>
              </w:rPr>
            </w:pPr>
            <w:r w:rsidRPr="00D46D45">
              <w:rPr>
                <w:rFonts w:cs="Segoe UI"/>
                <w:color w:val="000000"/>
                <w:sz w:val="18"/>
                <w:szCs w:val="18"/>
              </w:rPr>
              <w:t>0,003%</w:t>
            </w:r>
          </w:p>
        </w:tc>
      </w:tr>
      <w:tr w:rsidR="00B5522E" w:rsidRPr="00D46D45" w14:paraId="4C92CE64" w14:textId="77777777" w:rsidTr="00B571E8">
        <w:trPr>
          <w:trHeight w:val="57"/>
          <w:jc w:val="center"/>
        </w:trPr>
        <w:tc>
          <w:tcPr>
            <w:tcW w:w="3040" w:type="pct"/>
            <w:vAlign w:val="center"/>
          </w:tcPr>
          <w:p w14:paraId="2F890A80" w14:textId="77777777" w:rsidR="00B5522E" w:rsidRPr="00D46D45" w:rsidRDefault="00B5522E" w:rsidP="00B571E8">
            <w:pPr>
              <w:spacing w:after="0" w:line="240" w:lineRule="auto"/>
              <w:jc w:val="left"/>
              <w:rPr>
                <w:rFonts w:eastAsia="Calibri" w:cs="Segoe UI"/>
                <w:i/>
                <w:sz w:val="18"/>
                <w:szCs w:val="18"/>
              </w:rPr>
            </w:pPr>
            <w:r w:rsidRPr="00D46D45">
              <w:rPr>
                <w:rFonts w:cs="Segoe UI"/>
                <w:color w:val="000000"/>
                <w:sz w:val="18"/>
                <w:szCs w:val="18"/>
              </w:rPr>
              <w:t>Fond na podporu vzdelávania</w:t>
            </w:r>
          </w:p>
        </w:tc>
        <w:tc>
          <w:tcPr>
            <w:tcW w:w="980" w:type="pct"/>
            <w:vAlign w:val="center"/>
          </w:tcPr>
          <w:p w14:paraId="37649702"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1 202 142</w:t>
            </w:r>
          </w:p>
        </w:tc>
        <w:tc>
          <w:tcPr>
            <w:tcW w:w="980" w:type="pct"/>
            <w:shd w:val="clear" w:color="auto" w:fill="auto"/>
            <w:vAlign w:val="center"/>
          </w:tcPr>
          <w:p w14:paraId="2901FEA5"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0,002%</w:t>
            </w:r>
          </w:p>
        </w:tc>
      </w:tr>
      <w:tr w:rsidR="00B5522E" w:rsidRPr="00D46D45" w14:paraId="2757B2E5" w14:textId="77777777" w:rsidTr="00B571E8">
        <w:trPr>
          <w:trHeight w:val="57"/>
          <w:jc w:val="center"/>
        </w:trPr>
        <w:tc>
          <w:tcPr>
            <w:tcW w:w="3040" w:type="pct"/>
            <w:tcBorders>
              <w:bottom w:val="single" w:sz="4" w:space="0" w:color="314364"/>
            </w:tcBorders>
            <w:vAlign w:val="center"/>
          </w:tcPr>
          <w:p w14:paraId="3704B2FD" w14:textId="77777777" w:rsidR="00B5522E" w:rsidRPr="00D46D45" w:rsidRDefault="00B5522E" w:rsidP="00B571E8">
            <w:pPr>
              <w:spacing w:after="0" w:line="240" w:lineRule="auto"/>
              <w:jc w:val="left"/>
              <w:rPr>
                <w:rFonts w:eastAsia="Calibri" w:cs="Segoe UI"/>
                <w:i/>
                <w:sz w:val="18"/>
                <w:szCs w:val="18"/>
              </w:rPr>
            </w:pPr>
            <w:r w:rsidRPr="00D46D45">
              <w:rPr>
                <w:rFonts w:cs="Segoe UI"/>
                <w:color w:val="000000"/>
                <w:sz w:val="18"/>
                <w:szCs w:val="18"/>
              </w:rPr>
              <w:t>Fond na podporu cestovného ruchu*</w:t>
            </w:r>
          </w:p>
        </w:tc>
        <w:tc>
          <w:tcPr>
            <w:tcW w:w="980" w:type="pct"/>
            <w:tcBorders>
              <w:bottom w:val="single" w:sz="4" w:space="0" w:color="314364"/>
            </w:tcBorders>
            <w:vAlign w:val="center"/>
          </w:tcPr>
          <w:p w14:paraId="4A535386"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0</w:t>
            </w:r>
          </w:p>
        </w:tc>
        <w:tc>
          <w:tcPr>
            <w:tcW w:w="980" w:type="pct"/>
            <w:tcBorders>
              <w:bottom w:val="single" w:sz="4" w:space="0" w:color="314364"/>
            </w:tcBorders>
            <w:shd w:val="clear" w:color="auto" w:fill="auto"/>
            <w:vAlign w:val="center"/>
          </w:tcPr>
          <w:p w14:paraId="79B81DAF" w14:textId="77777777" w:rsidR="00B5522E" w:rsidRPr="00D46D45" w:rsidRDefault="00B5522E" w:rsidP="00B571E8">
            <w:pPr>
              <w:spacing w:after="0" w:line="240" w:lineRule="auto"/>
              <w:jc w:val="right"/>
              <w:rPr>
                <w:rFonts w:eastAsia="Calibri" w:cs="Segoe UI"/>
                <w:sz w:val="18"/>
                <w:szCs w:val="18"/>
              </w:rPr>
            </w:pPr>
            <w:r w:rsidRPr="00D46D45">
              <w:rPr>
                <w:rFonts w:cs="Segoe UI"/>
                <w:color w:val="000000"/>
                <w:sz w:val="18"/>
                <w:szCs w:val="18"/>
              </w:rPr>
              <w:t>0,000%</w:t>
            </w:r>
          </w:p>
        </w:tc>
      </w:tr>
    </w:tbl>
    <w:p w14:paraId="6A76B974" w14:textId="15A5340D" w:rsidR="00B5522E" w:rsidRDefault="00B5522E" w:rsidP="00B5522E">
      <w:pPr>
        <w:rPr>
          <w:rFonts w:cs="Times New Roman"/>
          <w:i/>
          <w:color w:val="314364"/>
          <w:sz w:val="16"/>
        </w:rPr>
      </w:pPr>
      <w:r>
        <w:rPr>
          <w:rFonts w:cs="Times New Roman"/>
          <w:i/>
          <w:color w:val="314364"/>
          <w:sz w:val="16"/>
        </w:rPr>
        <w:t xml:space="preserve">Zdroj: Návrh RVS 2025 až 2027. </w:t>
      </w:r>
      <w:r w:rsidRPr="00D46D45">
        <w:rPr>
          <w:rFonts w:cs="Times New Roman"/>
          <w:i/>
          <w:color w:val="314364"/>
          <w:sz w:val="16"/>
        </w:rPr>
        <w:t>* V nadväznosti na vládny návrh zákona o Fonde na podporu cestovného ruchu sa od 1. januára 2025 zriaďuje nová verejnoprávna inštitúcia. V tejto súvislosti sú v rozpočte kapitoly Ministerstvo cestovného ruchu a športu SR zabezpečené finančné prostriedky v sume 20 mil. eur ročne od roku 2025.</w:t>
      </w:r>
    </w:p>
    <w:p w14:paraId="67B5952B" w14:textId="77777777" w:rsidR="00B5522E" w:rsidRDefault="00B5522E" w:rsidP="00B5522E">
      <w:pPr>
        <w:rPr>
          <w:rFonts w:cs="Times New Roman"/>
          <w:i/>
          <w:color w:val="314364"/>
          <w:sz w:val="16"/>
        </w:rPr>
      </w:pPr>
    </w:p>
    <w:p w14:paraId="3C288064" w14:textId="77777777" w:rsidR="00B5522E" w:rsidRDefault="00B5522E" w:rsidP="00B5522E">
      <w:pPr>
        <w:rPr>
          <w:rFonts w:cs="Times New Roman"/>
          <w:i/>
          <w:color w:val="314364"/>
          <w:sz w:val="16"/>
        </w:rPr>
      </w:pPr>
    </w:p>
    <w:p w14:paraId="78D25A23" w14:textId="77777777" w:rsidR="00B5522E" w:rsidRDefault="00B5522E" w:rsidP="00B5522E">
      <w:pPr>
        <w:rPr>
          <w:rFonts w:cs="Times New Roman"/>
          <w:i/>
          <w:color w:val="314364"/>
          <w:sz w:val="16"/>
        </w:rPr>
      </w:pPr>
    </w:p>
    <w:p w14:paraId="38D8DA70" w14:textId="5ACE4498" w:rsidR="00B5522E" w:rsidRPr="000C6806" w:rsidRDefault="00B5522E" w:rsidP="00B5522E">
      <w:pPr>
        <w:keepNext/>
        <w:spacing w:after="0"/>
        <w:rPr>
          <w:rFonts w:cs="Times New Roman"/>
          <w:b/>
          <w:iCs/>
          <w:color w:val="314364"/>
          <w:szCs w:val="18"/>
        </w:rPr>
      </w:pPr>
      <w:r w:rsidRPr="000C6806">
        <w:rPr>
          <w:rFonts w:cs="Times New Roman"/>
          <w:b/>
          <w:iCs/>
          <w:color w:val="314364"/>
          <w:szCs w:val="18"/>
        </w:rPr>
        <w:t xml:space="preserve">Tabuľka </w:t>
      </w:r>
      <w:r w:rsidR="00041ECD">
        <w:rPr>
          <w:rFonts w:cs="Times New Roman"/>
          <w:b/>
          <w:iCs/>
          <w:color w:val="314364"/>
          <w:szCs w:val="18"/>
        </w:rPr>
        <w:t>1</w:t>
      </w:r>
      <w:r w:rsidR="002B1C1E">
        <w:rPr>
          <w:rFonts w:cs="Times New Roman"/>
          <w:b/>
          <w:iCs/>
          <w:color w:val="314364"/>
          <w:szCs w:val="18"/>
        </w:rPr>
        <w:t>8</w:t>
      </w:r>
      <w:r w:rsidRPr="000C6806">
        <w:rPr>
          <w:rFonts w:cs="Times New Roman"/>
          <w:b/>
          <w:iCs/>
          <w:color w:val="314364"/>
          <w:szCs w:val="18"/>
        </w:rPr>
        <w:t>: Limit verejných výdavkov kapitol ŠR na rok 2025</w:t>
      </w:r>
    </w:p>
    <w:tbl>
      <w:tblPr>
        <w:tblW w:w="5000" w:type="pct"/>
        <w:jc w:val="center"/>
        <w:tblCellMar>
          <w:top w:w="28" w:type="dxa"/>
        </w:tblCellMar>
        <w:tblLook w:val="04A0" w:firstRow="1" w:lastRow="0" w:firstColumn="1" w:lastColumn="0" w:noHBand="0" w:noVBand="1"/>
      </w:tblPr>
      <w:tblGrid>
        <w:gridCol w:w="5708"/>
        <w:gridCol w:w="1682"/>
        <w:gridCol w:w="1680"/>
      </w:tblGrid>
      <w:tr w:rsidR="00B5522E" w:rsidRPr="0043604B" w14:paraId="2C1538CD" w14:textId="77777777" w:rsidTr="00B571E8">
        <w:trPr>
          <w:trHeight w:val="57"/>
          <w:tblHeader/>
          <w:jc w:val="center"/>
        </w:trPr>
        <w:tc>
          <w:tcPr>
            <w:tcW w:w="3147" w:type="pct"/>
            <w:tcBorders>
              <w:bottom w:val="single" w:sz="4" w:space="0" w:color="314364"/>
            </w:tcBorders>
            <w:shd w:val="clear" w:color="auto" w:fill="314364"/>
            <w:vAlign w:val="center"/>
          </w:tcPr>
          <w:p w14:paraId="7240DFEA" w14:textId="77777777" w:rsidR="00B5522E" w:rsidRPr="0043604B" w:rsidRDefault="00B5522E" w:rsidP="00B571E8">
            <w:pPr>
              <w:spacing w:after="0" w:line="240" w:lineRule="auto"/>
              <w:jc w:val="left"/>
              <w:rPr>
                <w:rFonts w:eastAsia="Calibri" w:cs="Segoe UI"/>
                <w:b/>
                <w:color w:val="FFFFFF"/>
                <w:sz w:val="18"/>
                <w:szCs w:val="18"/>
              </w:rPr>
            </w:pPr>
            <w:r w:rsidRPr="0043604B">
              <w:rPr>
                <w:rFonts w:eastAsia="Calibri" w:cs="Segoe UI"/>
                <w:b/>
                <w:color w:val="FFFFFF"/>
                <w:sz w:val="18"/>
                <w:szCs w:val="18"/>
              </w:rPr>
              <w:t>Subjekt verejnej správy</w:t>
            </w:r>
          </w:p>
        </w:tc>
        <w:tc>
          <w:tcPr>
            <w:tcW w:w="927" w:type="pct"/>
            <w:tcBorders>
              <w:bottom w:val="single" w:sz="4" w:space="0" w:color="314364"/>
            </w:tcBorders>
            <w:shd w:val="clear" w:color="auto" w:fill="314364"/>
            <w:vAlign w:val="center"/>
          </w:tcPr>
          <w:p w14:paraId="3DDAFD0F" w14:textId="561D6F3F" w:rsidR="00B5522E" w:rsidRPr="0043604B" w:rsidRDefault="00B5522E" w:rsidP="00B571E8">
            <w:pPr>
              <w:spacing w:after="0" w:line="240" w:lineRule="auto"/>
              <w:jc w:val="right"/>
              <w:rPr>
                <w:rFonts w:eastAsia="Calibri" w:cs="Segoe UI"/>
                <w:b/>
                <w:color w:val="FFFFFF"/>
                <w:sz w:val="18"/>
                <w:szCs w:val="18"/>
              </w:rPr>
            </w:pPr>
            <w:r w:rsidRPr="0043604B">
              <w:rPr>
                <w:rFonts w:eastAsia="Calibri" w:cs="Segoe UI"/>
                <w:b/>
                <w:color w:val="FFFFFF"/>
                <w:sz w:val="18"/>
                <w:szCs w:val="18"/>
              </w:rPr>
              <w:t>LVV (v eur</w:t>
            </w:r>
            <w:r>
              <w:rPr>
                <w:rFonts w:eastAsia="Calibri" w:cs="Segoe UI"/>
                <w:b/>
                <w:color w:val="FFFFFF"/>
                <w:sz w:val="18"/>
                <w:szCs w:val="18"/>
              </w:rPr>
              <w:t>ách</w:t>
            </w:r>
            <w:r w:rsidRPr="0043604B">
              <w:rPr>
                <w:rFonts w:eastAsia="Calibri" w:cs="Segoe UI"/>
                <w:b/>
                <w:color w:val="FFFFFF"/>
                <w:sz w:val="18"/>
                <w:szCs w:val="18"/>
              </w:rPr>
              <w:t>)</w:t>
            </w:r>
          </w:p>
        </w:tc>
        <w:tc>
          <w:tcPr>
            <w:tcW w:w="926" w:type="pct"/>
            <w:tcBorders>
              <w:bottom w:val="single" w:sz="4" w:space="0" w:color="314364"/>
            </w:tcBorders>
            <w:shd w:val="clear" w:color="auto" w:fill="314364"/>
            <w:vAlign w:val="center"/>
          </w:tcPr>
          <w:p w14:paraId="152AF567" w14:textId="2DA1A6B5" w:rsidR="00B5522E" w:rsidRPr="0043604B" w:rsidRDefault="00B5522E" w:rsidP="00B571E8">
            <w:pPr>
              <w:spacing w:after="0" w:line="240" w:lineRule="auto"/>
              <w:jc w:val="right"/>
              <w:rPr>
                <w:rFonts w:eastAsia="Calibri" w:cs="Segoe UI"/>
                <w:b/>
                <w:color w:val="FFFFFF"/>
                <w:sz w:val="18"/>
                <w:szCs w:val="18"/>
              </w:rPr>
            </w:pPr>
            <w:r>
              <w:rPr>
                <w:rFonts w:eastAsia="Calibri" w:cs="Segoe UI"/>
                <w:b/>
                <w:color w:val="FFFFFF"/>
                <w:sz w:val="18"/>
                <w:szCs w:val="18"/>
              </w:rPr>
              <w:t>Podiel</w:t>
            </w:r>
            <w:r w:rsidRPr="0043604B">
              <w:rPr>
                <w:rFonts w:eastAsia="Calibri" w:cs="Segoe UI"/>
                <w:b/>
                <w:color w:val="FFFFFF"/>
                <w:sz w:val="18"/>
                <w:szCs w:val="18"/>
              </w:rPr>
              <w:t xml:space="preserve"> (</w:t>
            </w:r>
            <w:r>
              <w:rPr>
                <w:rFonts w:eastAsia="Calibri" w:cs="Segoe UI"/>
                <w:b/>
                <w:color w:val="FFFFFF"/>
                <w:sz w:val="18"/>
                <w:szCs w:val="18"/>
              </w:rPr>
              <w:t xml:space="preserve">v </w:t>
            </w:r>
            <w:r w:rsidRPr="0043604B">
              <w:rPr>
                <w:rFonts w:eastAsia="Calibri" w:cs="Segoe UI"/>
                <w:b/>
                <w:color w:val="FFFFFF"/>
                <w:sz w:val="18"/>
                <w:szCs w:val="18"/>
              </w:rPr>
              <w:t>%)</w:t>
            </w:r>
          </w:p>
        </w:tc>
      </w:tr>
      <w:tr w:rsidR="00B5522E" w:rsidRPr="0043604B" w14:paraId="3F7277AE" w14:textId="77777777" w:rsidTr="00B571E8">
        <w:trPr>
          <w:trHeight w:val="57"/>
          <w:jc w:val="center"/>
        </w:trPr>
        <w:tc>
          <w:tcPr>
            <w:tcW w:w="3147" w:type="pct"/>
            <w:tcBorders>
              <w:top w:val="single" w:sz="4" w:space="0" w:color="314364"/>
            </w:tcBorders>
            <w:vAlign w:val="center"/>
          </w:tcPr>
          <w:p w14:paraId="4530D5C8" w14:textId="77777777" w:rsidR="00B5522E" w:rsidRPr="0043604B" w:rsidRDefault="00B5522E" w:rsidP="00B571E8">
            <w:pPr>
              <w:spacing w:after="0" w:line="240" w:lineRule="auto"/>
              <w:jc w:val="left"/>
              <w:rPr>
                <w:rFonts w:eastAsia="Calibri" w:cs="Segoe UI"/>
                <w:b/>
                <w:sz w:val="18"/>
                <w:szCs w:val="18"/>
              </w:rPr>
            </w:pPr>
            <w:r w:rsidRPr="0043604B">
              <w:rPr>
                <w:rFonts w:cs="Segoe UI"/>
                <w:b/>
                <w:bCs/>
                <w:color w:val="000000"/>
                <w:sz w:val="18"/>
                <w:szCs w:val="18"/>
              </w:rPr>
              <w:t>Štátny rozpočet</w:t>
            </w:r>
          </w:p>
        </w:tc>
        <w:tc>
          <w:tcPr>
            <w:tcW w:w="927" w:type="pct"/>
            <w:tcBorders>
              <w:top w:val="single" w:sz="4" w:space="0" w:color="314364"/>
            </w:tcBorders>
            <w:vAlign w:val="center"/>
          </w:tcPr>
          <w:p w14:paraId="7D86342B" w14:textId="77777777" w:rsidR="00B5522E" w:rsidRPr="0043604B" w:rsidRDefault="00B5522E" w:rsidP="00B571E8">
            <w:pPr>
              <w:spacing w:after="0" w:line="240" w:lineRule="auto"/>
              <w:jc w:val="right"/>
              <w:rPr>
                <w:rFonts w:eastAsia="Calibri" w:cs="Segoe UI"/>
                <w:b/>
                <w:sz w:val="18"/>
                <w:szCs w:val="18"/>
              </w:rPr>
            </w:pPr>
            <w:r w:rsidRPr="0043604B">
              <w:rPr>
                <w:rFonts w:cs="Segoe UI"/>
                <w:b/>
                <w:bCs/>
                <w:color w:val="000000"/>
                <w:sz w:val="18"/>
                <w:szCs w:val="18"/>
              </w:rPr>
              <w:t>23 455 548 832</w:t>
            </w:r>
          </w:p>
        </w:tc>
        <w:tc>
          <w:tcPr>
            <w:tcW w:w="926" w:type="pct"/>
            <w:tcBorders>
              <w:top w:val="single" w:sz="4" w:space="0" w:color="314364"/>
            </w:tcBorders>
            <w:shd w:val="clear" w:color="auto" w:fill="auto"/>
            <w:vAlign w:val="center"/>
          </w:tcPr>
          <w:p w14:paraId="208C3FA6" w14:textId="77777777" w:rsidR="00B5522E" w:rsidRPr="0043604B" w:rsidRDefault="00B5522E" w:rsidP="00B571E8">
            <w:pPr>
              <w:spacing w:after="0" w:line="240" w:lineRule="auto"/>
              <w:jc w:val="right"/>
              <w:rPr>
                <w:rFonts w:eastAsia="Calibri" w:cs="Segoe UI"/>
                <w:b/>
                <w:sz w:val="18"/>
                <w:szCs w:val="18"/>
              </w:rPr>
            </w:pPr>
            <w:r>
              <w:rPr>
                <w:rFonts w:eastAsia="Calibri" w:cs="Segoe UI"/>
                <w:b/>
                <w:sz w:val="18"/>
                <w:szCs w:val="18"/>
              </w:rPr>
              <w:t>-</w:t>
            </w:r>
          </w:p>
        </w:tc>
      </w:tr>
      <w:tr w:rsidR="00B5522E" w:rsidRPr="0043604B" w14:paraId="471BD868" w14:textId="77777777" w:rsidTr="00B571E8">
        <w:trPr>
          <w:trHeight w:val="57"/>
          <w:jc w:val="center"/>
        </w:trPr>
        <w:tc>
          <w:tcPr>
            <w:tcW w:w="3147" w:type="pct"/>
            <w:vAlign w:val="center"/>
          </w:tcPr>
          <w:p w14:paraId="256626C7" w14:textId="77777777" w:rsidR="00B5522E" w:rsidRPr="0043604B" w:rsidRDefault="00B5522E" w:rsidP="00B571E8">
            <w:pPr>
              <w:spacing w:after="0" w:line="240" w:lineRule="auto"/>
              <w:jc w:val="left"/>
              <w:rPr>
                <w:rFonts w:eastAsia="Calibri" w:cs="Segoe UI"/>
                <w:sz w:val="18"/>
                <w:szCs w:val="18"/>
              </w:rPr>
            </w:pPr>
            <w:r w:rsidRPr="0043604B">
              <w:rPr>
                <w:rFonts w:cs="Segoe UI"/>
                <w:color w:val="000000"/>
                <w:sz w:val="18"/>
                <w:szCs w:val="18"/>
              </w:rPr>
              <w:t>Cyklické výdavky v nezamestnanosti</w:t>
            </w:r>
          </w:p>
        </w:tc>
        <w:tc>
          <w:tcPr>
            <w:tcW w:w="927" w:type="pct"/>
            <w:vAlign w:val="center"/>
          </w:tcPr>
          <w:p w14:paraId="5AEA6E97" w14:textId="77777777" w:rsidR="00B5522E" w:rsidRPr="0043604B" w:rsidRDefault="00B5522E" w:rsidP="00B571E8">
            <w:pPr>
              <w:spacing w:after="0" w:line="240" w:lineRule="auto"/>
              <w:jc w:val="right"/>
              <w:rPr>
                <w:rFonts w:eastAsia="Calibri" w:cs="Segoe UI"/>
                <w:sz w:val="18"/>
                <w:szCs w:val="18"/>
              </w:rPr>
            </w:pPr>
            <w:r w:rsidRPr="0043604B">
              <w:rPr>
                <w:rFonts w:cs="Segoe UI"/>
                <w:color w:val="000000"/>
                <w:sz w:val="18"/>
                <w:szCs w:val="18"/>
              </w:rPr>
              <w:t>-12 159 907</w:t>
            </w:r>
          </w:p>
        </w:tc>
        <w:tc>
          <w:tcPr>
            <w:tcW w:w="926" w:type="pct"/>
            <w:shd w:val="clear" w:color="auto" w:fill="auto"/>
            <w:vAlign w:val="center"/>
          </w:tcPr>
          <w:p w14:paraId="6EA18FF0" w14:textId="77777777" w:rsidR="00B5522E" w:rsidRPr="0043604B" w:rsidRDefault="00B5522E" w:rsidP="00B571E8">
            <w:pPr>
              <w:spacing w:after="0" w:line="240" w:lineRule="auto"/>
              <w:jc w:val="right"/>
              <w:rPr>
                <w:rFonts w:eastAsia="Calibri" w:cs="Segoe UI"/>
                <w:sz w:val="18"/>
                <w:szCs w:val="18"/>
              </w:rPr>
            </w:pPr>
            <w:r>
              <w:rPr>
                <w:rFonts w:eastAsia="Calibri" w:cs="Segoe UI"/>
                <w:sz w:val="18"/>
                <w:szCs w:val="18"/>
              </w:rPr>
              <w:t>-</w:t>
            </w:r>
          </w:p>
        </w:tc>
      </w:tr>
      <w:tr w:rsidR="00B5522E" w:rsidRPr="0043604B" w14:paraId="146F4DFC" w14:textId="77777777" w:rsidTr="00B571E8">
        <w:trPr>
          <w:trHeight w:val="57"/>
          <w:jc w:val="center"/>
        </w:trPr>
        <w:tc>
          <w:tcPr>
            <w:tcW w:w="3147" w:type="pct"/>
            <w:vAlign w:val="center"/>
          </w:tcPr>
          <w:p w14:paraId="1249EF1E" w14:textId="77777777" w:rsidR="00B5522E" w:rsidRPr="0043604B" w:rsidRDefault="00B5522E" w:rsidP="00B571E8">
            <w:pPr>
              <w:spacing w:after="0" w:line="240" w:lineRule="auto"/>
              <w:jc w:val="left"/>
              <w:rPr>
                <w:rFonts w:eastAsia="Calibri" w:cs="Segoe UI"/>
                <w:sz w:val="18"/>
                <w:szCs w:val="18"/>
              </w:rPr>
            </w:pPr>
            <w:r w:rsidRPr="0043604B">
              <w:rPr>
                <w:rFonts w:cs="Segoe UI"/>
                <w:color w:val="000000"/>
                <w:sz w:val="18"/>
                <w:szCs w:val="18"/>
              </w:rPr>
              <w:t>Imputy ŠR</w:t>
            </w:r>
          </w:p>
        </w:tc>
        <w:tc>
          <w:tcPr>
            <w:tcW w:w="927" w:type="pct"/>
            <w:vAlign w:val="center"/>
          </w:tcPr>
          <w:p w14:paraId="39670380" w14:textId="77777777" w:rsidR="00B5522E" w:rsidRPr="0043604B" w:rsidRDefault="00B5522E" w:rsidP="00B571E8">
            <w:pPr>
              <w:spacing w:after="0" w:line="240" w:lineRule="auto"/>
              <w:jc w:val="right"/>
              <w:rPr>
                <w:rFonts w:eastAsia="Calibri" w:cs="Segoe UI"/>
                <w:sz w:val="18"/>
                <w:szCs w:val="18"/>
              </w:rPr>
            </w:pPr>
            <w:r w:rsidRPr="0043604B">
              <w:rPr>
                <w:rFonts w:cs="Segoe UI"/>
                <w:color w:val="000000"/>
                <w:sz w:val="18"/>
                <w:szCs w:val="18"/>
              </w:rPr>
              <w:t>1 993 022 930</w:t>
            </w:r>
          </w:p>
        </w:tc>
        <w:tc>
          <w:tcPr>
            <w:tcW w:w="926" w:type="pct"/>
            <w:shd w:val="clear" w:color="auto" w:fill="auto"/>
            <w:vAlign w:val="center"/>
          </w:tcPr>
          <w:p w14:paraId="3FFE28C8" w14:textId="77777777" w:rsidR="00B5522E" w:rsidRPr="0043604B" w:rsidRDefault="00B5522E" w:rsidP="00B571E8">
            <w:pPr>
              <w:spacing w:after="0" w:line="240" w:lineRule="auto"/>
              <w:jc w:val="right"/>
              <w:rPr>
                <w:rFonts w:eastAsia="Calibri" w:cs="Segoe UI"/>
                <w:sz w:val="18"/>
                <w:szCs w:val="18"/>
              </w:rPr>
            </w:pPr>
            <w:r>
              <w:rPr>
                <w:rFonts w:eastAsia="Calibri" w:cs="Segoe UI"/>
                <w:sz w:val="18"/>
                <w:szCs w:val="18"/>
              </w:rPr>
              <w:t>-</w:t>
            </w:r>
          </w:p>
        </w:tc>
      </w:tr>
      <w:tr w:rsidR="00B5522E" w:rsidRPr="0043604B" w14:paraId="4119CAC2" w14:textId="77777777" w:rsidTr="00B571E8">
        <w:trPr>
          <w:trHeight w:val="57"/>
          <w:jc w:val="center"/>
        </w:trPr>
        <w:tc>
          <w:tcPr>
            <w:tcW w:w="3147" w:type="pct"/>
            <w:vAlign w:val="center"/>
          </w:tcPr>
          <w:p w14:paraId="0D0F8169" w14:textId="77777777" w:rsidR="00B5522E" w:rsidRPr="0043604B" w:rsidRDefault="00B5522E" w:rsidP="00B571E8">
            <w:pPr>
              <w:spacing w:after="0" w:line="240" w:lineRule="auto"/>
              <w:jc w:val="left"/>
              <w:rPr>
                <w:rFonts w:eastAsia="Calibri" w:cs="Segoe UI"/>
                <w:b/>
                <w:sz w:val="18"/>
                <w:szCs w:val="18"/>
              </w:rPr>
            </w:pPr>
            <w:r w:rsidRPr="0043604B">
              <w:rPr>
                <w:rFonts w:cs="Segoe UI"/>
                <w:b/>
                <w:color w:val="000000"/>
                <w:sz w:val="18"/>
                <w:szCs w:val="18"/>
              </w:rPr>
              <w:t>LVV ŠR bez cyklických a imputov</w:t>
            </w:r>
          </w:p>
        </w:tc>
        <w:tc>
          <w:tcPr>
            <w:tcW w:w="927" w:type="pct"/>
            <w:vAlign w:val="center"/>
          </w:tcPr>
          <w:p w14:paraId="26E449DA" w14:textId="77777777" w:rsidR="00B5522E" w:rsidRPr="0043604B" w:rsidRDefault="00B5522E" w:rsidP="00B571E8">
            <w:pPr>
              <w:spacing w:after="0" w:line="240" w:lineRule="auto"/>
              <w:jc w:val="right"/>
              <w:rPr>
                <w:rFonts w:eastAsia="Calibri" w:cs="Segoe UI"/>
                <w:b/>
                <w:sz w:val="18"/>
                <w:szCs w:val="18"/>
              </w:rPr>
            </w:pPr>
            <w:r w:rsidRPr="0043604B">
              <w:rPr>
                <w:rFonts w:cs="Segoe UI"/>
                <w:b/>
                <w:color w:val="000000"/>
                <w:sz w:val="18"/>
                <w:szCs w:val="18"/>
              </w:rPr>
              <w:t>21 474 685 809</w:t>
            </w:r>
          </w:p>
        </w:tc>
        <w:tc>
          <w:tcPr>
            <w:tcW w:w="926" w:type="pct"/>
            <w:shd w:val="clear" w:color="auto" w:fill="auto"/>
            <w:vAlign w:val="center"/>
          </w:tcPr>
          <w:p w14:paraId="1EF1E639" w14:textId="77777777" w:rsidR="00B5522E" w:rsidRPr="0043604B" w:rsidRDefault="00B5522E" w:rsidP="00B571E8">
            <w:pPr>
              <w:spacing w:after="0" w:line="240" w:lineRule="auto"/>
              <w:jc w:val="right"/>
              <w:rPr>
                <w:rFonts w:eastAsia="Calibri" w:cs="Segoe UI"/>
                <w:b/>
                <w:sz w:val="18"/>
                <w:szCs w:val="18"/>
              </w:rPr>
            </w:pPr>
            <w:r w:rsidRPr="0043604B">
              <w:rPr>
                <w:rFonts w:cs="Segoe UI"/>
                <w:b/>
                <w:sz w:val="18"/>
                <w:szCs w:val="18"/>
              </w:rPr>
              <w:t>100,000%</w:t>
            </w:r>
          </w:p>
        </w:tc>
      </w:tr>
      <w:tr w:rsidR="00B5522E" w:rsidRPr="0043604B" w14:paraId="2EFAEE0F" w14:textId="77777777" w:rsidTr="00B571E8">
        <w:trPr>
          <w:trHeight w:val="57"/>
          <w:jc w:val="center"/>
        </w:trPr>
        <w:tc>
          <w:tcPr>
            <w:tcW w:w="3147" w:type="pct"/>
            <w:vAlign w:val="center"/>
          </w:tcPr>
          <w:p w14:paraId="15845B35" w14:textId="77777777" w:rsidR="00B5522E" w:rsidRPr="0043604B" w:rsidRDefault="00B5522E" w:rsidP="00B571E8">
            <w:pPr>
              <w:spacing w:after="0" w:line="240" w:lineRule="auto"/>
              <w:jc w:val="left"/>
              <w:rPr>
                <w:rFonts w:eastAsia="Calibri" w:cs="Segoe UI"/>
                <w:sz w:val="18"/>
                <w:szCs w:val="18"/>
              </w:rPr>
            </w:pPr>
            <w:r w:rsidRPr="0043604B">
              <w:rPr>
                <w:rFonts w:cs="Segoe UI"/>
                <w:color w:val="000000"/>
                <w:sz w:val="18"/>
                <w:szCs w:val="18"/>
              </w:rPr>
              <w:t>22 Ministerstvo práce, sociálnych vecí a rodiny SR</w:t>
            </w:r>
          </w:p>
        </w:tc>
        <w:tc>
          <w:tcPr>
            <w:tcW w:w="927" w:type="pct"/>
            <w:vAlign w:val="center"/>
          </w:tcPr>
          <w:p w14:paraId="11ABB4DB" w14:textId="77777777" w:rsidR="00B5522E" w:rsidRPr="0043604B" w:rsidRDefault="00B5522E" w:rsidP="00B571E8">
            <w:pPr>
              <w:spacing w:after="0" w:line="240" w:lineRule="auto"/>
              <w:jc w:val="right"/>
              <w:rPr>
                <w:rFonts w:eastAsia="Calibri" w:cs="Segoe UI"/>
                <w:sz w:val="18"/>
                <w:szCs w:val="18"/>
              </w:rPr>
            </w:pPr>
            <w:r w:rsidRPr="0043604B">
              <w:rPr>
                <w:rFonts w:cs="Segoe UI"/>
                <w:color w:val="000000"/>
                <w:sz w:val="18"/>
                <w:szCs w:val="18"/>
              </w:rPr>
              <w:t>4 300 569 189</w:t>
            </w:r>
          </w:p>
        </w:tc>
        <w:tc>
          <w:tcPr>
            <w:tcW w:w="926" w:type="pct"/>
            <w:shd w:val="clear" w:color="auto" w:fill="auto"/>
            <w:vAlign w:val="center"/>
          </w:tcPr>
          <w:p w14:paraId="0345FCAB" w14:textId="77777777" w:rsidR="00B5522E" w:rsidRPr="0043604B" w:rsidRDefault="00B5522E" w:rsidP="00B571E8">
            <w:pPr>
              <w:spacing w:after="0" w:line="240" w:lineRule="auto"/>
              <w:jc w:val="right"/>
              <w:rPr>
                <w:rFonts w:eastAsia="Calibri" w:cs="Segoe UI"/>
                <w:sz w:val="18"/>
                <w:szCs w:val="18"/>
              </w:rPr>
            </w:pPr>
            <w:r w:rsidRPr="0043604B">
              <w:rPr>
                <w:rFonts w:cs="Segoe UI"/>
                <w:sz w:val="18"/>
                <w:szCs w:val="18"/>
              </w:rPr>
              <w:t>20,026%</w:t>
            </w:r>
          </w:p>
        </w:tc>
      </w:tr>
      <w:tr w:rsidR="00B5522E" w:rsidRPr="0043604B" w14:paraId="4071A421" w14:textId="77777777" w:rsidTr="00B571E8">
        <w:trPr>
          <w:trHeight w:val="57"/>
          <w:jc w:val="center"/>
        </w:trPr>
        <w:tc>
          <w:tcPr>
            <w:tcW w:w="3147" w:type="pct"/>
            <w:vAlign w:val="center"/>
          </w:tcPr>
          <w:p w14:paraId="6B8B894B" w14:textId="77777777" w:rsidR="00B5522E" w:rsidRPr="0043604B" w:rsidRDefault="00B5522E" w:rsidP="00B571E8">
            <w:pPr>
              <w:spacing w:after="0" w:line="240" w:lineRule="auto"/>
              <w:jc w:val="left"/>
              <w:rPr>
                <w:rFonts w:eastAsia="Calibri" w:cs="Segoe UI"/>
                <w:sz w:val="18"/>
                <w:szCs w:val="18"/>
              </w:rPr>
            </w:pPr>
            <w:r w:rsidRPr="0043604B">
              <w:rPr>
                <w:rFonts w:cs="Segoe UI"/>
                <w:color w:val="000000"/>
                <w:sz w:val="18"/>
                <w:szCs w:val="18"/>
              </w:rPr>
              <w:t>11 Ministerstvo obrany SR</w:t>
            </w:r>
          </w:p>
        </w:tc>
        <w:tc>
          <w:tcPr>
            <w:tcW w:w="927" w:type="pct"/>
            <w:vAlign w:val="center"/>
          </w:tcPr>
          <w:p w14:paraId="631EFCE7" w14:textId="77777777" w:rsidR="00B5522E" w:rsidRPr="0043604B" w:rsidRDefault="00B5522E" w:rsidP="00B571E8">
            <w:pPr>
              <w:spacing w:after="0" w:line="240" w:lineRule="auto"/>
              <w:jc w:val="right"/>
              <w:rPr>
                <w:rFonts w:eastAsia="Calibri" w:cs="Segoe UI"/>
                <w:sz w:val="18"/>
                <w:szCs w:val="18"/>
              </w:rPr>
            </w:pPr>
            <w:r w:rsidRPr="0043604B">
              <w:rPr>
                <w:rFonts w:cs="Segoe UI"/>
                <w:color w:val="000000"/>
                <w:sz w:val="18"/>
                <w:szCs w:val="18"/>
              </w:rPr>
              <w:t>3 904 263 312</w:t>
            </w:r>
          </w:p>
        </w:tc>
        <w:tc>
          <w:tcPr>
            <w:tcW w:w="926" w:type="pct"/>
            <w:shd w:val="clear" w:color="auto" w:fill="auto"/>
            <w:vAlign w:val="center"/>
          </w:tcPr>
          <w:p w14:paraId="36D91118" w14:textId="77777777" w:rsidR="00B5522E" w:rsidRPr="0043604B" w:rsidRDefault="00B5522E" w:rsidP="00B571E8">
            <w:pPr>
              <w:spacing w:after="0" w:line="240" w:lineRule="auto"/>
              <w:jc w:val="right"/>
              <w:rPr>
                <w:rFonts w:eastAsia="Calibri" w:cs="Segoe UI"/>
                <w:sz w:val="18"/>
                <w:szCs w:val="18"/>
              </w:rPr>
            </w:pPr>
            <w:r w:rsidRPr="0043604B">
              <w:rPr>
                <w:rFonts w:cs="Segoe UI"/>
                <w:sz w:val="18"/>
                <w:szCs w:val="18"/>
              </w:rPr>
              <w:t>18,181%</w:t>
            </w:r>
          </w:p>
        </w:tc>
      </w:tr>
      <w:tr w:rsidR="00B5522E" w:rsidRPr="0043604B" w14:paraId="29FD6D07" w14:textId="77777777" w:rsidTr="00B571E8">
        <w:trPr>
          <w:trHeight w:val="57"/>
          <w:jc w:val="center"/>
        </w:trPr>
        <w:tc>
          <w:tcPr>
            <w:tcW w:w="3147" w:type="pct"/>
            <w:vAlign w:val="center"/>
          </w:tcPr>
          <w:p w14:paraId="62B25ABB" w14:textId="77777777" w:rsidR="00B5522E" w:rsidRPr="0043604B" w:rsidRDefault="00B5522E" w:rsidP="00B571E8">
            <w:pPr>
              <w:spacing w:after="0" w:line="240" w:lineRule="auto"/>
              <w:jc w:val="left"/>
              <w:rPr>
                <w:rFonts w:eastAsia="Calibri" w:cs="Segoe UI"/>
                <w:sz w:val="18"/>
                <w:szCs w:val="18"/>
              </w:rPr>
            </w:pPr>
            <w:r w:rsidRPr="0043604B">
              <w:rPr>
                <w:rFonts w:cs="Segoe UI"/>
                <w:color w:val="000000"/>
                <w:sz w:val="18"/>
                <w:szCs w:val="18"/>
              </w:rPr>
              <w:t>48 Všeobecná pokladničná správa</w:t>
            </w:r>
          </w:p>
        </w:tc>
        <w:tc>
          <w:tcPr>
            <w:tcW w:w="927" w:type="pct"/>
            <w:vAlign w:val="center"/>
          </w:tcPr>
          <w:p w14:paraId="6F4FA27B" w14:textId="77777777" w:rsidR="00B5522E" w:rsidRPr="0043604B" w:rsidRDefault="00B5522E" w:rsidP="00B571E8">
            <w:pPr>
              <w:spacing w:after="0" w:line="240" w:lineRule="auto"/>
              <w:jc w:val="right"/>
              <w:rPr>
                <w:rFonts w:eastAsia="Calibri" w:cs="Segoe UI"/>
                <w:sz w:val="18"/>
                <w:szCs w:val="18"/>
              </w:rPr>
            </w:pPr>
            <w:r w:rsidRPr="0043604B">
              <w:rPr>
                <w:rFonts w:cs="Segoe UI"/>
                <w:color w:val="000000"/>
                <w:sz w:val="18"/>
                <w:szCs w:val="18"/>
              </w:rPr>
              <w:t>2 728 652 448</w:t>
            </w:r>
          </w:p>
        </w:tc>
        <w:tc>
          <w:tcPr>
            <w:tcW w:w="926" w:type="pct"/>
            <w:shd w:val="clear" w:color="auto" w:fill="auto"/>
            <w:vAlign w:val="center"/>
          </w:tcPr>
          <w:p w14:paraId="5D192DC3" w14:textId="77777777" w:rsidR="00B5522E" w:rsidRPr="0043604B" w:rsidRDefault="00B5522E" w:rsidP="00B571E8">
            <w:pPr>
              <w:spacing w:after="0" w:line="240" w:lineRule="auto"/>
              <w:jc w:val="right"/>
              <w:rPr>
                <w:rFonts w:eastAsia="Calibri" w:cs="Segoe UI"/>
                <w:sz w:val="18"/>
                <w:szCs w:val="18"/>
              </w:rPr>
            </w:pPr>
            <w:r w:rsidRPr="0043604B">
              <w:rPr>
                <w:rFonts w:cs="Segoe UI"/>
                <w:sz w:val="18"/>
                <w:szCs w:val="18"/>
              </w:rPr>
              <w:t>12,706%</w:t>
            </w:r>
          </w:p>
        </w:tc>
      </w:tr>
      <w:tr w:rsidR="00B5522E" w:rsidRPr="0043604B" w14:paraId="729E3E43" w14:textId="77777777" w:rsidTr="00B571E8">
        <w:trPr>
          <w:trHeight w:val="57"/>
          <w:jc w:val="center"/>
        </w:trPr>
        <w:tc>
          <w:tcPr>
            <w:tcW w:w="3147" w:type="pct"/>
            <w:vAlign w:val="center"/>
          </w:tcPr>
          <w:p w14:paraId="7A4C818D" w14:textId="77777777" w:rsidR="00B5522E" w:rsidRPr="0043604B" w:rsidRDefault="00B5522E" w:rsidP="00B571E8">
            <w:pPr>
              <w:spacing w:after="0" w:line="240" w:lineRule="auto"/>
              <w:jc w:val="left"/>
              <w:rPr>
                <w:rFonts w:eastAsia="Calibri" w:cs="Segoe UI"/>
                <w:sz w:val="18"/>
                <w:szCs w:val="18"/>
              </w:rPr>
            </w:pPr>
            <w:r w:rsidRPr="0043604B">
              <w:rPr>
                <w:rFonts w:cs="Segoe UI"/>
                <w:color w:val="000000"/>
                <w:sz w:val="18"/>
                <w:szCs w:val="18"/>
              </w:rPr>
              <w:t>21 Ministerstvo zdravotníctva SR</w:t>
            </w:r>
          </w:p>
        </w:tc>
        <w:tc>
          <w:tcPr>
            <w:tcW w:w="927" w:type="pct"/>
            <w:vAlign w:val="center"/>
          </w:tcPr>
          <w:p w14:paraId="64130085" w14:textId="77777777" w:rsidR="00B5522E" w:rsidRPr="0043604B" w:rsidRDefault="00B5522E" w:rsidP="00B571E8">
            <w:pPr>
              <w:spacing w:after="0" w:line="240" w:lineRule="auto"/>
              <w:jc w:val="right"/>
              <w:rPr>
                <w:rFonts w:eastAsia="Calibri" w:cs="Segoe UI"/>
                <w:sz w:val="18"/>
                <w:szCs w:val="18"/>
              </w:rPr>
            </w:pPr>
            <w:r w:rsidRPr="0043604B">
              <w:rPr>
                <w:rFonts w:cs="Segoe UI"/>
                <w:color w:val="000000"/>
                <w:sz w:val="18"/>
                <w:szCs w:val="18"/>
              </w:rPr>
              <w:t>2 653 288 230</w:t>
            </w:r>
          </w:p>
        </w:tc>
        <w:tc>
          <w:tcPr>
            <w:tcW w:w="926" w:type="pct"/>
            <w:shd w:val="clear" w:color="auto" w:fill="auto"/>
            <w:vAlign w:val="center"/>
          </w:tcPr>
          <w:p w14:paraId="4807E9B9" w14:textId="77777777" w:rsidR="00B5522E" w:rsidRPr="0043604B" w:rsidRDefault="00B5522E" w:rsidP="00B571E8">
            <w:pPr>
              <w:spacing w:after="0" w:line="240" w:lineRule="auto"/>
              <w:jc w:val="right"/>
              <w:rPr>
                <w:rFonts w:eastAsia="Calibri" w:cs="Segoe UI"/>
                <w:sz w:val="18"/>
                <w:szCs w:val="18"/>
              </w:rPr>
            </w:pPr>
            <w:r w:rsidRPr="0043604B">
              <w:rPr>
                <w:rFonts w:cs="Segoe UI"/>
                <w:sz w:val="18"/>
                <w:szCs w:val="18"/>
              </w:rPr>
              <w:t>12,355%</w:t>
            </w:r>
          </w:p>
        </w:tc>
      </w:tr>
      <w:tr w:rsidR="00B5522E" w:rsidRPr="0043604B" w14:paraId="17F92204" w14:textId="77777777" w:rsidTr="00B571E8">
        <w:trPr>
          <w:trHeight w:val="57"/>
          <w:jc w:val="center"/>
        </w:trPr>
        <w:tc>
          <w:tcPr>
            <w:tcW w:w="3147" w:type="pct"/>
            <w:vAlign w:val="center"/>
          </w:tcPr>
          <w:p w14:paraId="3BC78B4C" w14:textId="77777777" w:rsidR="00B5522E" w:rsidRPr="0043604B" w:rsidRDefault="00B5522E" w:rsidP="00B571E8">
            <w:pPr>
              <w:spacing w:after="0" w:line="240" w:lineRule="auto"/>
              <w:jc w:val="left"/>
              <w:rPr>
                <w:rFonts w:eastAsia="Calibri" w:cs="Segoe UI"/>
                <w:sz w:val="18"/>
                <w:szCs w:val="18"/>
              </w:rPr>
            </w:pPr>
            <w:r w:rsidRPr="0043604B">
              <w:rPr>
                <w:rFonts w:cs="Segoe UI"/>
                <w:color w:val="000000"/>
                <w:sz w:val="18"/>
                <w:szCs w:val="18"/>
              </w:rPr>
              <w:t>12 Ministerstvo vnútra SR</w:t>
            </w:r>
          </w:p>
        </w:tc>
        <w:tc>
          <w:tcPr>
            <w:tcW w:w="927" w:type="pct"/>
            <w:vAlign w:val="center"/>
          </w:tcPr>
          <w:p w14:paraId="7137BF4B" w14:textId="77777777" w:rsidR="00B5522E" w:rsidRPr="0043604B" w:rsidRDefault="00B5522E" w:rsidP="00B571E8">
            <w:pPr>
              <w:spacing w:after="0" w:line="240" w:lineRule="auto"/>
              <w:jc w:val="right"/>
              <w:rPr>
                <w:rFonts w:eastAsia="Calibri" w:cs="Segoe UI"/>
                <w:sz w:val="18"/>
                <w:szCs w:val="18"/>
              </w:rPr>
            </w:pPr>
            <w:r w:rsidRPr="0043604B">
              <w:rPr>
                <w:rFonts w:cs="Segoe UI"/>
                <w:color w:val="000000"/>
                <w:sz w:val="18"/>
                <w:szCs w:val="18"/>
              </w:rPr>
              <w:t>2 312 964 649</w:t>
            </w:r>
          </w:p>
        </w:tc>
        <w:tc>
          <w:tcPr>
            <w:tcW w:w="926" w:type="pct"/>
            <w:shd w:val="clear" w:color="auto" w:fill="auto"/>
            <w:vAlign w:val="center"/>
          </w:tcPr>
          <w:p w14:paraId="02B2948A" w14:textId="77777777" w:rsidR="00B5522E" w:rsidRPr="0043604B" w:rsidRDefault="00B5522E" w:rsidP="00B571E8">
            <w:pPr>
              <w:spacing w:after="0" w:line="240" w:lineRule="auto"/>
              <w:jc w:val="right"/>
              <w:rPr>
                <w:rFonts w:eastAsia="Calibri" w:cs="Segoe UI"/>
                <w:sz w:val="18"/>
                <w:szCs w:val="18"/>
              </w:rPr>
            </w:pPr>
            <w:r w:rsidRPr="0043604B">
              <w:rPr>
                <w:rFonts w:cs="Segoe UI"/>
                <w:sz w:val="18"/>
                <w:szCs w:val="18"/>
              </w:rPr>
              <w:t>10,771%</w:t>
            </w:r>
          </w:p>
        </w:tc>
      </w:tr>
      <w:tr w:rsidR="00B5522E" w:rsidRPr="0043604B" w14:paraId="12A661C8" w14:textId="77777777" w:rsidTr="00B571E8">
        <w:trPr>
          <w:trHeight w:val="57"/>
          <w:jc w:val="center"/>
        </w:trPr>
        <w:tc>
          <w:tcPr>
            <w:tcW w:w="3147" w:type="pct"/>
            <w:vAlign w:val="center"/>
          </w:tcPr>
          <w:p w14:paraId="4B9AA98E" w14:textId="77777777" w:rsidR="00B5522E" w:rsidRPr="0043604B" w:rsidRDefault="00B5522E" w:rsidP="00B571E8">
            <w:pPr>
              <w:spacing w:after="0" w:line="240" w:lineRule="auto"/>
              <w:jc w:val="left"/>
              <w:rPr>
                <w:rFonts w:eastAsia="Calibri" w:cs="Segoe UI"/>
                <w:sz w:val="18"/>
                <w:szCs w:val="18"/>
              </w:rPr>
            </w:pPr>
            <w:r w:rsidRPr="0043604B">
              <w:rPr>
                <w:rFonts w:cs="Segoe UI"/>
                <w:color w:val="000000"/>
                <w:sz w:val="18"/>
                <w:szCs w:val="18"/>
              </w:rPr>
              <w:t>20 Ministerstvo školstva, výskumu, vývoja a mládeže SR</w:t>
            </w:r>
          </w:p>
        </w:tc>
        <w:tc>
          <w:tcPr>
            <w:tcW w:w="927" w:type="pct"/>
            <w:vAlign w:val="center"/>
          </w:tcPr>
          <w:p w14:paraId="07677C9D" w14:textId="77777777" w:rsidR="00B5522E" w:rsidRPr="0043604B" w:rsidRDefault="00B5522E" w:rsidP="00B571E8">
            <w:pPr>
              <w:spacing w:after="0" w:line="240" w:lineRule="auto"/>
              <w:jc w:val="right"/>
              <w:rPr>
                <w:rFonts w:eastAsia="Calibri" w:cs="Segoe UI"/>
                <w:sz w:val="18"/>
                <w:szCs w:val="18"/>
              </w:rPr>
            </w:pPr>
            <w:r w:rsidRPr="0043604B">
              <w:rPr>
                <w:rFonts w:cs="Segoe UI"/>
                <w:color w:val="000000"/>
                <w:sz w:val="18"/>
                <w:szCs w:val="18"/>
              </w:rPr>
              <w:t>1 037 335 945</w:t>
            </w:r>
          </w:p>
        </w:tc>
        <w:tc>
          <w:tcPr>
            <w:tcW w:w="926" w:type="pct"/>
            <w:shd w:val="clear" w:color="auto" w:fill="auto"/>
            <w:vAlign w:val="center"/>
          </w:tcPr>
          <w:p w14:paraId="28244637" w14:textId="77777777" w:rsidR="00B5522E" w:rsidRPr="0043604B" w:rsidRDefault="00B5522E" w:rsidP="00B571E8">
            <w:pPr>
              <w:spacing w:after="0" w:line="240" w:lineRule="auto"/>
              <w:jc w:val="right"/>
              <w:rPr>
                <w:rFonts w:eastAsia="Calibri" w:cs="Segoe UI"/>
                <w:sz w:val="18"/>
                <w:szCs w:val="18"/>
              </w:rPr>
            </w:pPr>
            <w:r w:rsidRPr="0043604B">
              <w:rPr>
                <w:rFonts w:cs="Segoe UI"/>
                <w:sz w:val="18"/>
                <w:szCs w:val="18"/>
              </w:rPr>
              <w:t>4,831%</w:t>
            </w:r>
          </w:p>
        </w:tc>
      </w:tr>
      <w:tr w:rsidR="00B5522E" w:rsidRPr="0043604B" w14:paraId="392A64A8" w14:textId="77777777" w:rsidTr="00B571E8">
        <w:trPr>
          <w:trHeight w:val="57"/>
          <w:jc w:val="center"/>
        </w:trPr>
        <w:tc>
          <w:tcPr>
            <w:tcW w:w="3147" w:type="pct"/>
            <w:vAlign w:val="center"/>
          </w:tcPr>
          <w:p w14:paraId="1401F92B" w14:textId="77777777" w:rsidR="00B5522E" w:rsidRPr="0043604B" w:rsidRDefault="00B5522E" w:rsidP="00B571E8">
            <w:pPr>
              <w:spacing w:after="0" w:line="240" w:lineRule="auto"/>
              <w:jc w:val="left"/>
              <w:rPr>
                <w:rFonts w:eastAsia="Calibri" w:cs="Segoe UI"/>
                <w:sz w:val="18"/>
                <w:szCs w:val="18"/>
              </w:rPr>
            </w:pPr>
            <w:r w:rsidRPr="0043604B">
              <w:rPr>
                <w:rFonts w:cs="Segoe UI"/>
                <w:color w:val="000000"/>
                <w:sz w:val="18"/>
                <w:szCs w:val="18"/>
              </w:rPr>
              <w:t>29 Ministerstvo dopravy SR</w:t>
            </w:r>
          </w:p>
        </w:tc>
        <w:tc>
          <w:tcPr>
            <w:tcW w:w="927" w:type="pct"/>
            <w:vAlign w:val="center"/>
          </w:tcPr>
          <w:p w14:paraId="2AC0B359" w14:textId="77777777" w:rsidR="00B5522E" w:rsidRPr="0043604B" w:rsidRDefault="00B5522E" w:rsidP="00B571E8">
            <w:pPr>
              <w:spacing w:after="0" w:line="240" w:lineRule="auto"/>
              <w:jc w:val="right"/>
              <w:rPr>
                <w:rFonts w:eastAsia="Calibri" w:cs="Segoe UI"/>
                <w:sz w:val="18"/>
                <w:szCs w:val="18"/>
              </w:rPr>
            </w:pPr>
            <w:r w:rsidRPr="0043604B">
              <w:rPr>
                <w:rFonts w:cs="Segoe UI"/>
                <w:color w:val="000000"/>
                <w:sz w:val="18"/>
                <w:szCs w:val="18"/>
              </w:rPr>
              <w:t>838 588 793</w:t>
            </w:r>
          </w:p>
        </w:tc>
        <w:tc>
          <w:tcPr>
            <w:tcW w:w="926" w:type="pct"/>
            <w:shd w:val="clear" w:color="auto" w:fill="auto"/>
            <w:vAlign w:val="center"/>
          </w:tcPr>
          <w:p w14:paraId="3DAD372C" w14:textId="77777777" w:rsidR="00B5522E" w:rsidRPr="0043604B" w:rsidRDefault="00B5522E" w:rsidP="00B571E8">
            <w:pPr>
              <w:spacing w:after="0" w:line="240" w:lineRule="auto"/>
              <w:jc w:val="right"/>
              <w:rPr>
                <w:rFonts w:eastAsia="Calibri" w:cs="Segoe UI"/>
                <w:sz w:val="18"/>
                <w:szCs w:val="18"/>
              </w:rPr>
            </w:pPr>
            <w:r w:rsidRPr="0043604B">
              <w:rPr>
                <w:rFonts w:cs="Segoe UI"/>
                <w:sz w:val="18"/>
                <w:szCs w:val="18"/>
              </w:rPr>
              <w:t>3,905%</w:t>
            </w:r>
          </w:p>
        </w:tc>
      </w:tr>
      <w:tr w:rsidR="00B5522E" w:rsidRPr="0043604B" w14:paraId="572458BD" w14:textId="77777777" w:rsidTr="00B571E8">
        <w:trPr>
          <w:trHeight w:val="57"/>
          <w:jc w:val="center"/>
        </w:trPr>
        <w:tc>
          <w:tcPr>
            <w:tcW w:w="3147" w:type="pct"/>
            <w:vAlign w:val="center"/>
          </w:tcPr>
          <w:p w14:paraId="2A645A6C" w14:textId="77777777" w:rsidR="00B5522E" w:rsidRPr="0043604B" w:rsidRDefault="00B5522E" w:rsidP="00B571E8">
            <w:pPr>
              <w:spacing w:after="0" w:line="240" w:lineRule="auto"/>
              <w:jc w:val="left"/>
              <w:rPr>
                <w:rFonts w:eastAsia="Calibri" w:cs="Segoe UI"/>
                <w:sz w:val="18"/>
                <w:szCs w:val="18"/>
              </w:rPr>
            </w:pPr>
            <w:r w:rsidRPr="0043604B">
              <w:rPr>
                <w:rFonts w:cs="Segoe UI"/>
                <w:color w:val="000000"/>
                <w:sz w:val="18"/>
                <w:szCs w:val="18"/>
              </w:rPr>
              <w:t>13 Ministerstvo spravodlivosti SR</w:t>
            </w:r>
          </w:p>
        </w:tc>
        <w:tc>
          <w:tcPr>
            <w:tcW w:w="927" w:type="pct"/>
            <w:vAlign w:val="center"/>
          </w:tcPr>
          <w:p w14:paraId="66EDAF75" w14:textId="77777777" w:rsidR="00B5522E" w:rsidRPr="0043604B" w:rsidRDefault="00B5522E" w:rsidP="00B571E8">
            <w:pPr>
              <w:spacing w:after="0" w:line="240" w:lineRule="auto"/>
              <w:jc w:val="right"/>
              <w:rPr>
                <w:rFonts w:eastAsia="Calibri" w:cs="Segoe UI"/>
                <w:sz w:val="18"/>
                <w:szCs w:val="18"/>
              </w:rPr>
            </w:pPr>
            <w:r w:rsidRPr="0043604B">
              <w:rPr>
                <w:rFonts w:cs="Segoe UI"/>
                <w:color w:val="000000"/>
                <w:sz w:val="18"/>
                <w:szCs w:val="18"/>
              </w:rPr>
              <w:t>799 845 649</w:t>
            </w:r>
          </w:p>
        </w:tc>
        <w:tc>
          <w:tcPr>
            <w:tcW w:w="926" w:type="pct"/>
            <w:shd w:val="clear" w:color="auto" w:fill="auto"/>
            <w:vAlign w:val="center"/>
          </w:tcPr>
          <w:p w14:paraId="47710D9F" w14:textId="77777777" w:rsidR="00B5522E" w:rsidRPr="0043604B" w:rsidRDefault="00B5522E" w:rsidP="00B571E8">
            <w:pPr>
              <w:spacing w:after="0" w:line="240" w:lineRule="auto"/>
              <w:jc w:val="right"/>
              <w:rPr>
                <w:rFonts w:eastAsia="Calibri" w:cs="Segoe UI"/>
                <w:sz w:val="18"/>
                <w:szCs w:val="18"/>
              </w:rPr>
            </w:pPr>
            <w:r w:rsidRPr="0043604B">
              <w:rPr>
                <w:rFonts w:cs="Segoe UI"/>
                <w:sz w:val="18"/>
                <w:szCs w:val="18"/>
              </w:rPr>
              <w:t>3,725%</w:t>
            </w:r>
          </w:p>
        </w:tc>
      </w:tr>
      <w:tr w:rsidR="00B5522E" w:rsidRPr="0043604B" w14:paraId="3058653D" w14:textId="77777777" w:rsidTr="00B571E8">
        <w:trPr>
          <w:trHeight w:val="57"/>
          <w:jc w:val="center"/>
        </w:trPr>
        <w:tc>
          <w:tcPr>
            <w:tcW w:w="3147" w:type="pct"/>
            <w:vAlign w:val="center"/>
          </w:tcPr>
          <w:p w14:paraId="286D2B8B" w14:textId="77777777" w:rsidR="00B5522E" w:rsidRPr="0043604B" w:rsidRDefault="00B5522E" w:rsidP="00B571E8">
            <w:pPr>
              <w:spacing w:after="0" w:line="240" w:lineRule="auto"/>
              <w:jc w:val="left"/>
              <w:rPr>
                <w:rFonts w:eastAsia="Calibri" w:cs="Segoe UI"/>
                <w:sz w:val="18"/>
                <w:szCs w:val="18"/>
              </w:rPr>
            </w:pPr>
            <w:r w:rsidRPr="0043604B">
              <w:rPr>
                <w:rFonts w:cs="Segoe UI"/>
                <w:color w:val="000000"/>
                <w:sz w:val="18"/>
                <w:szCs w:val="18"/>
              </w:rPr>
              <w:t>15 Ministerstvo financií SR</w:t>
            </w:r>
          </w:p>
        </w:tc>
        <w:tc>
          <w:tcPr>
            <w:tcW w:w="927" w:type="pct"/>
            <w:vAlign w:val="center"/>
          </w:tcPr>
          <w:p w14:paraId="7F2C4803" w14:textId="77777777" w:rsidR="00B5522E" w:rsidRPr="0043604B" w:rsidRDefault="00B5522E" w:rsidP="00B571E8">
            <w:pPr>
              <w:spacing w:after="0" w:line="240" w:lineRule="auto"/>
              <w:jc w:val="right"/>
              <w:rPr>
                <w:rFonts w:eastAsia="Calibri" w:cs="Segoe UI"/>
                <w:sz w:val="18"/>
                <w:szCs w:val="18"/>
              </w:rPr>
            </w:pPr>
            <w:r w:rsidRPr="0043604B">
              <w:rPr>
                <w:rFonts w:cs="Segoe UI"/>
                <w:color w:val="000000"/>
                <w:sz w:val="18"/>
                <w:szCs w:val="18"/>
              </w:rPr>
              <w:t>722 764 944</w:t>
            </w:r>
          </w:p>
        </w:tc>
        <w:tc>
          <w:tcPr>
            <w:tcW w:w="926" w:type="pct"/>
            <w:shd w:val="clear" w:color="auto" w:fill="auto"/>
            <w:vAlign w:val="center"/>
          </w:tcPr>
          <w:p w14:paraId="60D39718" w14:textId="77777777" w:rsidR="00B5522E" w:rsidRPr="0043604B" w:rsidRDefault="00B5522E" w:rsidP="00B571E8">
            <w:pPr>
              <w:spacing w:after="0" w:line="240" w:lineRule="auto"/>
              <w:jc w:val="right"/>
              <w:rPr>
                <w:rFonts w:eastAsia="Calibri" w:cs="Segoe UI"/>
                <w:sz w:val="18"/>
                <w:szCs w:val="18"/>
              </w:rPr>
            </w:pPr>
            <w:r w:rsidRPr="0043604B">
              <w:rPr>
                <w:rFonts w:cs="Segoe UI"/>
                <w:sz w:val="18"/>
                <w:szCs w:val="18"/>
              </w:rPr>
              <w:t>3,366%</w:t>
            </w:r>
          </w:p>
        </w:tc>
      </w:tr>
      <w:tr w:rsidR="00B5522E" w:rsidRPr="0043604B" w14:paraId="2F8A020C" w14:textId="77777777" w:rsidTr="00B571E8">
        <w:trPr>
          <w:trHeight w:val="57"/>
          <w:jc w:val="center"/>
        </w:trPr>
        <w:tc>
          <w:tcPr>
            <w:tcW w:w="3147" w:type="pct"/>
            <w:vAlign w:val="center"/>
          </w:tcPr>
          <w:p w14:paraId="4A308FC1" w14:textId="77777777" w:rsidR="00B5522E" w:rsidRPr="0043604B" w:rsidRDefault="00B5522E" w:rsidP="00B571E8">
            <w:pPr>
              <w:spacing w:after="0" w:line="240" w:lineRule="auto"/>
              <w:jc w:val="left"/>
              <w:rPr>
                <w:rFonts w:eastAsia="Calibri" w:cs="Segoe UI"/>
                <w:sz w:val="18"/>
                <w:szCs w:val="18"/>
              </w:rPr>
            </w:pPr>
            <w:r w:rsidRPr="0043604B">
              <w:rPr>
                <w:rFonts w:cs="Segoe UI"/>
                <w:color w:val="000000"/>
                <w:sz w:val="18"/>
                <w:szCs w:val="18"/>
              </w:rPr>
              <w:t>24 Ministerstvo kultúry SR</w:t>
            </w:r>
          </w:p>
        </w:tc>
        <w:tc>
          <w:tcPr>
            <w:tcW w:w="927" w:type="pct"/>
            <w:vAlign w:val="center"/>
          </w:tcPr>
          <w:p w14:paraId="4407BA9A" w14:textId="77777777" w:rsidR="00B5522E" w:rsidRPr="0043604B" w:rsidRDefault="00B5522E" w:rsidP="00B571E8">
            <w:pPr>
              <w:spacing w:after="0" w:line="240" w:lineRule="auto"/>
              <w:jc w:val="right"/>
              <w:rPr>
                <w:rFonts w:eastAsia="Calibri" w:cs="Segoe UI"/>
                <w:sz w:val="18"/>
                <w:szCs w:val="18"/>
              </w:rPr>
            </w:pPr>
            <w:r w:rsidRPr="0043604B">
              <w:rPr>
                <w:rFonts w:cs="Segoe UI"/>
                <w:color w:val="000000"/>
                <w:sz w:val="18"/>
                <w:szCs w:val="18"/>
              </w:rPr>
              <w:t>307 689 422</w:t>
            </w:r>
          </w:p>
        </w:tc>
        <w:tc>
          <w:tcPr>
            <w:tcW w:w="926" w:type="pct"/>
            <w:shd w:val="clear" w:color="auto" w:fill="auto"/>
            <w:vAlign w:val="center"/>
          </w:tcPr>
          <w:p w14:paraId="778E7777" w14:textId="77777777" w:rsidR="00B5522E" w:rsidRPr="0043604B" w:rsidRDefault="00B5522E" w:rsidP="00B571E8">
            <w:pPr>
              <w:spacing w:after="0" w:line="240" w:lineRule="auto"/>
              <w:jc w:val="right"/>
              <w:rPr>
                <w:rFonts w:eastAsia="Calibri" w:cs="Segoe UI"/>
                <w:sz w:val="18"/>
                <w:szCs w:val="18"/>
              </w:rPr>
            </w:pPr>
            <w:r w:rsidRPr="0043604B">
              <w:rPr>
                <w:rFonts w:cs="Segoe UI"/>
                <w:sz w:val="18"/>
                <w:szCs w:val="18"/>
              </w:rPr>
              <w:t>1,433%</w:t>
            </w:r>
          </w:p>
        </w:tc>
      </w:tr>
      <w:tr w:rsidR="00B5522E" w:rsidRPr="0043604B" w14:paraId="34B32BAD" w14:textId="77777777" w:rsidTr="00B571E8">
        <w:trPr>
          <w:trHeight w:val="57"/>
          <w:jc w:val="center"/>
        </w:trPr>
        <w:tc>
          <w:tcPr>
            <w:tcW w:w="3147" w:type="pct"/>
            <w:vAlign w:val="center"/>
          </w:tcPr>
          <w:p w14:paraId="5C7D5CE6" w14:textId="77777777" w:rsidR="00B5522E" w:rsidRPr="0043604B" w:rsidRDefault="00B5522E" w:rsidP="00B571E8">
            <w:pPr>
              <w:spacing w:after="0" w:line="240" w:lineRule="auto"/>
              <w:jc w:val="left"/>
              <w:rPr>
                <w:rFonts w:eastAsia="Calibri" w:cs="Segoe UI"/>
                <w:sz w:val="18"/>
                <w:szCs w:val="18"/>
              </w:rPr>
            </w:pPr>
            <w:r w:rsidRPr="0043604B">
              <w:rPr>
                <w:rFonts w:cs="Segoe UI"/>
                <w:color w:val="000000"/>
                <w:sz w:val="18"/>
                <w:szCs w:val="18"/>
              </w:rPr>
              <w:t>27 Ministerstvo pôdohospodárstva a rozvoja vidieka SR</w:t>
            </w:r>
          </w:p>
        </w:tc>
        <w:tc>
          <w:tcPr>
            <w:tcW w:w="927" w:type="pct"/>
            <w:vAlign w:val="center"/>
          </w:tcPr>
          <w:p w14:paraId="5061DBE4" w14:textId="77777777" w:rsidR="00B5522E" w:rsidRPr="0043604B" w:rsidRDefault="00B5522E" w:rsidP="00B571E8">
            <w:pPr>
              <w:spacing w:after="0" w:line="240" w:lineRule="auto"/>
              <w:jc w:val="right"/>
              <w:rPr>
                <w:rFonts w:eastAsia="Calibri" w:cs="Segoe UI"/>
                <w:sz w:val="18"/>
                <w:szCs w:val="18"/>
              </w:rPr>
            </w:pPr>
            <w:r w:rsidRPr="0043604B">
              <w:rPr>
                <w:rFonts w:cs="Segoe UI"/>
                <w:color w:val="000000"/>
                <w:sz w:val="18"/>
                <w:szCs w:val="18"/>
              </w:rPr>
              <w:t>294 150 378</w:t>
            </w:r>
          </w:p>
        </w:tc>
        <w:tc>
          <w:tcPr>
            <w:tcW w:w="926" w:type="pct"/>
            <w:shd w:val="clear" w:color="auto" w:fill="auto"/>
            <w:vAlign w:val="center"/>
          </w:tcPr>
          <w:p w14:paraId="553D88BA" w14:textId="77777777" w:rsidR="00B5522E" w:rsidRPr="0043604B" w:rsidRDefault="00B5522E" w:rsidP="00B571E8">
            <w:pPr>
              <w:spacing w:after="0" w:line="240" w:lineRule="auto"/>
              <w:jc w:val="right"/>
              <w:rPr>
                <w:rFonts w:eastAsia="Calibri" w:cs="Segoe UI"/>
                <w:sz w:val="18"/>
                <w:szCs w:val="18"/>
              </w:rPr>
            </w:pPr>
            <w:r w:rsidRPr="0043604B">
              <w:rPr>
                <w:rFonts w:cs="Segoe UI"/>
                <w:sz w:val="18"/>
                <w:szCs w:val="18"/>
              </w:rPr>
              <w:t>1,370%</w:t>
            </w:r>
          </w:p>
        </w:tc>
      </w:tr>
      <w:tr w:rsidR="00B5522E" w:rsidRPr="0043604B" w14:paraId="7EB7160B" w14:textId="77777777" w:rsidTr="00B571E8">
        <w:trPr>
          <w:trHeight w:val="57"/>
          <w:jc w:val="center"/>
        </w:trPr>
        <w:tc>
          <w:tcPr>
            <w:tcW w:w="3147" w:type="pct"/>
            <w:vAlign w:val="center"/>
          </w:tcPr>
          <w:p w14:paraId="589F5919" w14:textId="77777777" w:rsidR="00B5522E" w:rsidRPr="0043604B" w:rsidRDefault="00B5522E" w:rsidP="00B571E8">
            <w:pPr>
              <w:spacing w:after="0" w:line="240" w:lineRule="auto"/>
              <w:jc w:val="left"/>
              <w:rPr>
                <w:rFonts w:eastAsia="Calibri" w:cs="Segoe UI"/>
                <w:sz w:val="18"/>
                <w:szCs w:val="18"/>
              </w:rPr>
            </w:pPr>
            <w:r w:rsidRPr="0043604B">
              <w:rPr>
                <w:rFonts w:cs="Segoe UI"/>
                <w:color w:val="000000"/>
                <w:sz w:val="18"/>
                <w:szCs w:val="18"/>
              </w:rPr>
              <w:t>10 Ministerstvo zahraničných vecí a európskych záležitostí SR</w:t>
            </w:r>
          </w:p>
        </w:tc>
        <w:tc>
          <w:tcPr>
            <w:tcW w:w="927" w:type="pct"/>
            <w:vAlign w:val="center"/>
          </w:tcPr>
          <w:p w14:paraId="7429F855" w14:textId="77777777" w:rsidR="00B5522E" w:rsidRPr="0043604B" w:rsidRDefault="00B5522E" w:rsidP="00B571E8">
            <w:pPr>
              <w:spacing w:after="0" w:line="240" w:lineRule="auto"/>
              <w:jc w:val="right"/>
              <w:rPr>
                <w:rFonts w:eastAsia="Calibri" w:cs="Segoe UI"/>
                <w:sz w:val="18"/>
                <w:szCs w:val="18"/>
              </w:rPr>
            </w:pPr>
            <w:r w:rsidRPr="0043604B">
              <w:rPr>
                <w:rFonts w:cs="Segoe UI"/>
                <w:color w:val="000000"/>
                <w:sz w:val="18"/>
                <w:szCs w:val="18"/>
              </w:rPr>
              <w:t>188 058 133</w:t>
            </w:r>
          </w:p>
        </w:tc>
        <w:tc>
          <w:tcPr>
            <w:tcW w:w="926" w:type="pct"/>
            <w:shd w:val="clear" w:color="auto" w:fill="auto"/>
            <w:vAlign w:val="center"/>
          </w:tcPr>
          <w:p w14:paraId="0928D66F" w14:textId="77777777" w:rsidR="00B5522E" w:rsidRPr="0043604B" w:rsidRDefault="00B5522E" w:rsidP="00B571E8">
            <w:pPr>
              <w:spacing w:after="0" w:line="240" w:lineRule="auto"/>
              <w:jc w:val="right"/>
              <w:rPr>
                <w:rFonts w:eastAsia="Calibri" w:cs="Segoe UI"/>
                <w:sz w:val="18"/>
                <w:szCs w:val="18"/>
              </w:rPr>
            </w:pPr>
            <w:r w:rsidRPr="0043604B">
              <w:rPr>
                <w:rFonts w:cs="Segoe UI"/>
                <w:sz w:val="18"/>
                <w:szCs w:val="18"/>
              </w:rPr>
              <w:t>0,876%</w:t>
            </w:r>
          </w:p>
        </w:tc>
      </w:tr>
      <w:tr w:rsidR="00B5522E" w:rsidRPr="0043604B" w14:paraId="1BBC3122" w14:textId="77777777" w:rsidTr="00B571E8">
        <w:trPr>
          <w:trHeight w:val="57"/>
          <w:jc w:val="center"/>
        </w:trPr>
        <w:tc>
          <w:tcPr>
            <w:tcW w:w="3147" w:type="pct"/>
            <w:vAlign w:val="center"/>
          </w:tcPr>
          <w:p w14:paraId="50D5AD44" w14:textId="77777777" w:rsidR="00B5522E" w:rsidRPr="0043604B" w:rsidRDefault="00B5522E" w:rsidP="00B571E8">
            <w:pPr>
              <w:spacing w:after="0" w:line="240" w:lineRule="auto"/>
              <w:jc w:val="left"/>
              <w:rPr>
                <w:rFonts w:eastAsia="Calibri" w:cs="Segoe UI"/>
                <w:sz w:val="18"/>
                <w:szCs w:val="18"/>
              </w:rPr>
            </w:pPr>
            <w:r w:rsidRPr="0043604B">
              <w:rPr>
                <w:rFonts w:cs="Segoe UI"/>
                <w:color w:val="000000"/>
                <w:sz w:val="18"/>
                <w:szCs w:val="18"/>
              </w:rPr>
              <w:t>58 Ministerstvo cestovného ruchu a športu SR</w:t>
            </w:r>
          </w:p>
        </w:tc>
        <w:tc>
          <w:tcPr>
            <w:tcW w:w="927" w:type="pct"/>
            <w:vAlign w:val="center"/>
          </w:tcPr>
          <w:p w14:paraId="3064DA8D" w14:textId="77777777" w:rsidR="00B5522E" w:rsidRPr="0043604B" w:rsidRDefault="00B5522E" w:rsidP="00B571E8">
            <w:pPr>
              <w:spacing w:after="0" w:line="240" w:lineRule="auto"/>
              <w:jc w:val="right"/>
              <w:rPr>
                <w:rFonts w:eastAsia="Calibri" w:cs="Segoe UI"/>
                <w:sz w:val="18"/>
                <w:szCs w:val="18"/>
              </w:rPr>
            </w:pPr>
            <w:r w:rsidRPr="0043604B">
              <w:rPr>
                <w:rFonts w:cs="Segoe UI"/>
                <w:color w:val="000000"/>
                <w:sz w:val="18"/>
                <w:szCs w:val="18"/>
              </w:rPr>
              <w:t>180 315 485</w:t>
            </w:r>
          </w:p>
        </w:tc>
        <w:tc>
          <w:tcPr>
            <w:tcW w:w="926" w:type="pct"/>
            <w:shd w:val="clear" w:color="auto" w:fill="auto"/>
            <w:vAlign w:val="center"/>
          </w:tcPr>
          <w:p w14:paraId="28212CB0" w14:textId="77777777" w:rsidR="00B5522E" w:rsidRPr="0043604B" w:rsidRDefault="00B5522E" w:rsidP="00B571E8">
            <w:pPr>
              <w:spacing w:after="0" w:line="240" w:lineRule="auto"/>
              <w:jc w:val="right"/>
              <w:rPr>
                <w:rFonts w:eastAsia="Calibri" w:cs="Segoe UI"/>
                <w:sz w:val="18"/>
                <w:szCs w:val="18"/>
              </w:rPr>
            </w:pPr>
            <w:r w:rsidRPr="0043604B">
              <w:rPr>
                <w:rFonts w:cs="Segoe UI"/>
                <w:sz w:val="18"/>
                <w:szCs w:val="18"/>
              </w:rPr>
              <w:t>0,840%</w:t>
            </w:r>
          </w:p>
        </w:tc>
      </w:tr>
      <w:tr w:rsidR="00B5522E" w:rsidRPr="0043604B" w14:paraId="280B1E49" w14:textId="77777777" w:rsidTr="00B571E8">
        <w:trPr>
          <w:trHeight w:val="57"/>
          <w:jc w:val="center"/>
        </w:trPr>
        <w:tc>
          <w:tcPr>
            <w:tcW w:w="3147" w:type="pct"/>
            <w:vAlign w:val="center"/>
          </w:tcPr>
          <w:p w14:paraId="1DB5ACFC" w14:textId="77777777" w:rsidR="00B5522E" w:rsidRPr="0043604B" w:rsidRDefault="00B5522E" w:rsidP="00B571E8">
            <w:pPr>
              <w:spacing w:after="0" w:line="240" w:lineRule="auto"/>
              <w:jc w:val="left"/>
              <w:rPr>
                <w:rFonts w:eastAsia="Calibri" w:cs="Segoe UI"/>
                <w:sz w:val="18"/>
                <w:szCs w:val="18"/>
              </w:rPr>
            </w:pPr>
            <w:r w:rsidRPr="0043604B">
              <w:rPr>
                <w:rFonts w:cs="Segoe UI"/>
                <w:color w:val="000000"/>
                <w:sz w:val="18"/>
                <w:szCs w:val="18"/>
              </w:rPr>
              <w:t>07 Generálna prokuratúra SR</w:t>
            </w:r>
          </w:p>
        </w:tc>
        <w:tc>
          <w:tcPr>
            <w:tcW w:w="927" w:type="pct"/>
            <w:vAlign w:val="center"/>
          </w:tcPr>
          <w:p w14:paraId="5DBA0BE6" w14:textId="77777777" w:rsidR="00B5522E" w:rsidRPr="0043604B" w:rsidRDefault="00B5522E" w:rsidP="00B571E8">
            <w:pPr>
              <w:spacing w:after="0" w:line="240" w:lineRule="auto"/>
              <w:jc w:val="right"/>
              <w:rPr>
                <w:rFonts w:eastAsia="Calibri" w:cs="Segoe UI"/>
                <w:sz w:val="18"/>
                <w:szCs w:val="18"/>
              </w:rPr>
            </w:pPr>
            <w:r w:rsidRPr="0043604B">
              <w:rPr>
                <w:rFonts w:cs="Segoe UI"/>
                <w:color w:val="000000"/>
                <w:sz w:val="18"/>
                <w:szCs w:val="18"/>
              </w:rPr>
              <w:t>155 869 895</w:t>
            </w:r>
          </w:p>
        </w:tc>
        <w:tc>
          <w:tcPr>
            <w:tcW w:w="926" w:type="pct"/>
            <w:shd w:val="clear" w:color="auto" w:fill="auto"/>
            <w:vAlign w:val="center"/>
          </w:tcPr>
          <w:p w14:paraId="456753EA" w14:textId="77777777" w:rsidR="00B5522E" w:rsidRPr="0043604B" w:rsidRDefault="00B5522E" w:rsidP="00B571E8">
            <w:pPr>
              <w:spacing w:after="0" w:line="240" w:lineRule="auto"/>
              <w:jc w:val="right"/>
              <w:rPr>
                <w:rFonts w:eastAsia="Calibri" w:cs="Segoe UI"/>
                <w:sz w:val="18"/>
                <w:szCs w:val="18"/>
              </w:rPr>
            </w:pPr>
            <w:r w:rsidRPr="0043604B">
              <w:rPr>
                <w:rFonts w:cs="Segoe UI"/>
                <w:sz w:val="18"/>
                <w:szCs w:val="18"/>
              </w:rPr>
              <w:t>0,726%</w:t>
            </w:r>
          </w:p>
        </w:tc>
      </w:tr>
      <w:tr w:rsidR="00B5522E" w:rsidRPr="0043604B" w14:paraId="1177D71E" w14:textId="77777777" w:rsidTr="00B571E8">
        <w:trPr>
          <w:trHeight w:val="57"/>
          <w:jc w:val="center"/>
        </w:trPr>
        <w:tc>
          <w:tcPr>
            <w:tcW w:w="3147" w:type="pct"/>
            <w:vAlign w:val="center"/>
          </w:tcPr>
          <w:p w14:paraId="4D95AE09" w14:textId="77777777" w:rsidR="00B5522E" w:rsidRPr="0043604B" w:rsidRDefault="00B5522E" w:rsidP="00B571E8">
            <w:pPr>
              <w:spacing w:after="0" w:line="240" w:lineRule="auto"/>
              <w:jc w:val="left"/>
              <w:rPr>
                <w:rFonts w:eastAsia="Calibri" w:cs="Segoe UI"/>
                <w:sz w:val="18"/>
                <w:szCs w:val="18"/>
              </w:rPr>
            </w:pPr>
            <w:r w:rsidRPr="0043604B">
              <w:rPr>
                <w:rFonts w:cs="Segoe UI"/>
                <w:color w:val="000000"/>
                <w:sz w:val="18"/>
                <w:szCs w:val="18"/>
              </w:rPr>
              <w:t>26 Ministerstvo hospodárstva SR</w:t>
            </w:r>
          </w:p>
        </w:tc>
        <w:tc>
          <w:tcPr>
            <w:tcW w:w="927" w:type="pct"/>
            <w:vAlign w:val="center"/>
          </w:tcPr>
          <w:p w14:paraId="02426F1B" w14:textId="77777777" w:rsidR="00B5522E" w:rsidRPr="0043604B" w:rsidRDefault="00B5522E" w:rsidP="00B571E8">
            <w:pPr>
              <w:spacing w:after="0" w:line="240" w:lineRule="auto"/>
              <w:jc w:val="right"/>
              <w:rPr>
                <w:rFonts w:eastAsia="Calibri" w:cs="Segoe UI"/>
                <w:sz w:val="18"/>
                <w:szCs w:val="18"/>
              </w:rPr>
            </w:pPr>
            <w:r w:rsidRPr="0043604B">
              <w:rPr>
                <w:rFonts w:cs="Segoe UI"/>
                <w:color w:val="000000"/>
                <w:sz w:val="18"/>
                <w:szCs w:val="18"/>
              </w:rPr>
              <w:t>150 458 229</w:t>
            </w:r>
          </w:p>
        </w:tc>
        <w:tc>
          <w:tcPr>
            <w:tcW w:w="926" w:type="pct"/>
            <w:shd w:val="clear" w:color="auto" w:fill="auto"/>
            <w:vAlign w:val="center"/>
          </w:tcPr>
          <w:p w14:paraId="49AD1E7F" w14:textId="77777777" w:rsidR="00B5522E" w:rsidRPr="0043604B" w:rsidRDefault="00B5522E" w:rsidP="00B571E8">
            <w:pPr>
              <w:spacing w:after="0" w:line="240" w:lineRule="auto"/>
              <w:jc w:val="right"/>
              <w:rPr>
                <w:rFonts w:eastAsia="Calibri" w:cs="Segoe UI"/>
                <w:sz w:val="18"/>
                <w:szCs w:val="18"/>
              </w:rPr>
            </w:pPr>
            <w:r w:rsidRPr="0043604B">
              <w:rPr>
                <w:rFonts w:cs="Segoe UI"/>
                <w:sz w:val="18"/>
                <w:szCs w:val="18"/>
              </w:rPr>
              <w:t>0,701%</w:t>
            </w:r>
          </w:p>
        </w:tc>
      </w:tr>
      <w:tr w:rsidR="00B5522E" w:rsidRPr="0043604B" w14:paraId="30424696" w14:textId="77777777" w:rsidTr="00B571E8">
        <w:trPr>
          <w:trHeight w:val="57"/>
          <w:jc w:val="center"/>
        </w:trPr>
        <w:tc>
          <w:tcPr>
            <w:tcW w:w="3147" w:type="pct"/>
            <w:vAlign w:val="center"/>
          </w:tcPr>
          <w:p w14:paraId="3D84505F" w14:textId="77777777" w:rsidR="00B5522E" w:rsidRPr="0043604B" w:rsidRDefault="00B5522E" w:rsidP="00B571E8">
            <w:pPr>
              <w:spacing w:after="0" w:line="240" w:lineRule="auto"/>
              <w:jc w:val="left"/>
              <w:rPr>
                <w:rFonts w:cs="Segoe UI"/>
                <w:color w:val="000000"/>
                <w:sz w:val="18"/>
                <w:szCs w:val="18"/>
              </w:rPr>
            </w:pPr>
            <w:r w:rsidRPr="0043604B">
              <w:rPr>
                <w:rFonts w:cs="Segoe UI"/>
                <w:color w:val="000000"/>
                <w:sz w:val="18"/>
                <w:szCs w:val="18"/>
              </w:rPr>
              <w:t>04 Ministerstvo investícií, regionálneho rozvoja a informatizácie SR</w:t>
            </w:r>
          </w:p>
        </w:tc>
        <w:tc>
          <w:tcPr>
            <w:tcW w:w="927" w:type="pct"/>
            <w:vAlign w:val="center"/>
          </w:tcPr>
          <w:p w14:paraId="180C2860" w14:textId="77777777" w:rsidR="00B5522E" w:rsidRPr="0043604B" w:rsidRDefault="00B5522E" w:rsidP="00B571E8">
            <w:pPr>
              <w:spacing w:after="0" w:line="240" w:lineRule="auto"/>
              <w:jc w:val="right"/>
              <w:rPr>
                <w:rFonts w:cs="Segoe UI"/>
                <w:color w:val="000000"/>
                <w:sz w:val="18"/>
                <w:szCs w:val="18"/>
              </w:rPr>
            </w:pPr>
            <w:r w:rsidRPr="0043604B">
              <w:rPr>
                <w:rFonts w:cs="Segoe UI"/>
                <w:color w:val="000000"/>
                <w:sz w:val="18"/>
                <w:szCs w:val="18"/>
              </w:rPr>
              <w:t>149 696 860</w:t>
            </w:r>
          </w:p>
        </w:tc>
        <w:tc>
          <w:tcPr>
            <w:tcW w:w="926" w:type="pct"/>
            <w:shd w:val="clear" w:color="auto" w:fill="auto"/>
            <w:vAlign w:val="center"/>
          </w:tcPr>
          <w:p w14:paraId="2575B8E1" w14:textId="77777777" w:rsidR="00B5522E" w:rsidRPr="0043604B" w:rsidRDefault="00B5522E" w:rsidP="00B571E8">
            <w:pPr>
              <w:spacing w:after="0" w:line="240" w:lineRule="auto"/>
              <w:jc w:val="right"/>
              <w:rPr>
                <w:rFonts w:cs="Segoe UI"/>
                <w:color w:val="000000"/>
                <w:sz w:val="18"/>
                <w:szCs w:val="18"/>
              </w:rPr>
            </w:pPr>
            <w:r w:rsidRPr="0043604B">
              <w:rPr>
                <w:rFonts w:cs="Segoe UI"/>
                <w:sz w:val="18"/>
                <w:szCs w:val="18"/>
              </w:rPr>
              <w:t>0,697%</w:t>
            </w:r>
          </w:p>
        </w:tc>
      </w:tr>
      <w:tr w:rsidR="00B5522E" w:rsidRPr="0043604B" w14:paraId="0423EAF3" w14:textId="77777777" w:rsidTr="00B571E8">
        <w:trPr>
          <w:trHeight w:val="57"/>
          <w:jc w:val="center"/>
        </w:trPr>
        <w:tc>
          <w:tcPr>
            <w:tcW w:w="3147" w:type="pct"/>
            <w:vAlign w:val="center"/>
          </w:tcPr>
          <w:p w14:paraId="799AC0D4" w14:textId="77777777" w:rsidR="00B5522E" w:rsidRPr="0043604B" w:rsidRDefault="00B5522E" w:rsidP="00B571E8">
            <w:pPr>
              <w:spacing w:after="0" w:line="240" w:lineRule="auto"/>
              <w:jc w:val="left"/>
              <w:rPr>
                <w:rFonts w:cs="Segoe UI"/>
                <w:color w:val="000000"/>
                <w:sz w:val="18"/>
                <w:szCs w:val="18"/>
              </w:rPr>
            </w:pPr>
            <w:r w:rsidRPr="0043604B">
              <w:rPr>
                <w:rFonts w:cs="Segoe UI"/>
                <w:color w:val="000000"/>
                <w:sz w:val="18"/>
                <w:szCs w:val="18"/>
              </w:rPr>
              <w:t>18 Ministerstvo životného prostredia SR</w:t>
            </w:r>
          </w:p>
        </w:tc>
        <w:tc>
          <w:tcPr>
            <w:tcW w:w="927" w:type="pct"/>
            <w:vAlign w:val="center"/>
          </w:tcPr>
          <w:p w14:paraId="40E48B23" w14:textId="77777777" w:rsidR="00B5522E" w:rsidRPr="0043604B" w:rsidRDefault="00B5522E" w:rsidP="00B571E8">
            <w:pPr>
              <w:spacing w:after="0" w:line="240" w:lineRule="auto"/>
              <w:jc w:val="right"/>
              <w:rPr>
                <w:rFonts w:cs="Segoe UI"/>
                <w:color w:val="000000"/>
                <w:sz w:val="18"/>
                <w:szCs w:val="18"/>
              </w:rPr>
            </w:pPr>
            <w:r w:rsidRPr="0043604B">
              <w:rPr>
                <w:rFonts w:cs="Segoe UI"/>
                <w:color w:val="000000"/>
                <w:sz w:val="18"/>
                <w:szCs w:val="18"/>
              </w:rPr>
              <w:t>147 901 710</w:t>
            </w:r>
          </w:p>
        </w:tc>
        <w:tc>
          <w:tcPr>
            <w:tcW w:w="926" w:type="pct"/>
            <w:shd w:val="clear" w:color="auto" w:fill="auto"/>
            <w:vAlign w:val="center"/>
          </w:tcPr>
          <w:p w14:paraId="1ABA9CF4" w14:textId="77777777" w:rsidR="00B5522E" w:rsidRPr="0043604B" w:rsidRDefault="00B5522E" w:rsidP="00B571E8">
            <w:pPr>
              <w:spacing w:after="0" w:line="240" w:lineRule="auto"/>
              <w:jc w:val="right"/>
              <w:rPr>
                <w:rFonts w:cs="Segoe UI"/>
                <w:color w:val="000000"/>
                <w:sz w:val="18"/>
                <w:szCs w:val="18"/>
              </w:rPr>
            </w:pPr>
            <w:r w:rsidRPr="0043604B">
              <w:rPr>
                <w:rFonts w:cs="Segoe UI"/>
                <w:sz w:val="18"/>
                <w:szCs w:val="18"/>
              </w:rPr>
              <w:t>0,689%</w:t>
            </w:r>
          </w:p>
        </w:tc>
      </w:tr>
      <w:tr w:rsidR="00B5522E" w:rsidRPr="0043604B" w14:paraId="10AD5CBC" w14:textId="77777777" w:rsidTr="00B571E8">
        <w:trPr>
          <w:trHeight w:val="57"/>
          <w:jc w:val="center"/>
        </w:trPr>
        <w:tc>
          <w:tcPr>
            <w:tcW w:w="3147" w:type="pct"/>
            <w:vAlign w:val="center"/>
          </w:tcPr>
          <w:p w14:paraId="70F9297E" w14:textId="77777777" w:rsidR="00B5522E" w:rsidRPr="0043604B" w:rsidRDefault="00B5522E" w:rsidP="00B571E8">
            <w:pPr>
              <w:spacing w:after="0" w:line="240" w:lineRule="auto"/>
              <w:jc w:val="left"/>
              <w:rPr>
                <w:rFonts w:eastAsia="Calibri" w:cs="Segoe UI"/>
                <w:sz w:val="18"/>
                <w:szCs w:val="18"/>
              </w:rPr>
            </w:pPr>
            <w:r w:rsidRPr="0043604B">
              <w:rPr>
                <w:rFonts w:cs="Segoe UI"/>
                <w:color w:val="000000"/>
                <w:sz w:val="18"/>
                <w:szCs w:val="18"/>
              </w:rPr>
              <w:t>59 Úrad podpredsedu vlády SR pre Plán obnovy a znalostnú ekonomiku</w:t>
            </w:r>
          </w:p>
        </w:tc>
        <w:tc>
          <w:tcPr>
            <w:tcW w:w="927" w:type="pct"/>
            <w:vAlign w:val="center"/>
          </w:tcPr>
          <w:p w14:paraId="21B9AFFA" w14:textId="77777777" w:rsidR="00B5522E" w:rsidRPr="0043604B" w:rsidRDefault="00B5522E" w:rsidP="00B571E8">
            <w:pPr>
              <w:spacing w:after="0" w:line="240" w:lineRule="auto"/>
              <w:jc w:val="right"/>
              <w:rPr>
                <w:rFonts w:eastAsia="Calibri" w:cs="Segoe UI"/>
                <w:sz w:val="18"/>
                <w:szCs w:val="18"/>
              </w:rPr>
            </w:pPr>
            <w:r w:rsidRPr="0043604B">
              <w:rPr>
                <w:rFonts w:cs="Segoe UI"/>
                <w:color w:val="000000"/>
                <w:sz w:val="18"/>
                <w:szCs w:val="18"/>
              </w:rPr>
              <w:t>114 222 373</w:t>
            </w:r>
          </w:p>
        </w:tc>
        <w:tc>
          <w:tcPr>
            <w:tcW w:w="926" w:type="pct"/>
            <w:shd w:val="clear" w:color="auto" w:fill="auto"/>
            <w:vAlign w:val="center"/>
          </w:tcPr>
          <w:p w14:paraId="6BA0BE31" w14:textId="77777777" w:rsidR="00B5522E" w:rsidRPr="0043604B" w:rsidRDefault="00B5522E" w:rsidP="00B571E8">
            <w:pPr>
              <w:spacing w:after="0" w:line="240" w:lineRule="auto"/>
              <w:jc w:val="right"/>
              <w:rPr>
                <w:rFonts w:eastAsia="Calibri" w:cs="Segoe UI"/>
                <w:sz w:val="18"/>
                <w:szCs w:val="18"/>
              </w:rPr>
            </w:pPr>
            <w:r w:rsidRPr="0043604B">
              <w:rPr>
                <w:rFonts w:cs="Segoe UI"/>
                <w:sz w:val="18"/>
                <w:szCs w:val="18"/>
              </w:rPr>
              <w:t>0,532%</w:t>
            </w:r>
          </w:p>
        </w:tc>
      </w:tr>
      <w:tr w:rsidR="00B5522E" w:rsidRPr="0043604B" w14:paraId="6D3AC7A5" w14:textId="77777777" w:rsidTr="00B571E8">
        <w:trPr>
          <w:trHeight w:val="57"/>
          <w:jc w:val="center"/>
        </w:trPr>
        <w:tc>
          <w:tcPr>
            <w:tcW w:w="3147" w:type="pct"/>
            <w:vAlign w:val="center"/>
          </w:tcPr>
          <w:p w14:paraId="65CB4062" w14:textId="77777777" w:rsidR="00B5522E" w:rsidRPr="0043604B" w:rsidRDefault="00B5522E" w:rsidP="00B571E8">
            <w:pPr>
              <w:spacing w:after="0" w:line="240" w:lineRule="auto"/>
              <w:jc w:val="left"/>
              <w:rPr>
                <w:rFonts w:eastAsia="Calibri" w:cs="Segoe UI"/>
                <w:sz w:val="18"/>
                <w:szCs w:val="18"/>
              </w:rPr>
            </w:pPr>
            <w:r w:rsidRPr="0043604B">
              <w:rPr>
                <w:rFonts w:cs="Segoe UI"/>
                <w:color w:val="000000"/>
                <w:sz w:val="18"/>
                <w:szCs w:val="18"/>
              </w:rPr>
              <w:t>09 Slovenská informačná služba</w:t>
            </w:r>
          </w:p>
        </w:tc>
        <w:tc>
          <w:tcPr>
            <w:tcW w:w="927" w:type="pct"/>
            <w:vAlign w:val="center"/>
          </w:tcPr>
          <w:p w14:paraId="4171D042" w14:textId="77777777" w:rsidR="00B5522E" w:rsidRPr="0043604B" w:rsidRDefault="00B5522E" w:rsidP="00B571E8">
            <w:pPr>
              <w:spacing w:after="0" w:line="240" w:lineRule="auto"/>
              <w:jc w:val="right"/>
              <w:rPr>
                <w:rFonts w:eastAsia="Calibri" w:cs="Segoe UI"/>
                <w:sz w:val="18"/>
                <w:szCs w:val="18"/>
              </w:rPr>
            </w:pPr>
            <w:r w:rsidRPr="0043604B">
              <w:rPr>
                <w:rFonts w:cs="Segoe UI"/>
                <w:color w:val="000000"/>
                <w:sz w:val="18"/>
                <w:szCs w:val="18"/>
              </w:rPr>
              <w:t>94 747 839</w:t>
            </w:r>
          </w:p>
        </w:tc>
        <w:tc>
          <w:tcPr>
            <w:tcW w:w="926" w:type="pct"/>
            <w:shd w:val="clear" w:color="auto" w:fill="auto"/>
            <w:vAlign w:val="center"/>
          </w:tcPr>
          <w:p w14:paraId="464F59F4" w14:textId="77777777" w:rsidR="00B5522E" w:rsidRPr="0043604B" w:rsidRDefault="00B5522E" w:rsidP="00B571E8">
            <w:pPr>
              <w:spacing w:after="0" w:line="240" w:lineRule="auto"/>
              <w:jc w:val="right"/>
              <w:rPr>
                <w:rFonts w:eastAsia="Calibri" w:cs="Segoe UI"/>
                <w:sz w:val="18"/>
                <w:szCs w:val="18"/>
              </w:rPr>
            </w:pPr>
            <w:r w:rsidRPr="0043604B">
              <w:rPr>
                <w:rFonts w:cs="Segoe UI"/>
                <w:sz w:val="18"/>
                <w:szCs w:val="18"/>
              </w:rPr>
              <w:t>0,441%</w:t>
            </w:r>
          </w:p>
        </w:tc>
      </w:tr>
      <w:tr w:rsidR="00B5522E" w:rsidRPr="0043604B" w14:paraId="65F7533A" w14:textId="77777777" w:rsidTr="00B571E8">
        <w:trPr>
          <w:trHeight w:val="57"/>
          <w:jc w:val="center"/>
        </w:trPr>
        <w:tc>
          <w:tcPr>
            <w:tcW w:w="3147" w:type="pct"/>
            <w:vAlign w:val="center"/>
          </w:tcPr>
          <w:p w14:paraId="0309F543" w14:textId="77777777" w:rsidR="00B5522E" w:rsidRPr="0043604B" w:rsidRDefault="00B5522E" w:rsidP="00B571E8">
            <w:pPr>
              <w:spacing w:after="0" w:line="240" w:lineRule="auto"/>
              <w:jc w:val="left"/>
              <w:rPr>
                <w:rFonts w:eastAsia="Calibri" w:cs="Segoe UI"/>
                <w:sz w:val="18"/>
                <w:szCs w:val="18"/>
              </w:rPr>
            </w:pPr>
            <w:r w:rsidRPr="0043604B">
              <w:rPr>
                <w:rFonts w:cs="Segoe UI"/>
                <w:color w:val="000000"/>
                <w:sz w:val="18"/>
                <w:szCs w:val="18"/>
              </w:rPr>
              <w:t>57 Úrad pre územné plánovanie a výstavbu SR</w:t>
            </w:r>
          </w:p>
        </w:tc>
        <w:tc>
          <w:tcPr>
            <w:tcW w:w="927" w:type="pct"/>
            <w:vAlign w:val="center"/>
          </w:tcPr>
          <w:p w14:paraId="3012C99B" w14:textId="77777777" w:rsidR="00B5522E" w:rsidRPr="0043604B" w:rsidRDefault="00B5522E" w:rsidP="00B571E8">
            <w:pPr>
              <w:spacing w:after="0" w:line="240" w:lineRule="auto"/>
              <w:jc w:val="right"/>
              <w:rPr>
                <w:rFonts w:eastAsia="Calibri" w:cs="Segoe UI"/>
                <w:sz w:val="18"/>
                <w:szCs w:val="18"/>
              </w:rPr>
            </w:pPr>
            <w:r w:rsidRPr="0043604B">
              <w:rPr>
                <w:rFonts w:cs="Segoe UI"/>
                <w:color w:val="000000"/>
                <w:sz w:val="18"/>
                <w:szCs w:val="18"/>
              </w:rPr>
              <w:t>55 291 780</w:t>
            </w:r>
          </w:p>
        </w:tc>
        <w:tc>
          <w:tcPr>
            <w:tcW w:w="926" w:type="pct"/>
            <w:shd w:val="clear" w:color="auto" w:fill="auto"/>
            <w:vAlign w:val="center"/>
          </w:tcPr>
          <w:p w14:paraId="5BCD16FA" w14:textId="77777777" w:rsidR="00B5522E" w:rsidRPr="0043604B" w:rsidRDefault="00B5522E" w:rsidP="00B571E8">
            <w:pPr>
              <w:spacing w:after="0" w:line="240" w:lineRule="auto"/>
              <w:jc w:val="right"/>
              <w:rPr>
                <w:rFonts w:eastAsia="Calibri" w:cs="Segoe UI"/>
                <w:sz w:val="18"/>
                <w:szCs w:val="18"/>
              </w:rPr>
            </w:pPr>
            <w:r w:rsidRPr="0043604B">
              <w:rPr>
                <w:rFonts w:cs="Segoe UI"/>
                <w:sz w:val="18"/>
                <w:szCs w:val="18"/>
              </w:rPr>
              <w:t>0,257%</w:t>
            </w:r>
          </w:p>
        </w:tc>
      </w:tr>
      <w:tr w:rsidR="00B5522E" w:rsidRPr="0043604B" w14:paraId="75D4D72D" w14:textId="77777777" w:rsidTr="00B571E8">
        <w:trPr>
          <w:trHeight w:val="57"/>
          <w:jc w:val="center"/>
        </w:trPr>
        <w:tc>
          <w:tcPr>
            <w:tcW w:w="3147" w:type="pct"/>
            <w:vAlign w:val="center"/>
          </w:tcPr>
          <w:p w14:paraId="5C40D32D" w14:textId="77777777" w:rsidR="00B5522E" w:rsidRPr="0043604B" w:rsidRDefault="00B5522E" w:rsidP="00B571E8">
            <w:pPr>
              <w:spacing w:after="0" w:line="240" w:lineRule="auto"/>
              <w:jc w:val="left"/>
              <w:rPr>
                <w:rFonts w:eastAsia="Calibri" w:cs="Segoe UI"/>
                <w:sz w:val="18"/>
                <w:szCs w:val="18"/>
              </w:rPr>
            </w:pPr>
            <w:r w:rsidRPr="0043604B">
              <w:rPr>
                <w:rFonts w:cs="Segoe UI"/>
                <w:color w:val="000000"/>
                <w:sz w:val="18"/>
                <w:szCs w:val="18"/>
              </w:rPr>
              <w:t>03 Úrad vlády SR</w:t>
            </w:r>
          </w:p>
        </w:tc>
        <w:tc>
          <w:tcPr>
            <w:tcW w:w="927" w:type="pct"/>
            <w:vAlign w:val="center"/>
          </w:tcPr>
          <w:p w14:paraId="3DF24FE5" w14:textId="77777777" w:rsidR="00B5522E" w:rsidRPr="0043604B" w:rsidRDefault="00B5522E" w:rsidP="00B571E8">
            <w:pPr>
              <w:spacing w:after="0" w:line="240" w:lineRule="auto"/>
              <w:jc w:val="right"/>
              <w:rPr>
                <w:rFonts w:eastAsia="Calibri" w:cs="Segoe UI"/>
                <w:sz w:val="18"/>
                <w:szCs w:val="18"/>
              </w:rPr>
            </w:pPr>
            <w:r w:rsidRPr="0043604B">
              <w:rPr>
                <w:rFonts w:cs="Segoe UI"/>
                <w:color w:val="000000"/>
                <w:sz w:val="18"/>
                <w:szCs w:val="18"/>
              </w:rPr>
              <w:t>51 381 571</w:t>
            </w:r>
          </w:p>
        </w:tc>
        <w:tc>
          <w:tcPr>
            <w:tcW w:w="926" w:type="pct"/>
            <w:shd w:val="clear" w:color="auto" w:fill="auto"/>
            <w:vAlign w:val="center"/>
          </w:tcPr>
          <w:p w14:paraId="13EFE946" w14:textId="77777777" w:rsidR="00B5522E" w:rsidRPr="0043604B" w:rsidRDefault="00B5522E" w:rsidP="00B571E8">
            <w:pPr>
              <w:spacing w:after="0" w:line="240" w:lineRule="auto"/>
              <w:jc w:val="right"/>
              <w:rPr>
                <w:rFonts w:eastAsia="Calibri" w:cs="Segoe UI"/>
                <w:sz w:val="18"/>
                <w:szCs w:val="18"/>
              </w:rPr>
            </w:pPr>
            <w:r w:rsidRPr="0043604B">
              <w:rPr>
                <w:rFonts w:cs="Segoe UI"/>
                <w:sz w:val="18"/>
                <w:szCs w:val="18"/>
              </w:rPr>
              <w:t>0,239%</w:t>
            </w:r>
          </w:p>
        </w:tc>
      </w:tr>
      <w:tr w:rsidR="00B5522E" w:rsidRPr="0043604B" w14:paraId="451C0BCE" w14:textId="77777777" w:rsidTr="00B571E8">
        <w:trPr>
          <w:trHeight w:val="57"/>
          <w:jc w:val="center"/>
        </w:trPr>
        <w:tc>
          <w:tcPr>
            <w:tcW w:w="3147" w:type="pct"/>
            <w:vAlign w:val="center"/>
          </w:tcPr>
          <w:p w14:paraId="014FD4C2" w14:textId="77777777" w:rsidR="00B5522E" w:rsidRPr="0043604B" w:rsidRDefault="00B5522E" w:rsidP="00B571E8">
            <w:pPr>
              <w:spacing w:after="0" w:line="240" w:lineRule="auto"/>
              <w:jc w:val="left"/>
              <w:rPr>
                <w:rFonts w:eastAsia="Calibri" w:cs="Segoe UI"/>
                <w:sz w:val="18"/>
                <w:szCs w:val="18"/>
              </w:rPr>
            </w:pPr>
            <w:r w:rsidRPr="0043604B">
              <w:rPr>
                <w:rFonts w:cs="Segoe UI"/>
                <w:color w:val="000000"/>
                <w:sz w:val="18"/>
                <w:szCs w:val="18"/>
              </w:rPr>
              <w:t>01 Kancelária Národnej rady SR</w:t>
            </w:r>
          </w:p>
        </w:tc>
        <w:tc>
          <w:tcPr>
            <w:tcW w:w="927" w:type="pct"/>
            <w:vAlign w:val="center"/>
          </w:tcPr>
          <w:p w14:paraId="6EA1D03E" w14:textId="77777777" w:rsidR="00B5522E" w:rsidRPr="0043604B" w:rsidRDefault="00B5522E" w:rsidP="00B571E8">
            <w:pPr>
              <w:spacing w:after="0" w:line="240" w:lineRule="auto"/>
              <w:jc w:val="right"/>
              <w:rPr>
                <w:rFonts w:eastAsia="Calibri" w:cs="Segoe UI"/>
                <w:sz w:val="18"/>
                <w:szCs w:val="18"/>
              </w:rPr>
            </w:pPr>
            <w:r w:rsidRPr="0043604B">
              <w:rPr>
                <w:rFonts w:cs="Segoe UI"/>
                <w:color w:val="000000"/>
                <w:sz w:val="18"/>
                <w:szCs w:val="18"/>
              </w:rPr>
              <w:t>51 372 095</w:t>
            </w:r>
          </w:p>
        </w:tc>
        <w:tc>
          <w:tcPr>
            <w:tcW w:w="926" w:type="pct"/>
            <w:shd w:val="clear" w:color="auto" w:fill="auto"/>
            <w:vAlign w:val="center"/>
          </w:tcPr>
          <w:p w14:paraId="50BEDC73" w14:textId="77777777" w:rsidR="00B5522E" w:rsidRPr="0043604B" w:rsidRDefault="00B5522E" w:rsidP="00B571E8">
            <w:pPr>
              <w:spacing w:after="0" w:line="240" w:lineRule="auto"/>
              <w:jc w:val="right"/>
              <w:rPr>
                <w:rFonts w:eastAsia="Calibri" w:cs="Segoe UI"/>
                <w:sz w:val="18"/>
                <w:szCs w:val="18"/>
              </w:rPr>
            </w:pPr>
            <w:r w:rsidRPr="0043604B">
              <w:rPr>
                <w:rFonts w:cs="Segoe UI"/>
                <w:sz w:val="18"/>
                <w:szCs w:val="18"/>
              </w:rPr>
              <w:t>0,239%</w:t>
            </w:r>
          </w:p>
        </w:tc>
      </w:tr>
      <w:tr w:rsidR="00B5522E" w:rsidRPr="0043604B" w14:paraId="290A9CE0" w14:textId="77777777" w:rsidTr="00B571E8">
        <w:trPr>
          <w:trHeight w:val="57"/>
          <w:jc w:val="center"/>
        </w:trPr>
        <w:tc>
          <w:tcPr>
            <w:tcW w:w="3147" w:type="pct"/>
            <w:vAlign w:val="center"/>
          </w:tcPr>
          <w:p w14:paraId="5FFDCA7B" w14:textId="77777777" w:rsidR="00B5522E" w:rsidRPr="0043604B" w:rsidRDefault="00B5522E" w:rsidP="00B571E8">
            <w:pPr>
              <w:spacing w:after="0" w:line="240" w:lineRule="auto"/>
              <w:jc w:val="left"/>
              <w:rPr>
                <w:rFonts w:eastAsia="Calibri" w:cs="Segoe UI"/>
                <w:sz w:val="18"/>
                <w:szCs w:val="18"/>
              </w:rPr>
            </w:pPr>
            <w:r w:rsidRPr="0043604B">
              <w:rPr>
                <w:rFonts w:cs="Segoe UI"/>
                <w:color w:val="000000"/>
                <w:sz w:val="18"/>
                <w:szCs w:val="18"/>
              </w:rPr>
              <w:t>32 Štatistický úrad SR</w:t>
            </w:r>
          </w:p>
        </w:tc>
        <w:tc>
          <w:tcPr>
            <w:tcW w:w="927" w:type="pct"/>
            <w:vAlign w:val="center"/>
          </w:tcPr>
          <w:p w14:paraId="264DB910" w14:textId="77777777" w:rsidR="00B5522E" w:rsidRPr="0043604B" w:rsidRDefault="00B5522E" w:rsidP="00B571E8">
            <w:pPr>
              <w:spacing w:after="0" w:line="240" w:lineRule="auto"/>
              <w:jc w:val="right"/>
              <w:rPr>
                <w:rFonts w:eastAsia="Calibri" w:cs="Segoe UI"/>
                <w:sz w:val="18"/>
                <w:szCs w:val="18"/>
              </w:rPr>
            </w:pPr>
            <w:r w:rsidRPr="0043604B">
              <w:rPr>
                <w:rFonts w:cs="Segoe UI"/>
                <w:color w:val="000000"/>
                <w:sz w:val="18"/>
                <w:szCs w:val="18"/>
              </w:rPr>
              <w:t>38 469 717</w:t>
            </w:r>
          </w:p>
        </w:tc>
        <w:tc>
          <w:tcPr>
            <w:tcW w:w="926" w:type="pct"/>
            <w:shd w:val="clear" w:color="auto" w:fill="auto"/>
            <w:vAlign w:val="center"/>
          </w:tcPr>
          <w:p w14:paraId="0EC14F44" w14:textId="77777777" w:rsidR="00B5522E" w:rsidRPr="0043604B" w:rsidRDefault="00B5522E" w:rsidP="00B571E8">
            <w:pPr>
              <w:spacing w:after="0" w:line="240" w:lineRule="auto"/>
              <w:jc w:val="right"/>
              <w:rPr>
                <w:rFonts w:eastAsia="Calibri" w:cs="Segoe UI"/>
                <w:sz w:val="18"/>
                <w:szCs w:val="18"/>
              </w:rPr>
            </w:pPr>
            <w:r w:rsidRPr="0043604B">
              <w:rPr>
                <w:rFonts w:cs="Segoe UI"/>
                <w:sz w:val="18"/>
                <w:szCs w:val="18"/>
              </w:rPr>
              <w:t>0,179%</w:t>
            </w:r>
          </w:p>
        </w:tc>
      </w:tr>
      <w:tr w:rsidR="00B5522E" w:rsidRPr="0043604B" w14:paraId="294D2D4C" w14:textId="77777777" w:rsidTr="00B571E8">
        <w:trPr>
          <w:trHeight w:val="57"/>
          <w:jc w:val="center"/>
        </w:trPr>
        <w:tc>
          <w:tcPr>
            <w:tcW w:w="3147" w:type="pct"/>
            <w:vAlign w:val="center"/>
          </w:tcPr>
          <w:p w14:paraId="1731078F" w14:textId="77777777" w:rsidR="00B5522E" w:rsidRPr="0043604B" w:rsidRDefault="00B5522E" w:rsidP="00B571E8">
            <w:pPr>
              <w:spacing w:after="0" w:line="240" w:lineRule="auto"/>
              <w:jc w:val="left"/>
              <w:rPr>
                <w:rFonts w:eastAsia="Calibri" w:cs="Segoe UI"/>
                <w:sz w:val="18"/>
                <w:szCs w:val="18"/>
              </w:rPr>
            </w:pPr>
            <w:r w:rsidRPr="0043604B">
              <w:rPr>
                <w:rFonts w:cs="Segoe UI"/>
                <w:color w:val="000000"/>
                <w:sz w:val="18"/>
                <w:szCs w:val="18"/>
              </w:rPr>
              <w:t>41 Národný bezpečnostný úrad</w:t>
            </w:r>
          </w:p>
        </w:tc>
        <w:tc>
          <w:tcPr>
            <w:tcW w:w="927" w:type="pct"/>
            <w:vAlign w:val="center"/>
          </w:tcPr>
          <w:p w14:paraId="4EFBA5AE" w14:textId="77777777" w:rsidR="00B5522E" w:rsidRPr="0043604B" w:rsidRDefault="00B5522E" w:rsidP="00B571E8">
            <w:pPr>
              <w:spacing w:after="0" w:line="240" w:lineRule="auto"/>
              <w:jc w:val="right"/>
              <w:rPr>
                <w:rFonts w:eastAsia="Calibri" w:cs="Segoe UI"/>
                <w:sz w:val="18"/>
                <w:szCs w:val="18"/>
              </w:rPr>
            </w:pPr>
            <w:r w:rsidRPr="0043604B">
              <w:rPr>
                <w:rFonts w:cs="Segoe UI"/>
                <w:color w:val="000000"/>
                <w:sz w:val="18"/>
                <w:szCs w:val="18"/>
              </w:rPr>
              <w:t>24 114 616</w:t>
            </w:r>
          </w:p>
        </w:tc>
        <w:tc>
          <w:tcPr>
            <w:tcW w:w="926" w:type="pct"/>
            <w:shd w:val="clear" w:color="auto" w:fill="auto"/>
            <w:vAlign w:val="center"/>
          </w:tcPr>
          <w:p w14:paraId="270FEEE9" w14:textId="77777777" w:rsidR="00B5522E" w:rsidRPr="0043604B" w:rsidRDefault="00B5522E" w:rsidP="00B571E8">
            <w:pPr>
              <w:spacing w:after="0" w:line="240" w:lineRule="auto"/>
              <w:jc w:val="right"/>
              <w:rPr>
                <w:rFonts w:eastAsia="Calibri" w:cs="Segoe UI"/>
                <w:sz w:val="18"/>
                <w:szCs w:val="18"/>
              </w:rPr>
            </w:pPr>
            <w:r w:rsidRPr="0043604B">
              <w:rPr>
                <w:rFonts w:cs="Segoe UI"/>
                <w:sz w:val="18"/>
                <w:szCs w:val="18"/>
              </w:rPr>
              <w:t>0,112%</w:t>
            </w:r>
          </w:p>
        </w:tc>
      </w:tr>
      <w:tr w:rsidR="00B5522E" w:rsidRPr="0043604B" w14:paraId="09D4E0FE" w14:textId="77777777" w:rsidTr="00B571E8">
        <w:trPr>
          <w:trHeight w:val="57"/>
          <w:jc w:val="center"/>
        </w:trPr>
        <w:tc>
          <w:tcPr>
            <w:tcW w:w="3147" w:type="pct"/>
            <w:vAlign w:val="center"/>
          </w:tcPr>
          <w:p w14:paraId="10CF8F7C" w14:textId="77777777" w:rsidR="00B5522E" w:rsidRPr="0043604B" w:rsidRDefault="00B5522E" w:rsidP="00B571E8">
            <w:pPr>
              <w:spacing w:after="0" w:line="240" w:lineRule="auto"/>
              <w:jc w:val="left"/>
              <w:rPr>
                <w:rFonts w:eastAsia="Calibri" w:cs="Segoe UI"/>
                <w:sz w:val="18"/>
                <w:szCs w:val="18"/>
              </w:rPr>
            </w:pPr>
            <w:r w:rsidRPr="0043604B">
              <w:rPr>
                <w:rFonts w:cs="Segoe UI"/>
                <w:color w:val="000000"/>
                <w:sz w:val="18"/>
                <w:szCs w:val="18"/>
              </w:rPr>
              <w:t>31 Úrad geodézie, kartografie a katastra SR</w:t>
            </w:r>
          </w:p>
        </w:tc>
        <w:tc>
          <w:tcPr>
            <w:tcW w:w="927" w:type="pct"/>
            <w:vAlign w:val="center"/>
          </w:tcPr>
          <w:p w14:paraId="05C0377B" w14:textId="77777777" w:rsidR="00B5522E" w:rsidRPr="0043604B" w:rsidRDefault="00B5522E" w:rsidP="00B571E8">
            <w:pPr>
              <w:spacing w:after="0" w:line="240" w:lineRule="auto"/>
              <w:jc w:val="right"/>
              <w:rPr>
                <w:rFonts w:eastAsia="Calibri" w:cs="Segoe UI"/>
                <w:sz w:val="18"/>
                <w:szCs w:val="18"/>
              </w:rPr>
            </w:pPr>
            <w:r w:rsidRPr="0043604B">
              <w:rPr>
                <w:rFonts w:cs="Segoe UI"/>
                <w:color w:val="000000"/>
                <w:sz w:val="18"/>
                <w:szCs w:val="18"/>
              </w:rPr>
              <w:t>22 733 272</w:t>
            </w:r>
          </w:p>
        </w:tc>
        <w:tc>
          <w:tcPr>
            <w:tcW w:w="926" w:type="pct"/>
            <w:shd w:val="clear" w:color="auto" w:fill="auto"/>
            <w:vAlign w:val="center"/>
          </w:tcPr>
          <w:p w14:paraId="3A1D1C56" w14:textId="77777777" w:rsidR="00B5522E" w:rsidRPr="0043604B" w:rsidRDefault="00B5522E" w:rsidP="00B571E8">
            <w:pPr>
              <w:spacing w:after="0" w:line="240" w:lineRule="auto"/>
              <w:jc w:val="right"/>
              <w:rPr>
                <w:rFonts w:eastAsia="Calibri" w:cs="Segoe UI"/>
                <w:sz w:val="18"/>
                <w:szCs w:val="18"/>
              </w:rPr>
            </w:pPr>
            <w:r w:rsidRPr="0043604B">
              <w:rPr>
                <w:rFonts w:cs="Segoe UI"/>
                <w:sz w:val="18"/>
                <w:szCs w:val="18"/>
              </w:rPr>
              <w:t>0,106%</w:t>
            </w:r>
          </w:p>
        </w:tc>
      </w:tr>
      <w:tr w:rsidR="00B5522E" w:rsidRPr="0043604B" w14:paraId="2A332FFE" w14:textId="77777777" w:rsidTr="00B571E8">
        <w:trPr>
          <w:trHeight w:val="57"/>
          <w:jc w:val="center"/>
        </w:trPr>
        <w:tc>
          <w:tcPr>
            <w:tcW w:w="3147" w:type="pct"/>
            <w:vAlign w:val="center"/>
          </w:tcPr>
          <w:p w14:paraId="46C82A45" w14:textId="77777777" w:rsidR="00B5522E" w:rsidRPr="0043604B" w:rsidRDefault="00B5522E" w:rsidP="00B571E8">
            <w:pPr>
              <w:spacing w:after="0" w:line="240" w:lineRule="auto"/>
              <w:jc w:val="left"/>
              <w:rPr>
                <w:rFonts w:eastAsia="Calibri" w:cs="Segoe UI"/>
                <w:sz w:val="18"/>
                <w:szCs w:val="18"/>
              </w:rPr>
            </w:pPr>
            <w:r w:rsidRPr="0043604B">
              <w:rPr>
                <w:rFonts w:cs="Segoe UI"/>
                <w:color w:val="000000"/>
                <w:sz w:val="18"/>
                <w:szCs w:val="18"/>
              </w:rPr>
              <w:t>06 Kancelária Najvyššieho súdu SR</w:t>
            </w:r>
          </w:p>
        </w:tc>
        <w:tc>
          <w:tcPr>
            <w:tcW w:w="927" w:type="pct"/>
            <w:vAlign w:val="center"/>
          </w:tcPr>
          <w:p w14:paraId="080A632D" w14:textId="77777777" w:rsidR="00B5522E" w:rsidRPr="0043604B" w:rsidRDefault="00B5522E" w:rsidP="00B571E8">
            <w:pPr>
              <w:spacing w:after="0" w:line="240" w:lineRule="auto"/>
              <w:jc w:val="right"/>
              <w:rPr>
                <w:rFonts w:eastAsia="Calibri" w:cs="Segoe UI"/>
                <w:sz w:val="18"/>
                <w:szCs w:val="18"/>
              </w:rPr>
            </w:pPr>
            <w:r w:rsidRPr="0043604B">
              <w:rPr>
                <w:rFonts w:cs="Segoe UI"/>
                <w:color w:val="000000"/>
                <w:sz w:val="18"/>
                <w:szCs w:val="18"/>
              </w:rPr>
              <w:t>18 421 859</w:t>
            </w:r>
          </w:p>
        </w:tc>
        <w:tc>
          <w:tcPr>
            <w:tcW w:w="926" w:type="pct"/>
            <w:shd w:val="clear" w:color="auto" w:fill="auto"/>
            <w:vAlign w:val="center"/>
          </w:tcPr>
          <w:p w14:paraId="118B5B1D" w14:textId="77777777" w:rsidR="00B5522E" w:rsidRPr="0043604B" w:rsidRDefault="00B5522E" w:rsidP="00B571E8">
            <w:pPr>
              <w:spacing w:after="0" w:line="240" w:lineRule="auto"/>
              <w:jc w:val="right"/>
              <w:rPr>
                <w:rFonts w:eastAsia="Calibri" w:cs="Segoe UI"/>
                <w:sz w:val="18"/>
                <w:szCs w:val="18"/>
              </w:rPr>
            </w:pPr>
            <w:r w:rsidRPr="0043604B">
              <w:rPr>
                <w:rFonts w:cs="Segoe UI"/>
                <w:sz w:val="18"/>
                <w:szCs w:val="18"/>
              </w:rPr>
              <w:t>0,086%</w:t>
            </w:r>
          </w:p>
        </w:tc>
      </w:tr>
      <w:tr w:rsidR="00B5522E" w:rsidRPr="0043604B" w14:paraId="0DB72078" w14:textId="77777777" w:rsidTr="00B571E8">
        <w:trPr>
          <w:trHeight w:val="57"/>
          <w:jc w:val="center"/>
        </w:trPr>
        <w:tc>
          <w:tcPr>
            <w:tcW w:w="3147" w:type="pct"/>
            <w:vAlign w:val="center"/>
          </w:tcPr>
          <w:p w14:paraId="08C4EF8E" w14:textId="77777777" w:rsidR="00B5522E" w:rsidRPr="0043604B" w:rsidRDefault="00B5522E" w:rsidP="00B571E8">
            <w:pPr>
              <w:spacing w:after="0" w:line="240" w:lineRule="auto"/>
              <w:jc w:val="left"/>
              <w:rPr>
                <w:rFonts w:eastAsia="Calibri" w:cs="Segoe UI"/>
                <w:sz w:val="18"/>
                <w:szCs w:val="18"/>
              </w:rPr>
            </w:pPr>
            <w:r w:rsidRPr="0043604B">
              <w:rPr>
                <w:rFonts w:cs="Segoe UI"/>
                <w:color w:val="000000"/>
                <w:sz w:val="18"/>
                <w:szCs w:val="18"/>
              </w:rPr>
              <w:t>33 Úrad pre verejné obstarávanie</w:t>
            </w:r>
          </w:p>
        </w:tc>
        <w:tc>
          <w:tcPr>
            <w:tcW w:w="927" w:type="pct"/>
            <w:vAlign w:val="center"/>
          </w:tcPr>
          <w:p w14:paraId="0626CA9E" w14:textId="77777777" w:rsidR="00B5522E" w:rsidRPr="0043604B" w:rsidRDefault="00B5522E" w:rsidP="00B571E8">
            <w:pPr>
              <w:spacing w:after="0" w:line="240" w:lineRule="auto"/>
              <w:jc w:val="right"/>
              <w:rPr>
                <w:rFonts w:eastAsia="Calibri" w:cs="Segoe UI"/>
                <w:sz w:val="18"/>
                <w:szCs w:val="18"/>
              </w:rPr>
            </w:pPr>
            <w:r w:rsidRPr="0043604B">
              <w:rPr>
                <w:rFonts w:cs="Segoe UI"/>
                <w:color w:val="000000"/>
                <w:sz w:val="18"/>
                <w:szCs w:val="18"/>
              </w:rPr>
              <w:t>17 184 591</w:t>
            </w:r>
          </w:p>
        </w:tc>
        <w:tc>
          <w:tcPr>
            <w:tcW w:w="926" w:type="pct"/>
            <w:shd w:val="clear" w:color="auto" w:fill="auto"/>
            <w:vAlign w:val="center"/>
          </w:tcPr>
          <w:p w14:paraId="1937D370" w14:textId="77777777" w:rsidR="00B5522E" w:rsidRPr="0043604B" w:rsidRDefault="00B5522E" w:rsidP="00B571E8">
            <w:pPr>
              <w:spacing w:after="0" w:line="240" w:lineRule="auto"/>
              <w:jc w:val="right"/>
              <w:rPr>
                <w:rFonts w:eastAsia="Calibri" w:cs="Segoe UI"/>
                <w:sz w:val="18"/>
                <w:szCs w:val="18"/>
              </w:rPr>
            </w:pPr>
            <w:r w:rsidRPr="0043604B">
              <w:rPr>
                <w:rFonts w:cs="Segoe UI"/>
                <w:sz w:val="18"/>
                <w:szCs w:val="18"/>
              </w:rPr>
              <w:t>0,080%</w:t>
            </w:r>
          </w:p>
        </w:tc>
      </w:tr>
      <w:tr w:rsidR="00B5522E" w:rsidRPr="0043604B" w14:paraId="7D9FA0B3" w14:textId="77777777" w:rsidTr="00B571E8">
        <w:trPr>
          <w:trHeight w:val="57"/>
          <w:jc w:val="center"/>
        </w:trPr>
        <w:tc>
          <w:tcPr>
            <w:tcW w:w="3147" w:type="pct"/>
            <w:vAlign w:val="center"/>
          </w:tcPr>
          <w:p w14:paraId="45655896" w14:textId="77777777" w:rsidR="00B5522E" w:rsidRPr="0043604B" w:rsidRDefault="00B5522E" w:rsidP="00B571E8">
            <w:pPr>
              <w:spacing w:after="0" w:line="240" w:lineRule="auto"/>
              <w:jc w:val="left"/>
              <w:rPr>
                <w:rFonts w:eastAsia="Calibri" w:cs="Segoe UI"/>
                <w:sz w:val="18"/>
                <w:szCs w:val="18"/>
              </w:rPr>
            </w:pPr>
            <w:r w:rsidRPr="0043604B">
              <w:rPr>
                <w:rFonts w:cs="Segoe UI"/>
                <w:color w:val="000000"/>
                <w:sz w:val="18"/>
                <w:szCs w:val="18"/>
              </w:rPr>
              <w:t>51 Slovenská akadémia vied</w:t>
            </w:r>
          </w:p>
        </w:tc>
        <w:tc>
          <w:tcPr>
            <w:tcW w:w="927" w:type="pct"/>
            <w:vAlign w:val="center"/>
          </w:tcPr>
          <w:p w14:paraId="5C0446C9" w14:textId="77777777" w:rsidR="00B5522E" w:rsidRPr="0043604B" w:rsidRDefault="00B5522E" w:rsidP="00B571E8">
            <w:pPr>
              <w:spacing w:after="0" w:line="240" w:lineRule="auto"/>
              <w:jc w:val="right"/>
              <w:rPr>
                <w:rFonts w:eastAsia="Calibri" w:cs="Segoe UI"/>
                <w:sz w:val="18"/>
                <w:szCs w:val="18"/>
              </w:rPr>
            </w:pPr>
            <w:r w:rsidRPr="0043604B">
              <w:rPr>
                <w:rFonts w:cs="Segoe UI"/>
                <w:color w:val="000000"/>
                <w:sz w:val="18"/>
                <w:szCs w:val="18"/>
              </w:rPr>
              <w:t>14 471 629</w:t>
            </w:r>
          </w:p>
        </w:tc>
        <w:tc>
          <w:tcPr>
            <w:tcW w:w="926" w:type="pct"/>
            <w:shd w:val="clear" w:color="auto" w:fill="auto"/>
            <w:vAlign w:val="center"/>
          </w:tcPr>
          <w:p w14:paraId="2B1C741F" w14:textId="77777777" w:rsidR="00B5522E" w:rsidRPr="0043604B" w:rsidRDefault="00B5522E" w:rsidP="00B571E8">
            <w:pPr>
              <w:spacing w:after="0" w:line="240" w:lineRule="auto"/>
              <w:jc w:val="right"/>
              <w:rPr>
                <w:rFonts w:eastAsia="Calibri" w:cs="Segoe UI"/>
                <w:sz w:val="18"/>
                <w:szCs w:val="18"/>
              </w:rPr>
            </w:pPr>
            <w:r w:rsidRPr="0043604B">
              <w:rPr>
                <w:rFonts w:cs="Segoe UI"/>
                <w:sz w:val="18"/>
                <w:szCs w:val="18"/>
              </w:rPr>
              <w:t>0,067%</w:t>
            </w:r>
          </w:p>
        </w:tc>
      </w:tr>
      <w:tr w:rsidR="00B5522E" w:rsidRPr="0043604B" w14:paraId="52FCB4C5" w14:textId="77777777" w:rsidTr="00B571E8">
        <w:trPr>
          <w:trHeight w:val="57"/>
          <w:jc w:val="center"/>
        </w:trPr>
        <w:tc>
          <w:tcPr>
            <w:tcW w:w="3147" w:type="pct"/>
            <w:shd w:val="clear" w:color="auto" w:fill="auto"/>
            <w:vAlign w:val="center"/>
          </w:tcPr>
          <w:p w14:paraId="6FE4F241" w14:textId="77777777" w:rsidR="00B5522E" w:rsidRPr="0043604B" w:rsidRDefault="00B5522E" w:rsidP="00B571E8">
            <w:pPr>
              <w:spacing w:after="0" w:line="240" w:lineRule="auto"/>
              <w:jc w:val="left"/>
              <w:rPr>
                <w:rFonts w:eastAsia="Calibri" w:cs="Segoe UI"/>
                <w:sz w:val="18"/>
                <w:szCs w:val="18"/>
              </w:rPr>
            </w:pPr>
            <w:r w:rsidRPr="0043604B">
              <w:rPr>
                <w:rFonts w:cs="Segoe UI"/>
                <w:color w:val="000000"/>
                <w:sz w:val="18"/>
                <w:szCs w:val="18"/>
              </w:rPr>
              <w:t>08 Najvyšší kontrolný úrad SR</w:t>
            </w:r>
          </w:p>
        </w:tc>
        <w:tc>
          <w:tcPr>
            <w:tcW w:w="927" w:type="pct"/>
            <w:shd w:val="clear" w:color="auto" w:fill="auto"/>
            <w:vAlign w:val="center"/>
          </w:tcPr>
          <w:p w14:paraId="3D2E91F0" w14:textId="77777777" w:rsidR="00B5522E" w:rsidRPr="0043604B" w:rsidRDefault="00B5522E" w:rsidP="00B571E8">
            <w:pPr>
              <w:spacing w:after="0" w:line="240" w:lineRule="auto"/>
              <w:jc w:val="right"/>
              <w:rPr>
                <w:rFonts w:eastAsia="Calibri" w:cs="Segoe UI"/>
                <w:sz w:val="18"/>
                <w:szCs w:val="18"/>
              </w:rPr>
            </w:pPr>
            <w:r w:rsidRPr="0043604B">
              <w:rPr>
                <w:rFonts w:cs="Segoe UI"/>
                <w:color w:val="000000"/>
                <w:sz w:val="18"/>
                <w:szCs w:val="18"/>
              </w:rPr>
              <w:t>14 204 800</w:t>
            </w:r>
          </w:p>
        </w:tc>
        <w:tc>
          <w:tcPr>
            <w:tcW w:w="926" w:type="pct"/>
            <w:shd w:val="clear" w:color="auto" w:fill="auto"/>
            <w:vAlign w:val="center"/>
          </w:tcPr>
          <w:p w14:paraId="3EA17470" w14:textId="77777777" w:rsidR="00B5522E" w:rsidRPr="0043604B" w:rsidRDefault="00B5522E" w:rsidP="00B571E8">
            <w:pPr>
              <w:spacing w:after="0" w:line="240" w:lineRule="auto"/>
              <w:jc w:val="right"/>
              <w:rPr>
                <w:rFonts w:eastAsia="Calibri" w:cs="Segoe UI"/>
                <w:sz w:val="18"/>
                <w:szCs w:val="18"/>
              </w:rPr>
            </w:pPr>
            <w:r w:rsidRPr="0043604B">
              <w:rPr>
                <w:rFonts w:cs="Segoe UI"/>
                <w:sz w:val="18"/>
                <w:szCs w:val="18"/>
              </w:rPr>
              <w:t>0,066%</w:t>
            </w:r>
          </w:p>
        </w:tc>
      </w:tr>
      <w:tr w:rsidR="00B5522E" w:rsidRPr="0043604B" w14:paraId="2E0B5176" w14:textId="77777777" w:rsidTr="00B571E8">
        <w:trPr>
          <w:trHeight w:val="57"/>
          <w:jc w:val="center"/>
        </w:trPr>
        <w:tc>
          <w:tcPr>
            <w:tcW w:w="3147" w:type="pct"/>
            <w:vAlign w:val="center"/>
          </w:tcPr>
          <w:p w14:paraId="43AFB95D" w14:textId="77777777" w:rsidR="00B5522E" w:rsidRPr="0043604B" w:rsidRDefault="00B5522E" w:rsidP="00B571E8">
            <w:pPr>
              <w:spacing w:after="0" w:line="240" w:lineRule="auto"/>
              <w:jc w:val="left"/>
              <w:rPr>
                <w:rFonts w:eastAsia="Calibri" w:cs="Segoe UI"/>
                <w:sz w:val="18"/>
                <w:szCs w:val="18"/>
              </w:rPr>
            </w:pPr>
            <w:r w:rsidRPr="0043604B">
              <w:rPr>
                <w:rFonts w:cs="Segoe UI"/>
                <w:color w:val="000000"/>
                <w:sz w:val="18"/>
                <w:szCs w:val="18"/>
              </w:rPr>
              <w:t>38 Úrad pre normalizáciu, metrológiu a skúšobníctvo SR</w:t>
            </w:r>
          </w:p>
        </w:tc>
        <w:tc>
          <w:tcPr>
            <w:tcW w:w="927" w:type="pct"/>
            <w:vAlign w:val="center"/>
          </w:tcPr>
          <w:p w14:paraId="47670FC8" w14:textId="77777777" w:rsidR="00B5522E" w:rsidRPr="0043604B" w:rsidRDefault="00B5522E" w:rsidP="00B571E8">
            <w:pPr>
              <w:spacing w:after="0" w:line="240" w:lineRule="auto"/>
              <w:jc w:val="right"/>
              <w:rPr>
                <w:rFonts w:eastAsia="Calibri" w:cs="Segoe UI"/>
                <w:sz w:val="18"/>
                <w:szCs w:val="18"/>
              </w:rPr>
            </w:pPr>
            <w:r w:rsidRPr="0043604B">
              <w:rPr>
                <w:rFonts w:cs="Segoe UI"/>
                <w:color w:val="000000"/>
                <w:sz w:val="18"/>
                <w:szCs w:val="18"/>
              </w:rPr>
              <w:t>13 123 333</w:t>
            </w:r>
          </w:p>
        </w:tc>
        <w:tc>
          <w:tcPr>
            <w:tcW w:w="926" w:type="pct"/>
            <w:shd w:val="clear" w:color="auto" w:fill="auto"/>
            <w:vAlign w:val="center"/>
          </w:tcPr>
          <w:p w14:paraId="57D5542E" w14:textId="77777777" w:rsidR="00B5522E" w:rsidRPr="0043604B" w:rsidRDefault="00B5522E" w:rsidP="00B571E8">
            <w:pPr>
              <w:spacing w:after="0" w:line="240" w:lineRule="auto"/>
              <w:jc w:val="right"/>
              <w:rPr>
                <w:rFonts w:eastAsia="Calibri" w:cs="Segoe UI"/>
                <w:sz w:val="18"/>
                <w:szCs w:val="18"/>
              </w:rPr>
            </w:pPr>
            <w:r w:rsidRPr="0043604B">
              <w:rPr>
                <w:rFonts w:cs="Segoe UI"/>
                <w:sz w:val="18"/>
                <w:szCs w:val="18"/>
              </w:rPr>
              <w:t>0,061%</w:t>
            </w:r>
          </w:p>
        </w:tc>
      </w:tr>
      <w:tr w:rsidR="00B5522E" w:rsidRPr="0043604B" w14:paraId="3673E03F" w14:textId="77777777" w:rsidTr="00B571E8">
        <w:trPr>
          <w:trHeight w:val="57"/>
          <w:jc w:val="center"/>
        </w:trPr>
        <w:tc>
          <w:tcPr>
            <w:tcW w:w="3147" w:type="pct"/>
            <w:vAlign w:val="center"/>
          </w:tcPr>
          <w:p w14:paraId="0340F32A" w14:textId="77777777" w:rsidR="00B5522E" w:rsidRPr="0043604B" w:rsidRDefault="00B5522E" w:rsidP="00B571E8">
            <w:pPr>
              <w:spacing w:after="0" w:line="240" w:lineRule="auto"/>
              <w:jc w:val="left"/>
              <w:rPr>
                <w:rFonts w:eastAsia="Calibri" w:cs="Segoe UI"/>
                <w:sz w:val="18"/>
                <w:szCs w:val="18"/>
              </w:rPr>
            </w:pPr>
            <w:r w:rsidRPr="0043604B">
              <w:rPr>
                <w:rFonts w:cs="Segoe UI"/>
                <w:color w:val="000000"/>
                <w:sz w:val="18"/>
                <w:szCs w:val="18"/>
              </w:rPr>
              <w:t>42 Správa štátnych hmotných rezerv SR</w:t>
            </w:r>
          </w:p>
        </w:tc>
        <w:tc>
          <w:tcPr>
            <w:tcW w:w="927" w:type="pct"/>
            <w:vAlign w:val="center"/>
          </w:tcPr>
          <w:p w14:paraId="6DBD36D2" w14:textId="77777777" w:rsidR="00B5522E" w:rsidRPr="0043604B" w:rsidRDefault="00B5522E" w:rsidP="00B571E8">
            <w:pPr>
              <w:spacing w:after="0" w:line="240" w:lineRule="auto"/>
              <w:jc w:val="right"/>
              <w:rPr>
                <w:rFonts w:eastAsia="Calibri" w:cs="Segoe UI"/>
                <w:sz w:val="18"/>
                <w:szCs w:val="18"/>
              </w:rPr>
            </w:pPr>
            <w:r w:rsidRPr="0043604B">
              <w:rPr>
                <w:rFonts w:cs="Segoe UI"/>
                <w:color w:val="000000"/>
                <w:sz w:val="18"/>
                <w:szCs w:val="18"/>
              </w:rPr>
              <w:t>12 487 556</w:t>
            </w:r>
          </w:p>
        </w:tc>
        <w:tc>
          <w:tcPr>
            <w:tcW w:w="926" w:type="pct"/>
            <w:shd w:val="clear" w:color="auto" w:fill="auto"/>
            <w:vAlign w:val="center"/>
          </w:tcPr>
          <w:p w14:paraId="0EED08B6" w14:textId="77777777" w:rsidR="00B5522E" w:rsidRPr="0043604B" w:rsidRDefault="00B5522E" w:rsidP="00B571E8">
            <w:pPr>
              <w:spacing w:after="0" w:line="240" w:lineRule="auto"/>
              <w:jc w:val="right"/>
              <w:rPr>
                <w:rFonts w:eastAsia="Calibri" w:cs="Segoe UI"/>
                <w:sz w:val="18"/>
                <w:szCs w:val="18"/>
              </w:rPr>
            </w:pPr>
            <w:r w:rsidRPr="0043604B">
              <w:rPr>
                <w:rFonts w:cs="Segoe UI"/>
                <w:sz w:val="18"/>
                <w:szCs w:val="18"/>
              </w:rPr>
              <w:t>0,058%</w:t>
            </w:r>
          </w:p>
        </w:tc>
      </w:tr>
      <w:tr w:rsidR="00B5522E" w:rsidRPr="0043604B" w14:paraId="7C647F25" w14:textId="77777777" w:rsidTr="00B571E8">
        <w:trPr>
          <w:trHeight w:val="57"/>
          <w:jc w:val="center"/>
        </w:trPr>
        <w:tc>
          <w:tcPr>
            <w:tcW w:w="3147" w:type="pct"/>
            <w:vAlign w:val="center"/>
          </w:tcPr>
          <w:p w14:paraId="166E9839" w14:textId="77777777" w:rsidR="00B5522E" w:rsidRPr="0043604B" w:rsidRDefault="00B5522E" w:rsidP="00B571E8">
            <w:pPr>
              <w:spacing w:after="0" w:line="240" w:lineRule="auto"/>
              <w:jc w:val="left"/>
              <w:rPr>
                <w:rFonts w:eastAsia="Calibri" w:cs="Segoe UI"/>
                <w:sz w:val="18"/>
                <w:szCs w:val="18"/>
              </w:rPr>
            </w:pPr>
            <w:r w:rsidRPr="0043604B">
              <w:rPr>
                <w:rFonts w:cs="Segoe UI"/>
                <w:color w:val="000000"/>
                <w:sz w:val="18"/>
                <w:szCs w:val="18"/>
              </w:rPr>
              <w:t>02 Kancelária prezidenta SR</w:t>
            </w:r>
          </w:p>
        </w:tc>
        <w:tc>
          <w:tcPr>
            <w:tcW w:w="927" w:type="pct"/>
            <w:vAlign w:val="center"/>
          </w:tcPr>
          <w:p w14:paraId="2BD27330" w14:textId="77777777" w:rsidR="00B5522E" w:rsidRPr="0043604B" w:rsidRDefault="00B5522E" w:rsidP="00B571E8">
            <w:pPr>
              <w:spacing w:after="0" w:line="240" w:lineRule="auto"/>
              <w:jc w:val="right"/>
              <w:rPr>
                <w:rFonts w:eastAsia="Calibri" w:cs="Segoe UI"/>
                <w:sz w:val="18"/>
                <w:szCs w:val="18"/>
              </w:rPr>
            </w:pPr>
            <w:r w:rsidRPr="0043604B">
              <w:rPr>
                <w:rFonts w:cs="Segoe UI"/>
                <w:color w:val="000000"/>
                <w:sz w:val="18"/>
                <w:szCs w:val="18"/>
              </w:rPr>
              <w:t>12 054 955</w:t>
            </w:r>
          </w:p>
        </w:tc>
        <w:tc>
          <w:tcPr>
            <w:tcW w:w="926" w:type="pct"/>
            <w:shd w:val="clear" w:color="auto" w:fill="auto"/>
            <w:vAlign w:val="center"/>
          </w:tcPr>
          <w:p w14:paraId="4399BFEB" w14:textId="77777777" w:rsidR="00B5522E" w:rsidRPr="0043604B" w:rsidRDefault="00B5522E" w:rsidP="00B571E8">
            <w:pPr>
              <w:spacing w:after="0" w:line="240" w:lineRule="auto"/>
              <w:jc w:val="right"/>
              <w:rPr>
                <w:rFonts w:eastAsia="Calibri" w:cs="Segoe UI"/>
                <w:sz w:val="18"/>
                <w:szCs w:val="18"/>
              </w:rPr>
            </w:pPr>
            <w:r w:rsidRPr="0043604B">
              <w:rPr>
                <w:rFonts w:cs="Segoe UI"/>
                <w:sz w:val="18"/>
                <w:szCs w:val="18"/>
              </w:rPr>
              <w:t>0,056%</w:t>
            </w:r>
          </w:p>
        </w:tc>
      </w:tr>
      <w:tr w:rsidR="00B5522E" w:rsidRPr="0043604B" w14:paraId="1293BCA9" w14:textId="77777777" w:rsidTr="00B571E8">
        <w:trPr>
          <w:trHeight w:val="57"/>
          <w:jc w:val="center"/>
        </w:trPr>
        <w:tc>
          <w:tcPr>
            <w:tcW w:w="3147" w:type="pct"/>
            <w:vAlign w:val="center"/>
          </w:tcPr>
          <w:p w14:paraId="366EBA69" w14:textId="77777777" w:rsidR="00B5522E" w:rsidRPr="0043604B" w:rsidRDefault="00B5522E" w:rsidP="00B571E8">
            <w:pPr>
              <w:spacing w:after="0" w:line="240" w:lineRule="auto"/>
              <w:jc w:val="left"/>
              <w:rPr>
                <w:rFonts w:eastAsia="Calibri" w:cs="Segoe UI"/>
                <w:i/>
                <w:sz w:val="18"/>
                <w:szCs w:val="18"/>
              </w:rPr>
            </w:pPr>
            <w:r w:rsidRPr="0043604B">
              <w:rPr>
                <w:rFonts w:cs="Segoe UI"/>
                <w:color w:val="000000"/>
                <w:sz w:val="18"/>
                <w:szCs w:val="18"/>
              </w:rPr>
              <w:t>36 Úrad jadrového dozoru SR</w:t>
            </w:r>
          </w:p>
        </w:tc>
        <w:tc>
          <w:tcPr>
            <w:tcW w:w="927" w:type="pct"/>
            <w:vAlign w:val="center"/>
          </w:tcPr>
          <w:p w14:paraId="50F20D4F" w14:textId="77777777" w:rsidR="00B5522E" w:rsidRPr="0043604B" w:rsidRDefault="00B5522E" w:rsidP="00B571E8">
            <w:pPr>
              <w:spacing w:after="0" w:line="240" w:lineRule="auto"/>
              <w:jc w:val="right"/>
              <w:rPr>
                <w:rFonts w:eastAsia="Calibri" w:cs="Segoe UI"/>
                <w:sz w:val="18"/>
                <w:szCs w:val="18"/>
              </w:rPr>
            </w:pPr>
            <w:r w:rsidRPr="0043604B">
              <w:rPr>
                <w:rFonts w:cs="Segoe UI"/>
                <w:color w:val="000000"/>
                <w:sz w:val="18"/>
                <w:szCs w:val="18"/>
              </w:rPr>
              <w:t>10 544 408</w:t>
            </w:r>
          </w:p>
        </w:tc>
        <w:tc>
          <w:tcPr>
            <w:tcW w:w="926" w:type="pct"/>
            <w:shd w:val="clear" w:color="auto" w:fill="auto"/>
            <w:vAlign w:val="center"/>
          </w:tcPr>
          <w:p w14:paraId="70F56E42" w14:textId="77777777" w:rsidR="00B5522E" w:rsidRPr="0043604B" w:rsidRDefault="00B5522E" w:rsidP="00B571E8">
            <w:pPr>
              <w:spacing w:after="0" w:line="240" w:lineRule="auto"/>
              <w:jc w:val="right"/>
              <w:rPr>
                <w:rFonts w:eastAsia="Calibri" w:cs="Segoe UI"/>
                <w:sz w:val="18"/>
                <w:szCs w:val="18"/>
              </w:rPr>
            </w:pPr>
            <w:r w:rsidRPr="0043604B">
              <w:rPr>
                <w:rFonts w:cs="Segoe UI"/>
                <w:sz w:val="18"/>
                <w:szCs w:val="18"/>
              </w:rPr>
              <w:t>0,049%</w:t>
            </w:r>
          </w:p>
        </w:tc>
      </w:tr>
      <w:tr w:rsidR="00B5522E" w:rsidRPr="0043604B" w14:paraId="4452C912" w14:textId="77777777" w:rsidTr="00B571E8">
        <w:trPr>
          <w:trHeight w:val="57"/>
          <w:jc w:val="center"/>
        </w:trPr>
        <w:tc>
          <w:tcPr>
            <w:tcW w:w="3147" w:type="pct"/>
            <w:vAlign w:val="center"/>
          </w:tcPr>
          <w:p w14:paraId="48B95B69" w14:textId="77777777" w:rsidR="00B5522E" w:rsidRPr="0043604B" w:rsidRDefault="00B5522E" w:rsidP="00B571E8">
            <w:pPr>
              <w:spacing w:after="0" w:line="240" w:lineRule="auto"/>
              <w:jc w:val="left"/>
              <w:rPr>
                <w:rFonts w:eastAsia="Calibri" w:cs="Segoe UI"/>
                <w:i/>
                <w:sz w:val="18"/>
                <w:szCs w:val="18"/>
              </w:rPr>
            </w:pPr>
            <w:r w:rsidRPr="0043604B">
              <w:rPr>
                <w:rFonts w:cs="Segoe UI"/>
                <w:color w:val="000000"/>
                <w:sz w:val="18"/>
                <w:szCs w:val="18"/>
              </w:rPr>
              <w:t>05 Kancelária Ústavného súdu SR</w:t>
            </w:r>
          </w:p>
        </w:tc>
        <w:tc>
          <w:tcPr>
            <w:tcW w:w="927" w:type="pct"/>
            <w:vAlign w:val="center"/>
          </w:tcPr>
          <w:p w14:paraId="09F4B7F2" w14:textId="77777777" w:rsidR="00B5522E" w:rsidRPr="0043604B" w:rsidRDefault="00B5522E" w:rsidP="00B571E8">
            <w:pPr>
              <w:spacing w:after="0" w:line="240" w:lineRule="auto"/>
              <w:jc w:val="right"/>
              <w:rPr>
                <w:rFonts w:eastAsia="Calibri" w:cs="Segoe UI"/>
                <w:sz w:val="18"/>
                <w:szCs w:val="18"/>
              </w:rPr>
            </w:pPr>
            <w:r w:rsidRPr="0043604B">
              <w:rPr>
                <w:rFonts w:cs="Segoe UI"/>
                <w:color w:val="000000"/>
                <w:sz w:val="18"/>
                <w:szCs w:val="18"/>
              </w:rPr>
              <w:t>9 121 725</w:t>
            </w:r>
          </w:p>
        </w:tc>
        <w:tc>
          <w:tcPr>
            <w:tcW w:w="926" w:type="pct"/>
            <w:shd w:val="clear" w:color="auto" w:fill="auto"/>
            <w:vAlign w:val="center"/>
          </w:tcPr>
          <w:p w14:paraId="0C416881" w14:textId="77777777" w:rsidR="00B5522E" w:rsidRPr="0043604B" w:rsidRDefault="00B5522E" w:rsidP="00B571E8">
            <w:pPr>
              <w:spacing w:after="0" w:line="240" w:lineRule="auto"/>
              <w:jc w:val="right"/>
              <w:rPr>
                <w:rFonts w:eastAsia="Calibri" w:cs="Segoe UI"/>
                <w:sz w:val="18"/>
                <w:szCs w:val="18"/>
              </w:rPr>
            </w:pPr>
            <w:r w:rsidRPr="0043604B">
              <w:rPr>
                <w:rFonts w:cs="Segoe UI"/>
                <w:sz w:val="18"/>
                <w:szCs w:val="18"/>
              </w:rPr>
              <w:t>0,042%</w:t>
            </w:r>
          </w:p>
        </w:tc>
      </w:tr>
      <w:tr w:rsidR="00B5522E" w:rsidRPr="0043604B" w14:paraId="1531CC03" w14:textId="77777777" w:rsidTr="00B571E8">
        <w:trPr>
          <w:trHeight w:val="57"/>
          <w:jc w:val="center"/>
        </w:trPr>
        <w:tc>
          <w:tcPr>
            <w:tcW w:w="3147" w:type="pct"/>
            <w:vAlign w:val="center"/>
          </w:tcPr>
          <w:p w14:paraId="36F897D3" w14:textId="77777777" w:rsidR="00B5522E" w:rsidRPr="0043604B" w:rsidRDefault="00B5522E" w:rsidP="00B571E8">
            <w:pPr>
              <w:spacing w:after="0" w:line="240" w:lineRule="auto"/>
              <w:jc w:val="left"/>
              <w:rPr>
                <w:rFonts w:cs="Segoe UI"/>
                <w:color w:val="000000"/>
                <w:sz w:val="18"/>
                <w:szCs w:val="18"/>
              </w:rPr>
            </w:pPr>
            <w:r w:rsidRPr="0043604B">
              <w:rPr>
                <w:rFonts w:cs="Segoe UI"/>
                <w:color w:val="000000"/>
                <w:sz w:val="18"/>
                <w:szCs w:val="18"/>
              </w:rPr>
              <w:t>56 Kancelária Najvyššieho správneho súdu SR</w:t>
            </w:r>
          </w:p>
        </w:tc>
        <w:tc>
          <w:tcPr>
            <w:tcW w:w="927" w:type="pct"/>
            <w:vAlign w:val="center"/>
          </w:tcPr>
          <w:p w14:paraId="79E53CC9" w14:textId="77777777" w:rsidR="00B5522E" w:rsidRPr="0043604B" w:rsidRDefault="00B5522E" w:rsidP="00B571E8">
            <w:pPr>
              <w:spacing w:after="0" w:line="240" w:lineRule="auto"/>
              <w:jc w:val="right"/>
              <w:rPr>
                <w:rFonts w:cs="Segoe UI"/>
                <w:color w:val="000000"/>
                <w:sz w:val="18"/>
                <w:szCs w:val="18"/>
              </w:rPr>
            </w:pPr>
            <w:r w:rsidRPr="0043604B">
              <w:rPr>
                <w:rFonts w:cs="Segoe UI"/>
                <w:color w:val="000000"/>
                <w:sz w:val="18"/>
                <w:szCs w:val="18"/>
              </w:rPr>
              <w:t>8 449 261</w:t>
            </w:r>
          </w:p>
        </w:tc>
        <w:tc>
          <w:tcPr>
            <w:tcW w:w="926" w:type="pct"/>
            <w:shd w:val="clear" w:color="auto" w:fill="auto"/>
            <w:vAlign w:val="center"/>
          </w:tcPr>
          <w:p w14:paraId="6A59E1A1" w14:textId="77777777" w:rsidR="00B5522E" w:rsidRPr="0043604B" w:rsidRDefault="00B5522E" w:rsidP="00B571E8">
            <w:pPr>
              <w:spacing w:after="0" w:line="240" w:lineRule="auto"/>
              <w:jc w:val="right"/>
              <w:rPr>
                <w:rFonts w:cs="Segoe UI"/>
                <w:color w:val="000000"/>
                <w:sz w:val="18"/>
                <w:szCs w:val="18"/>
              </w:rPr>
            </w:pPr>
            <w:r w:rsidRPr="0043604B">
              <w:rPr>
                <w:rFonts w:cs="Segoe UI"/>
                <w:sz w:val="18"/>
                <w:szCs w:val="18"/>
              </w:rPr>
              <w:t>0,039%</w:t>
            </w:r>
          </w:p>
        </w:tc>
      </w:tr>
      <w:tr w:rsidR="00B5522E" w:rsidRPr="0043604B" w14:paraId="0895F81F" w14:textId="77777777" w:rsidTr="00B571E8">
        <w:trPr>
          <w:trHeight w:val="57"/>
          <w:jc w:val="center"/>
        </w:trPr>
        <w:tc>
          <w:tcPr>
            <w:tcW w:w="3147" w:type="pct"/>
            <w:vAlign w:val="center"/>
          </w:tcPr>
          <w:p w14:paraId="326C3F7F" w14:textId="77777777" w:rsidR="00B5522E" w:rsidRPr="0043604B" w:rsidRDefault="00B5522E" w:rsidP="00B571E8">
            <w:pPr>
              <w:spacing w:after="0" w:line="240" w:lineRule="auto"/>
              <w:jc w:val="left"/>
              <w:rPr>
                <w:rFonts w:cs="Segoe UI"/>
                <w:color w:val="000000"/>
                <w:sz w:val="18"/>
                <w:szCs w:val="18"/>
              </w:rPr>
            </w:pPr>
            <w:r w:rsidRPr="0043604B">
              <w:rPr>
                <w:rFonts w:cs="Segoe UI"/>
                <w:color w:val="000000"/>
                <w:sz w:val="18"/>
                <w:szCs w:val="18"/>
              </w:rPr>
              <w:t>34 Úrad pre reguláciu sieťových odvetví</w:t>
            </w:r>
          </w:p>
        </w:tc>
        <w:tc>
          <w:tcPr>
            <w:tcW w:w="927" w:type="pct"/>
            <w:vAlign w:val="center"/>
          </w:tcPr>
          <w:p w14:paraId="7DCCABA6" w14:textId="77777777" w:rsidR="00B5522E" w:rsidRPr="0043604B" w:rsidRDefault="00B5522E" w:rsidP="00B571E8">
            <w:pPr>
              <w:spacing w:after="0" w:line="240" w:lineRule="auto"/>
              <w:jc w:val="right"/>
              <w:rPr>
                <w:rFonts w:cs="Segoe UI"/>
                <w:color w:val="000000"/>
                <w:sz w:val="18"/>
                <w:szCs w:val="18"/>
              </w:rPr>
            </w:pPr>
            <w:r w:rsidRPr="0043604B">
              <w:rPr>
                <w:rFonts w:cs="Segoe UI"/>
                <w:color w:val="000000"/>
                <w:sz w:val="18"/>
                <w:szCs w:val="18"/>
              </w:rPr>
              <w:t>6 419 583</w:t>
            </w:r>
          </w:p>
        </w:tc>
        <w:tc>
          <w:tcPr>
            <w:tcW w:w="926" w:type="pct"/>
            <w:shd w:val="clear" w:color="auto" w:fill="auto"/>
            <w:vAlign w:val="center"/>
          </w:tcPr>
          <w:p w14:paraId="2FE1E835" w14:textId="77777777" w:rsidR="00B5522E" w:rsidRPr="0043604B" w:rsidRDefault="00B5522E" w:rsidP="00B571E8">
            <w:pPr>
              <w:spacing w:after="0" w:line="240" w:lineRule="auto"/>
              <w:jc w:val="right"/>
              <w:rPr>
                <w:rFonts w:cs="Segoe UI"/>
                <w:color w:val="000000"/>
                <w:sz w:val="18"/>
                <w:szCs w:val="18"/>
              </w:rPr>
            </w:pPr>
            <w:r w:rsidRPr="0043604B">
              <w:rPr>
                <w:rFonts w:cs="Segoe UI"/>
                <w:sz w:val="18"/>
                <w:szCs w:val="18"/>
              </w:rPr>
              <w:t>0,030%</w:t>
            </w:r>
          </w:p>
        </w:tc>
      </w:tr>
      <w:tr w:rsidR="00B5522E" w:rsidRPr="0043604B" w14:paraId="615C9052" w14:textId="77777777" w:rsidTr="00B571E8">
        <w:trPr>
          <w:trHeight w:val="57"/>
          <w:jc w:val="center"/>
        </w:trPr>
        <w:tc>
          <w:tcPr>
            <w:tcW w:w="3147" w:type="pct"/>
            <w:vAlign w:val="center"/>
          </w:tcPr>
          <w:p w14:paraId="7C5C7FF2" w14:textId="77777777" w:rsidR="00B5522E" w:rsidRPr="0043604B" w:rsidRDefault="00B5522E" w:rsidP="00B571E8">
            <w:pPr>
              <w:spacing w:after="0" w:line="240" w:lineRule="auto"/>
              <w:jc w:val="left"/>
              <w:rPr>
                <w:rFonts w:cs="Segoe UI"/>
                <w:color w:val="000000"/>
                <w:sz w:val="18"/>
                <w:szCs w:val="18"/>
              </w:rPr>
            </w:pPr>
            <w:r w:rsidRPr="0043604B">
              <w:rPr>
                <w:rFonts w:cs="Segoe UI"/>
                <w:color w:val="000000"/>
                <w:sz w:val="18"/>
                <w:szCs w:val="18"/>
              </w:rPr>
              <w:t>37 Úrad priemyselného vlastníctva SR</w:t>
            </w:r>
          </w:p>
        </w:tc>
        <w:tc>
          <w:tcPr>
            <w:tcW w:w="927" w:type="pct"/>
            <w:vAlign w:val="center"/>
          </w:tcPr>
          <w:p w14:paraId="03A55A15" w14:textId="77777777" w:rsidR="00B5522E" w:rsidRPr="0043604B" w:rsidRDefault="00B5522E" w:rsidP="00B571E8">
            <w:pPr>
              <w:spacing w:after="0" w:line="240" w:lineRule="auto"/>
              <w:jc w:val="right"/>
              <w:rPr>
                <w:rFonts w:cs="Segoe UI"/>
                <w:color w:val="000000"/>
                <w:sz w:val="18"/>
                <w:szCs w:val="18"/>
              </w:rPr>
            </w:pPr>
            <w:r w:rsidRPr="0043604B">
              <w:rPr>
                <w:rFonts w:cs="Segoe UI"/>
                <w:color w:val="000000"/>
                <w:sz w:val="18"/>
                <w:szCs w:val="18"/>
              </w:rPr>
              <w:t>5 905 014</w:t>
            </w:r>
          </w:p>
        </w:tc>
        <w:tc>
          <w:tcPr>
            <w:tcW w:w="926" w:type="pct"/>
            <w:shd w:val="clear" w:color="auto" w:fill="auto"/>
            <w:vAlign w:val="center"/>
          </w:tcPr>
          <w:p w14:paraId="797D9225" w14:textId="77777777" w:rsidR="00B5522E" w:rsidRPr="0043604B" w:rsidRDefault="00B5522E" w:rsidP="00B571E8">
            <w:pPr>
              <w:spacing w:after="0" w:line="240" w:lineRule="auto"/>
              <w:jc w:val="right"/>
              <w:rPr>
                <w:rFonts w:cs="Segoe UI"/>
                <w:color w:val="000000"/>
                <w:sz w:val="18"/>
                <w:szCs w:val="18"/>
              </w:rPr>
            </w:pPr>
            <w:r w:rsidRPr="0043604B">
              <w:rPr>
                <w:rFonts w:cs="Segoe UI"/>
                <w:sz w:val="18"/>
                <w:szCs w:val="18"/>
              </w:rPr>
              <w:t>0,027%</w:t>
            </w:r>
          </w:p>
        </w:tc>
      </w:tr>
      <w:tr w:rsidR="00B5522E" w:rsidRPr="0043604B" w14:paraId="05A42249" w14:textId="77777777" w:rsidTr="00B571E8">
        <w:trPr>
          <w:trHeight w:val="57"/>
          <w:jc w:val="center"/>
        </w:trPr>
        <w:tc>
          <w:tcPr>
            <w:tcW w:w="3147" w:type="pct"/>
            <w:vAlign w:val="center"/>
          </w:tcPr>
          <w:p w14:paraId="371995CC" w14:textId="77777777" w:rsidR="00B5522E" w:rsidRPr="0043604B" w:rsidRDefault="00B5522E" w:rsidP="00B571E8">
            <w:pPr>
              <w:spacing w:after="0" w:line="240" w:lineRule="auto"/>
              <w:jc w:val="left"/>
              <w:rPr>
                <w:rFonts w:eastAsia="Calibri" w:cs="Segoe UI"/>
                <w:i/>
                <w:sz w:val="18"/>
                <w:szCs w:val="18"/>
              </w:rPr>
            </w:pPr>
            <w:r w:rsidRPr="0043604B">
              <w:rPr>
                <w:rFonts w:cs="Segoe UI"/>
                <w:color w:val="000000"/>
                <w:sz w:val="18"/>
                <w:szCs w:val="18"/>
              </w:rPr>
              <w:t>40 Protimonopolný úrad SR</w:t>
            </w:r>
          </w:p>
        </w:tc>
        <w:tc>
          <w:tcPr>
            <w:tcW w:w="927" w:type="pct"/>
            <w:vAlign w:val="center"/>
          </w:tcPr>
          <w:p w14:paraId="6B947E2F" w14:textId="77777777" w:rsidR="00B5522E" w:rsidRPr="0043604B" w:rsidRDefault="00B5522E" w:rsidP="00B571E8">
            <w:pPr>
              <w:spacing w:after="0" w:line="240" w:lineRule="auto"/>
              <w:jc w:val="right"/>
              <w:rPr>
                <w:rFonts w:eastAsia="Calibri" w:cs="Segoe UI"/>
                <w:sz w:val="18"/>
                <w:szCs w:val="18"/>
              </w:rPr>
            </w:pPr>
            <w:r w:rsidRPr="0043604B">
              <w:rPr>
                <w:rFonts w:cs="Segoe UI"/>
                <w:color w:val="000000"/>
                <w:sz w:val="18"/>
                <w:szCs w:val="18"/>
              </w:rPr>
              <w:t>4 512 436</w:t>
            </w:r>
          </w:p>
        </w:tc>
        <w:tc>
          <w:tcPr>
            <w:tcW w:w="926" w:type="pct"/>
            <w:shd w:val="clear" w:color="auto" w:fill="auto"/>
            <w:vAlign w:val="center"/>
          </w:tcPr>
          <w:p w14:paraId="3AB9D16D" w14:textId="77777777" w:rsidR="00B5522E" w:rsidRPr="0043604B" w:rsidRDefault="00B5522E" w:rsidP="00B571E8">
            <w:pPr>
              <w:spacing w:after="0" w:line="240" w:lineRule="auto"/>
              <w:jc w:val="right"/>
              <w:rPr>
                <w:rFonts w:eastAsia="Calibri" w:cs="Segoe UI"/>
                <w:sz w:val="18"/>
                <w:szCs w:val="18"/>
              </w:rPr>
            </w:pPr>
            <w:r w:rsidRPr="0043604B">
              <w:rPr>
                <w:rFonts w:cs="Segoe UI"/>
                <w:sz w:val="18"/>
                <w:szCs w:val="18"/>
              </w:rPr>
              <w:t>0,021%</w:t>
            </w:r>
          </w:p>
        </w:tc>
      </w:tr>
      <w:tr w:rsidR="00B5522E" w:rsidRPr="0043604B" w14:paraId="0DC23512" w14:textId="77777777" w:rsidTr="00B571E8">
        <w:trPr>
          <w:trHeight w:val="57"/>
          <w:jc w:val="center"/>
        </w:trPr>
        <w:tc>
          <w:tcPr>
            <w:tcW w:w="3147" w:type="pct"/>
            <w:tcBorders>
              <w:bottom w:val="single" w:sz="4" w:space="0" w:color="314364"/>
            </w:tcBorders>
            <w:vAlign w:val="center"/>
          </w:tcPr>
          <w:p w14:paraId="04C3FC47" w14:textId="77777777" w:rsidR="00B5522E" w:rsidRPr="0043604B" w:rsidRDefault="00B5522E" w:rsidP="00B571E8">
            <w:pPr>
              <w:spacing w:after="0" w:line="240" w:lineRule="auto"/>
              <w:jc w:val="left"/>
              <w:rPr>
                <w:rFonts w:eastAsia="Calibri" w:cs="Segoe UI"/>
                <w:i/>
                <w:sz w:val="18"/>
                <w:szCs w:val="18"/>
              </w:rPr>
            </w:pPr>
            <w:r w:rsidRPr="0043604B">
              <w:rPr>
                <w:rFonts w:cs="Segoe UI"/>
                <w:color w:val="000000"/>
                <w:sz w:val="18"/>
                <w:szCs w:val="18"/>
              </w:rPr>
              <w:t>55 Kancelária Súdnej rady SR</w:t>
            </w:r>
          </w:p>
        </w:tc>
        <w:tc>
          <w:tcPr>
            <w:tcW w:w="927" w:type="pct"/>
            <w:tcBorders>
              <w:bottom w:val="single" w:sz="4" w:space="0" w:color="314364"/>
            </w:tcBorders>
            <w:vAlign w:val="center"/>
          </w:tcPr>
          <w:p w14:paraId="6DB1D448" w14:textId="77777777" w:rsidR="00B5522E" w:rsidRPr="0043604B" w:rsidRDefault="00B5522E" w:rsidP="00B571E8">
            <w:pPr>
              <w:spacing w:after="0" w:line="240" w:lineRule="auto"/>
              <w:jc w:val="right"/>
              <w:rPr>
                <w:rFonts w:eastAsia="Calibri" w:cs="Segoe UI"/>
                <w:sz w:val="18"/>
                <w:szCs w:val="18"/>
              </w:rPr>
            </w:pPr>
            <w:r w:rsidRPr="0043604B">
              <w:rPr>
                <w:rFonts w:cs="Segoe UI"/>
                <w:color w:val="000000"/>
                <w:sz w:val="18"/>
                <w:szCs w:val="18"/>
              </w:rPr>
              <w:t>3 038 125</w:t>
            </w:r>
          </w:p>
        </w:tc>
        <w:tc>
          <w:tcPr>
            <w:tcW w:w="926" w:type="pct"/>
            <w:tcBorders>
              <w:bottom w:val="single" w:sz="4" w:space="0" w:color="314364"/>
            </w:tcBorders>
            <w:shd w:val="clear" w:color="auto" w:fill="auto"/>
            <w:vAlign w:val="center"/>
          </w:tcPr>
          <w:p w14:paraId="5A29B99A" w14:textId="77777777" w:rsidR="00B5522E" w:rsidRPr="0043604B" w:rsidRDefault="00B5522E" w:rsidP="00B571E8">
            <w:pPr>
              <w:spacing w:after="0" w:line="240" w:lineRule="auto"/>
              <w:jc w:val="right"/>
              <w:rPr>
                <w:rFonts w:eastAsia="Calibri" w:cs="Segoe UI"/>
                <w:sz w:val="18"/>
                <w:szCs w:val="18"/>
              </w:rPr>
            </w:pPr>
            <w:r w:rsidRPr="0043604B">
              <w:rPr>
                <w:rFonts w:cs="Segoe UI"/>
                <w:sz w:val="18"/>
                <w:szCs w:val="18"/>
              </w:rPr>
              <w:t>0,014%</w:t>
            </w:r>
          </w:p>
        </w:tc>
      </w:tr>
    </w:tbl>
    <w:p w14:paraId="41502B11" w14:textId="2B9FD2FB" w:rsidR="00537E37" w:rsidRDefault="00B5522E" w:rsidP="00B5522E">
      <w:pPr>
        <w:rPr>
          <w:rFonts w:cs="Times New Roman"/>
          <w:i/>
          <w:color w:val="314364"/>
          <w:sz w:val="16"/>
        </w:rPr>
      </w:pPr>
      <w:r>
        <w:rPr>
          <w:rFonts w:cs="Times New Roman"/>
          <w:i/>
          <w:color w:val="314364"/>
          <w:sz w:val="16"/>
        </w:rPr>
        <w:t>Zdroj: MF SR</w:t>
      </w:r>
      <w:r w:rsidRPr="00D46D45">
        <w:rPr>
          <w:rFonts w:cs="Times New Roman"/>
          <w:i/>
          <w:color w:val="314364"/>
          <w:sz w:val="16"/>
        </w:rPr>
        <w:t>.</w:t>
      </w:r>
    </w:p>
    <w:p w14:paraId="2D6DBB54" w14:textId="7DB85095" w:rsidR="00354C50" w:rsidRDefault="00354C50" w:rsidP="00B5522E">
      <w:pPr>
        <w:rPr>
          <w:rFonts w:cs="Times New Roman"/>
          <w:i/>
          <w:color w:val="314364"/>
          <w:sz w:val="16"/>
        </w:rPr>
      </w:pPr>
    </w:p>
    <w:p w14:paraId="22F84C95" w14:textId="77777777" w:rsidR="00354C50" w:rsidRDefault="00354C50" w:rsidP="00B5522E">
      <w:pPr>
        <w:rPr>
          <w:rFonts w:cs="Times New Roman"/>
          <w:i/>
          <w:color w:val="314364"/>
          <w:sz w:val="16"/>
        </w:rPr>
      </w:pPr>
    </w:p>
    <w:p w14:paraId="1344EBE9" w14:textId="1044AA5F" w:rsidR="00F74312" w:rsidRDefault="00F74312" w:rsidP="00F74312">
      <w:pPr>
        <w:keepNext/>
        <w:spacing w:after="0"/>
        <w:rPr>
          <w:rFonts w:cs="Times New Roman"/>
          <w:b/>
          <w:iCs/>
          <w:color w:val="314364"/>
          <w:szCs w:val="18"/>
        </w:rPr>
      </w:pPr>
      <w:r w:rsidRPr="00354C50">
        <w:rPr>
          <w:rFonts w:cs="Times New Roman"/>
          <w:b/>
          <w:iCs/>
          <w:color w:val="314364"/>
          <w:szCs w:val="18"/>
        </w:rPr>
        <w:lastRenderedPageBreak/>
        <w:t xml:space="preserve">Tabuľka </w:t>
      </w:r>
      <w:r w:rsidR="002B1C1E">
        <w:rPr>
          <w:rFonts w:cs="Times New Roman"/>
          <w:b/>
          <w:iCs/>
          <w:color w:val="314364"/>
          <w:szCs w:val="18"/>
        </w:rPr>
        <w:t>19</w:t>
      </w:r>
      <w:r w:rsidRPr="00354C50">
        <w:rPr>
          <w:rFonts w:cs="Times New Roman"/>
          <w:b/>
          <w:iCs/>
          <w:color w:val="314364"/>
          <w:szCs w:val="18"/>
        </w:rPr>
        <w:t xml:space="preserve">: </w:t>
      </w:r>
      <w:r>
        <w:rPr>
          <w:rFonts w:cs="Times New Roman"/>
          <w:b/>
          <w:iCs/>
          <w:color w:val="314364"/>
          <w:szCs w:val="18"/>
        </w:rPr>
        <w:t>Zoznam s</w:t>
      </w:r>
      <w:r w:rsidRPr="00354C50">
        <w:rPr>
          <w:rFonts w:cs="Times New Roman"/>
          <w:b/>
          <w:iCs/>
          <w:color w:val="314364"/>
          <w:szCs w:val="18"/>
        </w:rPr>
        <w:t>trategick</w:t>
      </w:r>
      <w:r>
        <w:rPr>
          <w:rFonts w:cs="Times New Roman"/>
          <w:b/>
          <w:iCs/>
          <w:color w:val="314364"/>
          <w:szCs w:val="18"/>
        </w:rPr>
        <w:t>ých investícií</w:t>
      </w:r>
    </w:p>
    <w:tbl>
      <w:tblPr>
        <w:tblStyle w:val="Mriekatabuky"/>
        <w:tblW w:w="0" w:type="auto"/>
        <w:tblBorders>
          <w:top w:val="none" w:sz="0" w:space="0" w:color="auto"/>
          <w:left w:val="none" w:sz="0" w:space="0" w:color="auto"/>
          <w:bottom w:val="single" w:sz="4" w:space="0" w:color="314364" w:themeColor="text2"/>
          <w:right w:val="none" w:sz="0" w:space="0" w:color="auto"/>
          <w:insideH w:val="single" w:sz="4" w:space="0" w:color="314364" w:themeColor="text2"/>
          <w:insideV w:val="none" w:sz="0" w:space="0" w:color="auto"/>
        </w:tblBorders>
        <w:tblLook w:val="04A0" w:firstRow="1" w:lastRow="0" w:firstColumn="1" w:lastColumn="0" w:noHBand="0" w:noVBand="1"/>
      </w:tblPr>
      <w:tblGrid>
        <w:gridCol w:w="9060"/>
      </w:tblGrid>
      <w:tr w:rsidR="00F74312" w14:paraId="67028230" w14:textId="77777777" w:rsidTr="00F63B8F">
        <w:trPr>
          <w:trHeight w:val="283"/>
        </w:trPr>
        <w:tc>
          <w:tcPr>
            <w:tcW w:w="9060" w:type="dxa"/>
            <w:shd w:val="clear" w:color="auto" w:fill="314364" w:themeFill="text2"/>
          </w:tcPr>
          <w:p w14:paraId="561B0E5A" w14:textId="77777777" w:rsidR="00F74312" w:rsidRPr="000C6806" w:rsidRDefault="00F74312" w:rsidP="00F63B8F">
            <w:pPr>
              <w:keepNext/>
              <w:spacing w:after="0"/>
              <w:rPr>
                <w:rFonts w:cs="Segoe UI"/>
                <w:b/>
                <w:color w:val="FFFFFF" w:themeColor="background1"/>
                <w:sz w:val="18"/>
                <w:szCs w:val="18"/>
              </w:rPr>
            </w:pPr>
            <w:r>
              <w:rPr>
                <w:rFonts w:cs="Segoe UI"/>
                <w:b/>
                <w:color w:val="FFFFFF" w:themeColor="background1"/>
                <w:sz w:val="18"/>
                <w:szCs w:val="18"/>
              </w:rPr>
              <w:t>Projekt</w:t>
            </w:r>
          </w:p>
        </w:tc>
      </w:tr>
      <w:tr w:rsidR="00F74312" w14:paraId="259173D8" w14:textId="77777777" w:rsidTr="00F63B8F">
        <w:trPr>
          <w:trHeight w:val="283"/>
        </w:trPr>
        <w:tc>
          <w:tcPr>
            <w:tcW w:w="9060" w:type="dxa"/>
          </w:tcPr>
          <w:p w14:paraId="66495010" w14:textId="77777777" w:rsidR="00F74312" w:rsidRDefault="00F74312" w:rsidP="00F63B8F">
            <w:pPr>
              <w:keepNext/>
              <w:spacing w:after="0"/>
              <w:rPr>
                <w:rFonts w:cs="Times New Roman"/>
                <w:b/>
                <w:iCs/>
                <w:color w:val="314364"/>
                <w:szCs w:val="18"/>
              </w:rPr>
            </w:pPr>
            <w:r w:rsidRPr="00A61CC3">
              <w:rPr>
                <w:rFonts w:cs="Segoe UI"/>
                <w:color w:val="000000"/>
                <w:sz w:val="18"/>
                <w:szCs w:val="18"/>
              </w:rPr>
              <w:t>Diaľnica D1 Turany – Hubová</w:t>
            </w:r>
          </w:p>
        </w:tc>
      </w:tr>
      <w:tr w:rsidR="00F74312" w14:paraId="5C2D2B2F" w14:textId="77777777" w:rsidTr="00F63B8F">
        <w:trPr>
          <w:trHeight w:val="283"/>
        </w:trPr>
        <w:tc>
          <w:tcPr>
            <w:tcW w:w="9060" w:type="dxa"/>
          </w:tcPr>
          <w:p w14:paraId="5815ECE0" w14:textId="77777777" w:rsidR="00F74312" w:rsidRDefault="00F74312" w:rsidP="00F63B8F">
            <w:pPr>
              <w:keepNext/>
              <w:spacing w:after="0"/>
              <w:rPr>
                <w:rFonts w:cs="Times New Roman"/>
                <w:b/>
                <w:iCs/>
                <w:color w:val="314364"/>
                <w:szCs w:val="18"/>
              </w:rPr>
            </w:pPr>
            <w:r w:rsidRPr="00A61CC3">
              <w:rPr>
                <w:rFonts w:cs="Segoe UI"/>
                <w:color w:val="000000"/>
                <w:sz w:val="18"/>
                <w:szCs w:val="18"/>
              </w:rPr>
              <w:t>Diaľnica D1 Bidovce – štátna hranica Slovenská republika/Ukrajina</w:t>
            </w:r>
          </w:p>
        </w:tc>
      </w:tr>
      <w:tr w:rsidR="00F74312" w14:paraId="34D8DE43" w14:textId="77777777" w:rsidTr="00F63B8F">
        <w:trPr>
          <w:trHeight w:val="283"/>
        </w:trPr>
        <w:tc>
          <w:tcPr>
            <w:tcW w:w="9060" w:type="dxa"/>
          </w:tcPr>
          <w:p w14:paraId="4BDE93CC" w14:textId="77777777" w:rsidR="00F74312" w:rsidRDefault="00F74312" w:rsidP="00F63B8F">
            <w:pPr>
              <w:keepNext/>
              <w:spacing w:after="0"/>
              <w:rPr>
                <w:rFonts w:cs="Times New Roman"/>
                <w:b/>
                <w:iCs/>
                <w:color w:val="314364"/>
                <w:szCs w:val="18"/>
              </w:rPr>
            </w:pPr>
            <w:r w:rsidRPr="00A61CC3">
              <w:rPr>
                <w:rFonts w:cs="Segoe UI"/>
                <w:color w:val="000000"/>
                <w:sz w:val="18"/>
                <w:szCs w:val="18"/>
              </w:rPr>
              <w:t xml:space="preserve">Diaľnica D3 v úseku Žilina-Brodno – Kysucké Nové Mesto </w:t>
            </w:r>
          </w:p>
        </w:tc>
      </w:tr>
      <w:tr w:rsidR="00F74312" w14:paraId="15A50A29" w14:textId="77777777" w:rsidTr="00F63B8F">
        <w:trPr>
          <w:trHeight w:val="283"/>
        </w:trPr>
        <w:tc>
          <w:tcPr>
            <w:tcW w:w="9060" w:type="dxa"/>
          </w:tcPr>
          <w:p w14:paraId="7ED3926B" w14:textId="77777777" w:rsidR="00F74312" w:rsidRDefault="00F74312" w:rsidP="00F63B8F">
            <w:pPr>
              <w:keepNext/>
              <w:spacing w:after="0"/>
              <w:rPr>
                <w:rFonts w:cs="Times New Roman"/>
                <w:b/>
                <w:iCs/>
                <w:color w:val="314364"/>
                <w:szCs w:val="18"/>
              </w:rPr>
            </w:pPr>
            <w:r w:rsidRPr="00A61CC3">
              <w:rPr>
                <w:rFonts w:cs="Segoe UI"/>
                <w:color w:val="000000"/>
                <w:sz w:val="18"/>
                <w:szCs w:val="18"/>
              </w:rPr>
              <w:t>Diaľnica D3 v úseku Kysucké Nové Mesto – Oščadnica</w:t>
            </w:r>
          </w:p>
        </w:tc>
      </w:tr>
      <w:tr w:rsidR="00F74312" w14:paraId="0AF754CE" w14:textId="77777777" w:rsidTr="00F63B8F">
        <w:trPr>
          <w:trHeight w:val="283"/>
        </w:trPr>
        <w:tc>
          <w:tcPr>
            <w:tcW w:w="9060" w:type="dxa"/>
          </w:tcPr>
          <w:p w14:paraId="778380F6" w14:textId="77777777" w:rsidR="00F74312" w:rsidRDefault="00F74312" w:rsidP="00F63B8F">
            <w:pPr>
              <w:keepNext/>
              <w:spacing w:after="0"/>
              <w:rPr>
                <w:rFonts w:cs="Times New Roman"/>
                <w:b/>
                <w:iCs/>
                <w:color w:val="314364"/>
                <w:szCs w:val="18"/>
              </w:rPr>
            </w:pPr>
            <w:r w:rsidRPr="00A61CC3">
              <w:rPr>
                <w:rFonts w:cs="Segoe UI"/>
                <w:color w:val="000000"/>
                <w:sz w:val="18"/>
                <w:szCs w:val="18"/>
              </w:rPr>
              <w:t>Diaľnica D3 v úseku Oščadnica – Čadca-Bukov, 2. profil</w:t>
            </w:r>
          </w:p>
        </w:tc>
      </w:tr>
      <w:tr w:rsidR="00F74312" w14:paraId="55E7290A" w14:textId="77777777" w:rsidTr="00F63B8F">
        <w:trPr>
          <w:trHeight w:val="283"/>
        </w:trPr>
        <w:tc>
          <w:tcPr>
            <w:tcW w:w="9060" w:type="dxa"/>
          </w:tcPr>
          <w:p w14:paraId="4D7D2AFE" w14:textId="77777777" w:rsidR="00F74312" w:rsidRDefault="00F74312" w:rsidP="00F63B8F">
            <w:pPr>
              <w:keepNext/>
              <w:spacing w:after="0"/>
              <w:rPr>
                <w:rFonts w:cs="Times New Roman"/>
                <w:b/>
                <w:iCs/>
                <w:color w:val="314364"/>
                <w:szCs w:val="18"/>
              </w:rPr>
            </w:pPr>
            <w:r w:rsidRPr="00A61CC3">
              <w:rPr>
                <w:rFonts w:cs="Segoe UI"/>
                <w:color w:val="000000"/>
                <w:sz w:val="18"/>
                <w:szCs w:val="18"/>
              </w:rPr>
              <w:t>Diaľnica D4 v úseku Bratislava-Rača – Bratislava-Záhorská Bystrica</w:t>
            </w:r>
          </w:p>
        </w:tc>
      </w:tr>
      <w:tr w:rsidR="00F74312" w14:paraId="4543A320" w14:textId="77777777" w:rsidTr="00F63B8F">
        <w:trPr>
          <w:trHeight w:val="283"/>
        </w:trPr>
        <w:tc>
          <w:tcPr>
            <w:tcW w:w="9060" w:type="dxa"/>
          </w:tcPr>
          <w:p w14:paraId="201E4B83" w14:textId="77777777" w:rsidR="00F74312" w:rsidRDefault="00F74312" w:rsidP="00F63B8F">
            <w:pPr>
              <w:keepNext/>
              <w:spacing w:after="0"/>
              <w:rPr>
                <w:rFonts w:cs="Times New Roman"/>
                <w:b/>
                <w:iCs/>
                <w:color w:val="314364"/>
                <w:szCs w:val="18"/>
              </w:rPr>
            </w:pPr>
            <w:r w:rsidRPr="00A61CC3">
              <w:rPr>
                <w:rFonts w:cs="Segoe UI"/>
                <w:color w:val="000000"/>
                <w:sz w:val="18"/>
                <w:szCs w:val="18"/>
              </w:rPr>
              <w:t>Diaľničný privádzač Lietavská Lúčka – Žilina, I. etapa</w:t>
            </w:r>
          </w:p>
        </w:tc>
      </w:tr>
      <w:tr w:rsidR="00F74312" w14:paraId="7F2C7F3E" w14:textId="77777777" w:rsidTr="00F63B8F">
        <w:trPr>
          <w:trHeight w:val="283"/>
        </w:trPr>
        <w:tc>
          <w:tcPr>
            <w:tcW w:w="9060" w:type="dxa"/>
          </w:tcPr>
          <w:p w14:paraId="4ED5E7DA" w14:textId="77777777" w:rsidR="00F74312" w:rsidRDefault="00F74312" w:rsidP="00F63B8F">
            <w:pPr>
              <w:keepNext/>
              <w:spacing w:after="0"/>
              <w:rPr>
                <w:rFonts w:cs="Times New Roman"/>
                <w:b/>
                <w:iCs/>
                <w:color w:val="314364"/>
                <w:szCs w:val="18"/>
              </w:rPr>
            </w:pPr>
            <w:r w:rsidRPr="00A61CC3">
              <w:rPr>
                <w:rFonts w:cs="Segoe UI"/>
                <w:color w:val="000000"/>
                <w:sz w:val="18"/>
                <w:szCs w:val="18"/>
              </w:rPr>
              <w:t>Rýchlostná cesta R2 Zvolen západ – Zvolen východ</w:t>
            </w:r>
          </w:p>
        </w:tc>
      </w:tr>
      <w:tr w:rsidR="00F74312" w14:paraId="33FC20D2" w14:textId="77777777" w:rsidTr="00F63B8F">
        <w:trPr>
          <w:trHeight w:val="283"/>
        </w:trPr>
        <w:tc>
          <w:tcPr>
            <w:tcW w:w="9060" w:type="dxa"/>
          </w:tcPr>
          <w:p w14:paraId="691A60B0" w14:textId="77777777" w:rsidR="00F74312" w:rsidRDefault="00F74312" w:rsidP="00F63B8F">
            <w:pPr>
              <w:keepNext/>
              <w:spacing w:after="0"/>
              <w:rPr>
                <w:rFonts w:cs="Times New Roman"/>
                <w:b/>
                <w:iCs/>
                <w:color w:val="314364"/>
                <w:szCs w:val="18"/>
              </w:rPr>
            </w:pPr>
            <w:r w:rsidRPr="00A61CC3">
              <w:rPr>
                <w:rFonts w:cs="Segoe UI"/>
                <w:color w:val="000000"/>
                <w:sz w:val="18"/>
                <w:szCs w:val="18"/>
              </w:rPr>
              <w:t>Rýchlostná cesta R2 Zacharovce – Bátka</w:t>
            </w:r>
          </w:p>
        </w:tc>
      </w:tr>
      <w:tr w:rsidR="00F74312" w14:paraId="622096D7" w14:textId="77777777" w:rsidTr="00F63B8F">
        <w:trPr>
          <w:trHeight w:val="283"/>
        </w:trPr>
        <w:tc>
          <w:tcPr>
            <w:tcW w:w="9060" w:type="dxa"/>
          </w:tcPr>
          <w:p w14:paraId="6A83ECCE" w14:textId="77777777" w:rsidR="00F74312" w:rsidRDefault="00F74312" w:rsidP="00F63B8F">
            <w:pPr>
              <w:keepNext/>
              <w:spacing w:after="0"/>
              <w:rPr>
                <w:rFonts w:cs="Times New Roman"/>
                <w:b/>
                <w:iCs/>
                <w:color w:val="314364"/>
                <w:szCs w:val="18"/>
              </w:rPr>
            </w:pPr>
            <w:r w:rsidRPr="00A61CC3">
              <w:rPr>
                <w:rFonts w:cs="Segoe UI"/>
                <w:color w:val="000000"/>
                <w:sz w:val="18"/>
                <w:szCs w:val="18"/>
              </w:rPr>
              <w:t>Rýchlostná cesta R2 Bátka – Figa</w:t>
            </w:r>
          </w:p>
        </w:tc>
      </w:tr>
      <w:tr w:rsidR="00F74312" w14:paraId="32F37FD9" w14:textId="77777777" w:rsidTr="00F63B8F">
        <w:trPr>
          <w:trHeight w:val="283"/>
        </w:trPr>
        <w:tc>
          <w:tcPr>
            <w:tcW w:w="9060" w:type="dxa"/>
          </w:tcPr>
          <w:p w14:paraId="1747A78D" w14:textId="77777777" w:rsidR="00F74312" w:rsidRDefault="00F74312" w:rsidP="00F63B8F">
            <w:pPr>
              <w:keepNext/>
              <w:spacing w:after="0"/>
              <w:rPr>
                <w:rFonts w:cs="Times New Roman"/>
                <w:b/>
                <w:iCs/>
                <w:color w:val="314364"/>
                <w:szCs w:val="18"/>
              </w:rPr>
            </w:pPr>
            <w:r w:rsidRPr="00A61CC3">
              <w:rPr>
                <w:rFonts w:cs="Segoe UI"/>
                <w:color w:val="000000"/>
                <w:sz w:val="18"/>
                <w:szCs w:val="18"/>
              </w:rPr>
              <w:t>Rýchlostná cesta R2 Šaca – Košické Oľšany, I. úsek</w:t>
            </w:r>
          </w:p>
        </w:tc>
      </w:tr>
      <w:tr w:rsidR="00F74312" w14:paraId="3E64CB33" w14:textId="77777777" w:rsidTr="00F63B8F">
        <w:trPr>
          <w:trHeight w:val="283"/>
        </w:trPr>
        <w:tc>
          <w:tcPr>
            <w:tcW w:w="9060" w:type="dxa"/>
          </w:tcPr>
          <w:p w14:paraId="427C8771" w14:textId="77777777" w:rsidR="00F74312" w:rsidRDefault="00F74312" w:rsidP="00F63B8F">
            <w:pPr>
              <w:keepNext/>
              <w:spacing w:after="0"/>
              <w:rPr>
                <w:rFonts w:cs="Times New Roman"/>
                <w:b/>
                <w:iCs/>
                <w:color w:val="314364"/>
                <w:szCs w:val="18"/>
              </w:rPr>
            </w:pPr>
            <w:r w:rsidRPr="00A61CC3">
              <w:rPr>
                <w:rFonts w:cs="Segoe UI"/>
                <w:color w:val="000000"/>
                <w:sz w:val="18"/>
                <w:szCs w:val="18"/>
              </w:rPr>
              <w:t>Rýchlostná cesta R4 Lipníky – Kapušany</w:t>
            </w:r>
          </w:p>
        </w:tc>
      </w:tr>
      <w:tr w:rsidR="00F74312" w14:paraId="56A24392" w14:textId="77777777" w:rsidTr="00F63B8F">
        <w:trPr>
          <w:trHeight w:val="283"/>
        </w:trPr>
        <w:tc>
          <w:tcPr>
            <w:tcW w:w="9060" w:type="dxa"/>
          </w:tcPr>
          <w:p w14:paraId="3BD43281" w14:textId="77777777" w:rsidR="00F74312" w:rsidRDefault="00F74312" w:rsidP="00F63B8F">
            <w:pPr>
              <w:keepNext/>
              <w:spacing w:after="0"/>
              <w:rPr>
                <w:rFonts w:cs="Times New Roman"/>
                <w:b/>
                <w:iCs/>
                <w:color w:val="314364"/>
                <w:szCs w:val="18"/>
              </w:rPr>
            </w:pPr>
            <w:r w:rsidRPr="00A61CC3">
              <w:rPr>
                <w:rFonts w:cs="Segoe UI"/>
                <w:color w:val="000000"/>
                <w:sz w:val="18"/>
                <w:szCs w:val="18"/>
              </w:rPr>
              <w:t>Rýchlostná cesta R4 štátna hranica SR/PR - Lipníky</w:t>
            </w:r>
          </w:p>
        </w:tc>
      </w:tr>
      <w:tr w:rsidR="00F74312" w14:paraId="6F847108" w14:textId="77777777" w:rsidTr="00F63B8F">
        <w:trPr>
          <w:trHeight w:val="283"/>
        </w:trPr>
        <w:tc>
          <w:tcPr>
            <w:tcW w:w="9060" w:type="dxa"/>
          </w:tcPr>
          <w:p w14:paraId="2A072789" w14:textId="77777777" w:rsidR="00F74312" w:rsidRDefault="00F74312" w:rsidP="00F63B8F">
            <w:pPr>
              <w:keepNext/>
              <w:spacing w:after="0"/>
              <w:rPr>
                <w:rFonts w:cs="Times New Roman"/>
                <w:b/>
                <w:iCs/>
                <w:color w:val="314364"/>
                <w:szCs w:val="18"/>
              </w:rPr>
            </w:pPr>
            <w:r w:rsidRPr="00A61CC3">
              <w:rPr>
                <w:rFonts w:cs="Segoe UI"/>
                <w:color w:val="000000"/>
                <w:sz w:val="18"/>
                <w:szCs w:val="18"/>
              </w:rPr>
              <w:t>Zdvojkoľajnenie trate Devínska Nová Ves – štátna hranica SK/AT (Marchegg)</w:t>
            </w:r>
          </w:p>
        </w:tc>
      </w:tr>
      <w:tr w:rsidR="00F74312" w14:paraId="2FE1E7BF" w14:textId="77777777" w:rsidTr="00F63B8F">
        <w:trPr>
          <w:trHeight w:val="283"/>
        </w:trPr>
        <w:tc>
          <w:tcPr>
            <w:tcW w:w="9060" w:type="dxa"/>
          </w:tcPr>
          <w:p w14:paraId="46F13DF0" w14:textId="77777777" w:rsidR="00F74312" w:rsidRDefault="00F74312" w:rsidP="00F63B8F">
            <w:pPr>
              <w:keepNext/>
              <w:spacing w:after="0"/>
              <w:rPr>
                <w:rFonts w:cs="Times New Roman"/>
                <w:b/>
                <w:iCs/>
                <w:color w:val="314364"/>
                <w:szCs w:val="18"/>
              </w:rPr>
            </w:pPr>
            <w:r w:rsidRPr="00A61CC3">
              <w:rPr>
                <w:rFonts w:cs="Segoe UI"/>
                <w:color w:val="000000"/>
                <w:sz w:val="18"/>
                <w:szCs w:val="18"/>
              </w:rPr>
              <w:t>ŽSR, modernizácia železničnej trate Devínska Nová Ves – štátna hranica SR/ČR</w:t>
            </w:r>
          </w:p>
        </w:tc>
      </w:tr>
      <w:tr w:rsidR="00F74312" w14:paraId="56F51A0C" w14:textId="77777777" w:rsidTr="00F63B8F">
        <w:trPr>
          <w:trHeight w:val="283"/>
        </w:trPr>
        <w:tc>
          <w:tcPr>
            <w:tcW w:w="9060" w:type="dxa"/>
          </w:tcPr>
          <w:p w14:paraId="08844FC6" w14:textId="77777777" w:rsidR="00F74312" w:rsidRDefault="00F74312" w:rsidP="00F63B8F">
            <w:pPr>
              <w:keepNext/>
              <w:spacing w:after="0"/>
              <w:rPr>
                <w:rFonts w:cs="Times New Roman"/>
                <w:b/>
                <w:iCs/>
                <w:color w:val="314364"/>
                <w:szCs w:val="18"/>
              </w:rPr>
            </w:pPr>
            <w:r w:rsidRPr="00A61CC3">
              <w:rPr>
                <w:rFonts w:cs="Segoe UI"/>
                <w:color w:val="000000"/>
                <w:sz w:val="18"/>
                <w:szCs w:val="18"/>
              </w:rPr>
              <w:t>ŽSR, Malacky - Kúty</w:t>
            </w:r>
          </w:p>
        </w:tc>
      </w:tr>
      <w:tr w:rsidR="00F74312" w14:paraId="3E7CF961" w14:textId="77777777" w:rsidTr="00F63B8F">
        <w:trPr>
          <w:trHeight w:val="283"/>
        </w:trPr>
        <w:tc>
          <w:tcPr>
            <w:tcW w:w="9060" w:type="dxa"/>
          </w:tcPr>
          <w:p w14:paraId="13F52444" w14:textId="77777777" w:rsidR="00F74312" w:rsidRDefault="00F74312" w:rsidP="00F63B8F">
            <w:pPr>
              <w:keepNext/>
              <w:spacing w:after="0"/>
              <w:rPr>
                <w:rFonts w:cs="Times New Roman"/>
                <w:b/>
                <w:iCs/>
                <w:color w:val="314364"/>
                <w:szCs w:val="18"/>
              </w:rPr>
            </w:pPr>
            <w:r w:rsidRPr="00A61CC3">
              <w:rPr>
                <w:rFonts w:cs="Segoe UI"/>
                <w:color w:val="000000"/>
                <w:sz w:val="18"/>
                <w:szCs w:val="18"/>
              </w:rPr>
              <w:t>ŽSR, modernizácia železničnej trate Čadca – Krásno nad Kysucou</w:t>
            </w:r>
          </w:p>
        </w:tc>
      </w:tr>
      <w:tr w:rsidR="00F74312" w14:paraId="1DE5FD3E" w14:textId="77777777" w:rsidTr="00F63B8F">
        <w:trPr>
          <w:trHeight w:val="283"/>
        </w:trPr>
        <w:tc>
          <w:tcPr>
            <w:tcW w:w="9060" w:type="dxa"/>
          </w:tcPr>
          <w:p w14:paraId="5B77CC50" w14:textId="77777777" w:rsidR="00F74312" w:rsidRDefault="00F74312" w:rsidP="00F63B8F">
            <w:pPr>
              <w:keepNext/>
              <w:spacing w:after="0"/>
              <w:rPr>
                <w:rFonts w:cs="Times New Roman"/>
                <w:b/>
                <w:iCs/>
                <w:color w:val="314364"/>
                <w:szCs w:val="18"/>
              </w:rPr>
            </w:pPr>
            <w:r w:rsidRPr="00A61CC3">
              <w:rPr>
                <w:rFonts w:cs="Segoe UI"/>
                <w:color w:val="000000"/>
                <w:sz w:val="18"/>
                <w:szCs w:val="18"/>
              </w:rPr>
              <w:t>Modernizácia železničnej trate Žilina – Košice v úseku Liptovský Mikuláš – Poprad-Tatry, 5. etapa, traťový úsek Liptovský Hrádok – Paludza</w:t>
            </w:r>
          </w:p>
        </w:tc>
      </w:tr>
      <w:tr w:rsidR="00F74312" w14:paraId="4302E428" w14:textId="77777777" w:rsidTr="00F63B8F">
        <w:trPr>
          <w:trHeight w:val="283"/>
        </w:trPr>
        <w:tc>
          <w:tcPr>
            <w:tcW w:w="9060" w:type="dxa"/>
          </w:tcPr>
          <w:p w14:paraId="1B3107BF" w14:textId="77777777" w:rsidR="00F74312" w:rsidRDefault="00F74312" w:rsidP="00F63B8F">
            <w:pPr>
              <w:keepNext/>
              <w:spacing w:after="0"/>
              <w:rPr>
                <w:rFonts w:cs="Times New Roman"/>
                <w:b/>
                <w:iCs/>
                <w:color w:val="314364"/>
                <w:szCs w:val="18"/>
              </w:rPr>
            </w:pPr>
            <w:r w:rsidRPr="00A61CC3">
              <w:rPr>
                <w:rFonts w:cs="Segoe UI"/>
                <w:color w:val="000000"/>
                <w:sz w:val="18"/>
                <w:szCs w:val="18"/>
              </w:rPr>
              <w:t xml:space="preserve">Modernizácia železničnej trate Žilina – Košice, úsek trate Poprad-Tatry – Krompachy, časť A2 Markušovce – Vydrník </w:t>
            </w:r>
          </w:p>
        </w:tc>
      </w:tr>
      <w:tr w:rsidR="00F74312" w14:paraId="18DEA736" w14:textId="77777777" w:rsidTr="00F63B8F">
        <w:trPr>
          <w:trHeight w:val="283"/>
        </w:trPr>
        <w:tc>
          <w:tcPr>
            <w:tcW w:w="9060" w:type="dxa"/>
          </w:tcPr>
          <w:p w14:paraId="60F7AE18" w14:textId="77777777" w:rsidR="00F74312" w:rsidRDefault="00F74312" w:rsidP="00F63B8F">
            <w:pPr>
              <w:keepNext/>
              <w:spacing w:after="0"/>
              <w:rPr>
                <w:rFonts w:cs="Times New Roman"/>
                <w:b/>
                <w:iCs/>
                <w:color w:val="314364"/>
                <w:szCs w:val="18"/>
              </w:rPr>
            </w:pPr>
            <w:r w:rsidRPr="00A61CC3">
              <w:rPr>
                <w:rFonts w:cs="Segoe UI"/>
                <w:color w:val="000000"/>
                <w:sz w:val="18"/>
                <w:szCs w:val="18"/>
              </w:rPr>
              <w:t xml:space="preserve">Výstavba Univerzitnej nemocnice sv. Martina </w:t>
            </w:r>
          </w:p>
        </w:tc>
      </w:tr>
      <w:tr w:rsidR="00F74312" w14:paraId="0BD6061F" w14:textId="77777777" w:rsidTr="00F63B8F">
        <w:trPr>
          <w:trHeight w:val="283"/>
        </w:trPr>
        <w:tc>
          <w:tcPr>
            <w:tcW w:w="9060" w:type="dxa"/>
          </w:tcPr>
          <w:p w14:paraId="30C189F3" w14:textId="77777777" w:rsidR="00F74312" w:rsidRDefault="00F74312" w:rsidP="00F63B8F">
            <w:pPr>
              <w:keepNext/>
              <w:spacing w:after="0"/>
              <w:rPr>
                <w:rFonts w:cs="Times New Roman"/>
                <w:b/>
                <w:iCs/>
                <w:color w:val="314364"/>
                <w:szCs w:val="18"/>
              </w:rPr>
            </w:pPr>
            <w:r w:rsidRPr="00A61CC3">
              <w:rPr>
                <w:rFonts w:cs="Segoe UI"/>
                <w:color w:val="000000"/>
                <w:sz w:val="18"/>
                <w:szCs w:val="18"/>
              </w:rPr>
              <w:t>Výstavba Fakultnej nemocnice s poliklinikou F. D. Roosevelta Banská Bystrica</w:t>
            </w:r>
          </w:p>
        </w:tc>
      </w:tr>
      <w:tr w:rsidR="00F74312" w14:paraId="4DFE4FCD" w14:textId="77777777" w:rsidTr="00F63B8F">
        <w:trPr>
          <w:trHeight w:val="283"/>
        </w:trPr>
        <w:tc>
          <w:tcPr>
            <w:tcW w:w="9060" w:type="dxa"/>
          </w:tcPr>
          <w:p w14:paraId="2CB59ABF" w14:textId="77777777" w:rsidR="00F74312" w:rsidRDefault="00F74312" w:rsidP="00F63B8F">
            <w:pPr>
              <w:keepNext/>
              <w:spacing w:after="0"/>
              <w:rPr>
                <w:rFonts w:cs="Times New Roman"/>
                <w:b/>
                <w:iCs/>
                <w:color w:val="314364"/>
                <w:szCs w:val="18"/>
              </w:rPr>
            </w:pPr>
            <w:r w:rsidRPr="00A61CC3">
              <w:rPr>
                <w:rFonts w:cs="Segoe UI"/>
                <w:color w:val="000000"/>
                <w:sz w:val="18"/>
                <w:szCs w:val="18"/>
              </w:rPr>
              <w:t>Modernizácia FNsP J. A. Reimana v Prešove</w:t>
            </w:r>
          </w:p>
        </w:tc>
      </w:tr>
      <w:tr w:rsidR="00F74312" w14:paraId="615B2B6E" w14:textId="77777777" w:rsidTr="00F63B8F">
        <w:trPr>
          <w:trHeight w:val="283"/>
        </w:trPr>
        <w:tc>
          <w:tcPr>
            <w:tcW w:w="9060" w:type="dxa"/>
          </w:tcPr>
          <w:p w14:paraId="30485114" w14:textId="77777777" w:rsidR="00F74312" w:rsidRDefault="00F74312" w:rsidP="00F63B8F">
            <w:pPr>
              <w:keepNext/>
              <w:spacing w:after="0"/>
              <w:rPr>
                <w:rFonts w:cs="Times New Roman"/>
                <w:b/>
                <w:iCs/>
                <w:color w:val="314364"/>
                <w:szCs w:val="18"/>
              </w:rPr>
            </w:pPr>
            <w:r w:rsidRPr="005242ED">
              <w:rPr>
                <w:rFonts w:eastAsia="Calibri" w:cs="Segoe UI"/>
                <w:sz w:val="18"/>
                <w:szCs w:val="18"/>
              </w:rPr>
              <w:t>Modernizácia Prístavu Bratislava</w:t>
            </w:r>
          </w:p>
        </w:tc>
      </w:tr>
    </w:tbl>
    <w:p w14:paraId="61E90EB8" w14:textId="0F2FDC15" w:rsidR="00354C50" w:rsidRPr="00F74312" w:rsidRDefault="00F74312" w:rsidP="00F74312">
      <w:pPr>
        <w:pStyle w:val="Zdroj"/>
      </w:pPr>
      <w:r>
        <w:t>Zdroj: MD SR.</w:t>
      </w:r>
    </w:p>
    <w:sectPr w:rsidR="00354C50" w:rsidRPr="00F74312" w:rsidSect="00962F36">
      <w:headerReference w:type="default" r:id="rId50"/>
      <w:footerReference w:type="default" r:id="rId51"/>
      <w:pgSz w:w="11906" w:h="16838"/>
      <w:pgMar w:top="1418" w:right="1418" w:bottom="1134"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8C4C14" w14:textId="77777777" w:rsidR="00F16FAF" w:rsidRDefault="00F16FAF" w:rsidP="004F10D0">
      <w:pPr>
        <w:spacing w:after="0" w:line="240" w:lineRule="auto"/>
      </w:pPr>
      <w:r>
        <w:separator/>
      </w:r>
    </w:p>
    <w:p w14:paraId="244F96C0" w14:textId="77777777" w:rsidR="00F16FAF" w:rsidRDefault="00F16FAF"/>
  </w:endnote>
  <w:endnote w:type="continuationSeparator" w:id="0">
    <w:p w14:paraId="515126FB" w14:textId="77777777" w:rsidR="00F16FAF" w:rsidRDefault="00F16FAF" w:rsidP="004F10D0">
      <w:pPr>
        <w:spacing w:after="0" w:line="240" w:lineRule="auto"/>
      </w:pPr>
      <w:r>
        <w:continuationSeparator/>
      </w:r>
    </w:p>
    <w:p w14:paraId="3151482C" w14:textId="77777777" w:rsidR="00F16FAF" w:rsidRDefault="00F16F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0002AFF" w:usb1="4000ACFF" w:usb2="00000001"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A0002AEF" w:usb1="4000207B" w:usb2="00000000" w:usb3="00000000" w:csb0="000001FF" w:csb1="00000000"/>
  </w:font>
  <w:font w:name="Montserrat">
    <w:panose1 w:val="00000500000000000000"/>
    <w:charset w:val="EE"/>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F6B56" w14:textId="15EAA128" w:rsidR="003F23CE" w:rsidRPr="005C61DD" w:rsidRDefault="003F23CE" w:rsidP="005C61DD">
    <w:pPr>
      <w:tabs>
        <w:tab w:val="left" w:pos="709"/>
      </w:tabs>
      <w:jc w:val="center"/>
      <w:rPr>
        <w:rFonts w:eastAsia="Calibri" w:cs="Segoe UI"/>
        <w:i/>
        <w:sz w:val="18"/>
        <w:szCs w:val="20"/>
      </w:rPr>
    </w:pPr>
    <w:r w:rsidRPr="005C61DD">
      <w:rPr>
        <w:rFonts w:eastAsia="Calibri" w:cs="Segoe UI"/>
        <w:i/>
        <w:sz w:val="18"/>
        <w:szCs w:val="20"/>
      </w:rPr>
      <w:t xml:space="preserve">Stanovisko NKÚ SR k návrhu </w:t>
    </w:r>
    <w:r>
      <w:rPr>
        <w:rFonts w:eastAsia="Calibri" w:cs="Segoe UI"/>
        <w:i/>
        <w:sz w:val="18"/>
        <w:szCs w:val="20"/>
      </w:rPr>
      <w:t>štátneho rozpočtu</w:t>
    </w:r>
    <w:r w:rsidRPr="005C61DD">
      <w:rPr>
        <w:rFonts w:eastAsia="Calibri" w:cs="Segoe UI"/>
        <w:i/>
        <w:sz w:val="18"/>
        <w:szCs w:val="20"/>
      </w:rPr>
      <w:t xml:space="preserve"> na rok 202</w:t>
    </w:r>
    <w:r>
      <w:rPr>
        <w:rFonts w:eastAsia="Calibri" w:cs="Segoe UI"/>
        <w:i/>
        <w:sz w:val="18"/>
        <w:szCs w:val="20"/>
      </w:rPr>
      <w:t>5</w:t>
    </w:r>
    <w:r w:rsidRPr="005C61DD">
      <w:rPr>
        <w:rFonts w:eastAsia="Calibri" w:cs="Segoe UI"/>
        <w:i/>
        <w:sz w:val="18"/>
        <w:szCs w:val="20"/>
      </w:rPr>
      <w:t xml:space="preserve"> bolo vypracované v súlade s § 5 ods. 1 zákona o NKÚ SR na základe kontroly vykonanej na M</w:t>
    </w:r>
    <w:r>
      <w:rPr>
        <w:rFonts w:eastAsia="Calibri" w:cs="Segoe UI"/>
        <w:i/>
        <w:sz w:val="18"/>
        <w:szCs w:val="20"/>
      </w:rPr>
      <w:t>inisterstve financií</w:t>
    </w:r>
    <w:r w:rsidRPr="005C61DD">
      <w:rPr>
        <w:rFonts w:eastAsia="Calibri" w:cs="Segoe UI"/>
        <w:i/>
        <w:sz w:val="18"/>
        <w:szCs w:val="20"/>
      </w:rPr>
      <w:t xml:space="preserve"> SR, ktoré podľa zákona o rozpočtových pravidlách VS zostavuje návrh </w:t>
    </w:r>
    <w:r>
      <w:rPr>
        <w:rFonts w:eastAsia="Calibri" w:cs="Segoe UI"/>
        <w:i/>
        <w:sz w:val="18"/>
        <w:szCs w:val="20"/>
      </w:rPr>
      <w:t>rozpočtu verejnej správy</w:t>
    </w:r>
    <w:r w:rsidRPr="005C61DD">
      <w:rPr>
        <w:rFonts w:eastAsia="Calibri" w:cs="Segoe UI"/>
        <w:i/>
        <w:sz w:val="18"/>
        <w:szCs w:val="20"/>
      </w:rPr>
      <w:t xml:space="preserve"> za </w:t>
    </w:r>
    <w:r>
      <w:rPr>
        <w:rFonts w:eastAsia="Calibri" w:cs="Segoe UI"/>
        <w:i/>
        <w:sz w:val="18"/>
        <w:szCs w:val="20"/>
      </w:rPr>
      <w:t>štátny rozpočet</w:t>
    </w:r>
    <w:r w:rsidRPr="005C61DD">
      <w:rPr>
        <w:rFonts w:eastAsia="Calibri" w:cs="Segoe UI"/>
        <w:i/>
        <w:sz w:val="18"/>
        <w:szCs w:val="20"/>
      </w:rPr>
      <w:t xml:space="preserve"> a súhrnné rozpočty ostatných subjektov VS.</w:t>
    </w:r>
  </w:p>
  <w:p w14:paraId="58356A1A" w14:textId="77777777" w:rsidR="003F23CE" w:rsidRPr="00FF5DA3" w:rsidRDefault="003F23CE" w:rsidP="008F0A84">
    <w:pPr>
      <w:pStyle w:val="Pta"/>
      <w:tabs>
        <w:tab w:val="clear" w:pos="4536"/>
        <w:tab w:val="clear" w:pos="9072"/>
        <w:tab w:val="center" w:pos="9070"/>
      </w:tabs>
      <w:jc w:val="center"/>
      <w:rPr>
        <w:b/>
        <w:color w:val="314364"/>
        <w:sz w:val="3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5359340"/>
      <w:docPartObj>
        <w:docPartGallery w:val="Page Numbers (Bottom of Page)"/>
        <w:docPartUnique/>
      </w:docPartObj>
    </w:sdtPr>
    <w:sdtContent>
      <w:p w14:paraId="1CF29EB5" w14:textId="18B517B1" w:rsidR="003F23CE" w:rsidRDefault="003F23CE" w:rsidP="00733BFD">
        <w:pPr>
          <w:pStyle w:val="Pta"/>
          <w:jc w:val="right"/>
        </w:pPr>
        <w:r>
          <w:fldChar w:fldCharType="begin"/>
        </w:r>
        <w:r>
          <w:instrText>PAGE   \* MERGEFORMAT</w:instrText>
        </w:r>
        <w:r>
          <w:fldChar w:fldCharType="separate"/>
        </w:r>
        <w:r w:rsidR="00456F13">
          <w:rPr>
            <w:noProof/>
          </w:rPr>
          <w:t>20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25D41D" w14:textId="77777777" w:rsidR="00F16FAF" w:rsidRDefault="00F16FAF" w:rsidP="004F10D0">
      <w:pPr>
        <w:spacing w:after="0" w:line="240" w:lineRule="auto"/>
      </w:pPr>
      <w:r>
        <w:separator/>
      </w:r>
    </w:p>
  </w:footnote>
  <w:footnote w:type="continuationSeparator" w:id="0">
    <w:p w14:paraId="2A3F6D0B" w14:textId="77777777" w:rsidR="00F16FAF" w:rsidRDefault="00F16FAF" w:rsidP="004F10D0">
      <w:pPr>
        <w:spacing w:after="0" w:line="240" w:lineRule="auto"/>
      </w:pPr>
      <w:r>
        <w:continuationSeparator/>
      </w:r>
    </w:p>
    <w:p w14:paraId="5E47128A" w14:textId="77777777" w:rsidR="00F16FAF" w:rsidRDefault="00F16FAF"/>
  </w:footnote>
  <w:footnote w:id="1">
    <w:p w14:paraId="139E05C2" w14:textId="77777777" w:rsidR="003F23CE" w:rsidRDefault="003F23CE" w:rsidP="002D2AEA">
      <w:pPr>
        <w:pStyle w:val="Textpoznmkypodiarou"/>
      </w:pPr>
      <w:r>
        <w:rPr>
          <w:rStyle w:val="Odkaznapoznmkupodiarou"/>
        </w:rPr>
        <w:footnoteRef/>
      </w:r>
      <w:r>
        <w:t xml:space="preserve"> MD SR – Základné informácie o záujme uložiť záväzok služieb vo verejnom záujme vo vzťahu k pravidelným leteckým dopravným službám na trase letisko M. R. Štefánika Bratislava – Letisko Košice v. v. [</w:t>
      </w:r>
      <w:hyperlink r:id="rId1" w:history="1">
        <w:r w:rsidRPr="00232FF1">
          <w:rPr>
            <w:rStyle w:val="Hypertextovprepojenie"/>
            <w:sz w:val="16"/>
          </w:rPr>
          <w:t>online</w:t>
        </w:r>
      </w:hyperlink>
      <w:r>
        <w:t>].</w:t>
      </w:r>
    </w:p>
  </w:footnote>
  <w:footnote w:id="2">
    <w:p w14:paraId="756B6437" w14:textId="77777777" w:rsidR="003F23CE" w:rsidRDefault="003F23CE" w:rsidP="00C15618">
      <w:pPr>
        <w:pStyle w:val="Textpoznmkypodiarou"/>
      </w:pPr>
      <w:r>
        <w:rPr>
          <w:rStyle w:val="Odkaznapoznmkupodiarou"/>
        </w:rPr>
        <w:footnoteRef/>
      </w:r>
      <w:r>
        <w:t xml:space="preserve"> Nariadenie Európskeho parlamentu a Rady (EÚ) </w:t>
      </w:r>
      <w:r w:rsidRPr="00EE03C4">
        <w:t>2024/1263 z 29. apríla 2024 o účinnej koordinácii hospodárskych politík a mnohostrannom rozpočtovom dohľade a o zrušení nariadenia Rady (ES) č. 1466/97</w:t>
      </w:r>
      <w:r>
        <w:t>.</w:t>
      </w:r>
      <w:r w:rsidRPr="00EE03C4">
        <w:t xml:space="preserve"> </w:t>
      </w:r>
      <w:r>
        <w:rPr>
          <w:lang w:val="en-US"/>
        </w:rPr>
        <w:t>[</w:t>
      </w:r>
      <w:hyperlink r:id="rId2" w:history="1">
        <w:r w:rsidRPr="00EE03C4">
          <w:rPr>
            <w:rStyle w:val="Hypertextovprepojenie"/>
            <w:sz w:val="16"/>
            <w:lang w:val="en-US"/>
          </w:rPr>
          <w:t>o</w:t>
        </w:r>
        <w:r w:rsidRPr="00EE03C4">
          <w:rPr>
            <w:rStyle w:val="Hypertextovprepojenie"/>
            <w:sz w:val="16"/>
          </w:rPr>
          <w:t>nline</w:t>
        </w:r>
      </w:hyperlink>
      <w:r>
        <w:t>].</w:t>
      </w:r>
    </w:p>
  </w:footnote>
  <w:footnote w:id="3">
    <w:p w14:paraId="33F08DC3" w14:textId="77777777" w:rsidR="003F23CE" w:rsidRDefault="003F23CE" w:rsidP="00C15618">
      <w:pPr>
        <w:pStyle w:val="Textpoznmkypodiarou"/>
      </w:pPr>
      <w:r>
        <w:rPr>
          <w:rStyle w:val="Odkaznapoznmkupodiarou"/>
        </w:rPr>
        <w:footnoteRef/>
      </w:r>
      <w:r>
        <w:t xml:space="preserve"> Zákon z 9. mája 2024, ktorým sa mení a dopĺňa zákon č. 523/2004 Z. z. o rozpočtových pravidlách verejnej správy. </w:t>
      </w:r>
      <w:r>
        <w:rPr>
          <w:lang w:val="en-US"/>
        </w:rPr>
        <w:t>[</w:t>
      </w:r>
      <w:hyperlink r:id="rId3" w:history="1">
        <w:r w:rsidRPr="00EE03C4">
          <w:rPr>
            <w:rStyle w:val="Hypertextovprepojenie"/>
            <w:sz w:val="16"/>
            <w:lang w:val="en-US"/>
          </w:rPr>
          <w:t>o</w:t>
        </w:r>
        <w:r w:rsidRPr="00EE03C4">
          <w:rPr>
            <w:rStyle w:val="Hypertextovprepojenie"/>
            <w:sz w:val="16"/>
          </w:rPr>
          <w:t>nline</w:t>
        </w:r>
      </w:hyperlink>
      <w:r>
        <w:t>].</w:t>
      </w:r>
    </w:p>
  </w:footnote>
  <w:footnote w:id="4">
    <w:p w14:paraId="2E7B4E61" w14:textId="3F2FEC81" w:rsidR="003F23CE" w:rsidRDefault="003F23CE" w:rsidP="00C15618">
      <w:pPr>
        <w:pStyle w:val="Textpoznmkypodiarou"/>
      </w:pPr>
      <w:r>
        <w:rPr>
          <w:rStyle w:val="Odkaznapoznmkupodiarou"/>
        </w:rPr>
        <w:footnoteRef/>
      </w:r>
      <w:r>
        <w:t xml:space="preserve"> Európsky semester. </w:t>
      </w:r>
      <w:r>
        <w:rPr>
          <w:lang w:val="en-US"/>
        </w:rPr>
        <w:t>[</w:t>
      </w:r>
      <w:hyperlink r:id="rId4" w:history="1">
        <w:r w:rsidRPr="00EE03C4">
          <w:rPr>
            <w:rStyle w:val="Hypertextovprepojenie"/>
            <w:sz w:val="16"/>
            <w:lang w:val="en-US"/>
          </w:rPr>
          <w:t>o</w:t>
        </w:r>
        <w:r w:rsidRPr="00EE03C4">
          <w:rPr>
            <w:rStyle w:val="Hypertextovprepojenie"/>
            <w:sz w:val="16"/>
          </w:rPr>
          <w:t>nline</w:t>
        </w:r>
      </w:hyperlink>
      <w:r>
        <w:t>].</w:t>
      </w:r>
    </w:p>
  </w:footnote>
  <w:footnote w:id="5">
    <w:p w14:paraId="4B7A9F3A" w14:textId="036DBABD" w:rsidR="003F23CE" w:rsidRDefault="003F23CE" w:rsidP="00C15618">
      <w:pPr>
        <w:pStyle w:val="Textpoznmkypodiarou"/>
      </w:pPr>
      <w:r>
        <w:rPr>
          <w:rStyle w:val="Odkaznapoznmkupodiarou"/>
        </w:rPr>
        <w:footnoteRef/>
      </w:r>
      <w:r>
        <w:t xml:space="preserve"> Databáza EK obsahujúca jednotlivé národné </w:t>
      </w:r>
      <w:r w:rsidRPr="00F364F0">
        <w:t>strednodobé fiškálno-štrukturálne plány</w:t>
      </w:r>
      <w:r>
        <w:t xml:space="preserve">. </w:t>
      </w:r>
      <w:hyperlink r:id="rId5" w:anchor="slovakia" w:history="1">
        <w:r w:rsidRPr="00F364F0">
          <w:rPr>
            <w:rStyle w:val="Hypertextovprepojenie"/>
            <w:sz w:val="16"/>
          </w:rPr>
          <w:t>[online]</w:t>
        </w:r>
      </w:hyperlink>
      <w:r>
        <w:t>.</w:t>
      </w:r>
    </w:p>
  </w:footnote>
  <w:footnote w:id="6">
    <w:p w14:paraId="3A3B528E" w14:textId="55903791" w:rsidR="003F23CE" w:rsidRDefault="003F23CE" w:rsidP="00C15618">
      <w:pPr>
        <w:pStyle w:val="Textpoznmkypodiarou"/>
      </w:pPr>
      <w:r>
        <w:rPr>
          <w:rStyle w:val="Odkaznapoznmkupodiarou"/>
        </w:rPr>
        <w:footnoteRef/>
      </w:r>
      <w:r>
        <w:t xml:space="preserve"> Článok 11, ods. 3 Nariadenia</w:t>
      </w:r>
      <w:r w:rsidRPr="0025770E">
        <w:t xml:space="preserve"> Európskeho parlamentu a Rady (EÚ) 2024/1263 z 29. apríla 2024 o účinnej koordinácii hospodárskych politík a mnohostrannom rozpočtovom dohľade a o zrušení nariadenia Rady (ES) č. 1466/97</w:t>
      </w:r>
      <w:r>
        <w:t xml:space="preserve">. </w:t>
      </w:r>
      <w:hyperlink r:id="rId6" w:anchor="d1e1009-1-1" w:history="1">
        <w:r w:rsidRPr="00CF0A1C">
          <w:rPr>
            <w:rStyle w:val="Hypertextovprepojenie"/>
            <w:sz w:val="16"/>
          </w:rPr>
          <w:t>[online]</w:t>
        </w:r>
      </w:hyperlink>
      <w:r>
        <w:rPr>
          <w:rStyle w:val="Hypertextovprepojenie"/>
          <w:sz w:val="16"/>
        </w:rPr>
        <w:t>.</w:t>
      </w:r>
    </w:p>
  </w:footnote>
  <w:footnote w:id="7">
    <w:p w14:paraId="02781643" w14:textId="77777777" w:rsidR="003F23CE" w:rsidRDefault="003F23CE" w:rsidP="001210F2">
      <w:pPr>
        <w:pStyle w:val="Textpoznmkypodiarou"/>
      </w:pPr>
      <w:r>
        <w:rPr>
          <w:rStyle w:val="Odkaznapoznmkupodiarou"/>
        </w:rPr>
        <w:footnoteRef/>
      </w:r>
      <w:r>
        <w:t xml:space="preserve"> Smernica 2006/112/ES – spoločný systém dane z pridanej hodnoty Európskej únie. [</w:t>
      </w:r>
      <w:hyperlink r:id="rId7" w:history="1">
        <w:r w:rsidRPr="00EC4E9A">
          <w:rPr>
            <w:rStyle w:val="Hypertextovprepojenie"/>
            <w:sz w:val="16"/>
          </w:rPr>
          <w:t>online</w:t>
        </w:r>
      </w:hyperlink>
      <w:r>
        <w:t>].</w:t>
      </w:r>
    </w:p>
  </w:footnote>
  <w:footnote w:id="8">
    <w:p w14:paraId="56496BC8" w14:textId="12DDE1AA" w:rsidR="003F23CE" w:rsidRDefault="003F23CE" w:rsidP="00347D8F">
      <w:pPr>
        <w:pStyle w:val="Textpoznmkypodiarou"/>
      </w:pPr>
      <w:r>
        <w:rPr>
          <w:rStyle w:val="Odkaznapoznmkupodiarou"/>
        </w:rPr>
        <w:footnoteRef/>
      </w:r>
      <w:r>
        <w:t xml:space="preserve"> Medzera DPH v jednotlivých sektoroch: o</w:t>
      </w:r>
      <w:r w:rsidRPr="00AE5350">
        <w:t>statné služby (76</w:t>
      </w:r>
      <w:r>
        <w:t xml:space="preserve"> </w:t>
      </w:r>
      <w:r w:rsidRPr="00AE5350">
        <w:t xml:space="preserve">%), </w:t>
      </w:r>
      <w:r>
        <w:t>v</w:t>
      </w:r>
      <w:r w:rsidRPr="00AE5350">
        <w:t>zdelávanie (62</w:t>
      </w:r>
      <w:r>
        <w:t xml:space="preserve"> </w:t>
      </w:r>
      <w:r w:rsidRPr="00AE5350">
        <w:t xml:space="preserve">%), </w:t>
      </w:r>
      <w:r>
        <w:t>p</w:t>
      </w:r>
      <w:r w:rsidRPr="00AE5350">
        <w:t>oľnohospodárstvo (62</w:t>
      </w:r>
      <w:r>
        <w:t xml:space="preserve"> </w:t>
      </w:r>
      <w:r w:rsidRPr="00AE5350">
        <w:t xml:space="preserve">%), </w:t>
      </w:r>
      <w:r>
        <w:t>o</w:t>
      </w:r>
      <w:r w:rsidRPr="00AE5350">
        <w:t>dborné, vedecké a technické činnosti (62</w:t>
      </w:r>
      <w:r>
        <w:t xml:space="preserve"> </w:t>
      </w:r>
      <w:r w:rsidRPr="00AE5350">
        <w:t xml:space="preserve">%), </w:t>
      </w:r>
      <w:r>
        <w:t>u</w:t>
      </w:r>
      <w:r w:rsidRPr="00AE5350">
        <w:t>bytovacie a stravovacie služby (53</w:t>
      </w:r>
      <w:r>
        <w:t xml:space="preserve"> </w:t>
      </w:r>
      <w:r w:rsidRPr="00AE5350">
        <w:t xml:space="preserve">%), </w:t>
      </w:r>
      <w:r>
        <w:t>u</w:t>
      </w:r>
      <w:r w:rsidRPr="00AE5350">
        <w:t>menie a zábava (50</w:t>
      </w:r>
      <w:r>
        <w:t xml:space="preserve"> </w:t>
      </w:r>
      <w:r w:rsidRPr="00AE5350">
        <w:t xml:space="preserve">%), </w:t>
      </w:r>
      <w:r>
        <w:t>č</w:t>
      </w:r>
      <w:r w:rsidRPr="00AE5350">
        <w:t>innosti v oblasti nehnuteľností (48</w:t>
      </w:r>
      <w:r>
        <w:t xml:space="preserve">  </w:t>
      </w:r>
      <w:r w:rsidRPr="00AE5350">
        <w:t xml:space="preserve">%), </w:t>
      </w:r>
      <w:r>
        <w:t>f</w:t>
      </w:r>
      <w:r w:rsidRPr="00AE5350">
        <w:t>inančné a poisťovacie činnosti (48</w:t>
      </w:r>
      <w:r>
        <w:t xml:space="preserve"> </w:t>
      </w:r>
      <w:r w:rsidRPr="00AE5350">
        <w:t>%),</w:t>
      </w:r>
      <w:r>
        <w:t xml:space="preserve"> v</w:t>
      </w:r>
      <w:r w:rsidRPr="00AE5350">
        <w:t>erejná správa (44</w:t>
      </w:r>
      <w:r>
        <w:t xml:space="preserve"> %</w:t>
      </w:r>
      <w:r w:rsidRPr="00AE5350">
        <w:t xml:space="preserve">), </w:t>
      </w:r>
      <w:r>
        <w:t>s</w:t>
      </w:r>
      <w:r w:rsidRPr="00AE5350">
        <w:t>tavebníctvo (44</w:t>
      </w:r>
      <w:r>
        <w:t xml:space="preserve"> </w:t>
      </w:r>
      <w:r w:rsidRPr="00AE5350">
        <w:t xml:space="preserve">%), </w:t>
      </w:r>
      <w:r>
        <w:t>a</w:t>
      </w:r>
      <w:r w:rsidRPr="00AE5350">
        <w:t>dministratívne a podporné služby (38</w:t>
      </w:r>
      <w:r>
        <w:t xml:space="preserve"> </w:t>
      </w:r>
      <w:r w:rsidRPr="00AE5350">
        <w:t xml:space="preserve">%), </w:t>
      </w:r>
      <w:r>
        <w:t>ť</w:t>
      </w:r>
      <w:r w:rsidRPr="00AE5350">
        <w:t>ažba a dobývanie (24</w:t>
      </w:r>
      <w:r>
        <w:t xml:space="preserve"> </w:t>
      </w:r>
      <w:r w:rsidRPr="00AE5350">
        <w:t xml:space="preserve">%), </w:t>
      </w:r>
      <w:r>
        <w:t>z</w:t>
      </w:r>
      <w:r w:rsidRPr="00AE5350">
        <w:t>dravotníctvo a sociálna práca (22</w:t>
      </w:r>
      <w:r>
        <w:t xml:space="preserve"> </w:t>
      </w:r>
      <w:r w:rsidRPr="00AE5350">
        <w:t xml:space="preserve">%), </w:t>
      </w:r>
      <w:r>
        <w:t>m</w:t>
      </w:r>
      <w:r w:rsidRPr="00AE5350">
        <w:t xml:space="preserve">aloobchod, veľkoobchod </w:t>
      </w:r>
      <w:r>
        <w:t>a</w:t>
      </w:r>
      <w:r w:rsidRPr="00AE5350">
        <w:t xml:space="preserve"> doprava a skladovanie (17</w:t>
      </w:r>
      <w:r>
        <w:t xml:space="preserve"> %</w:t>
      </w:r>
      <w:r w:rsidRPr="00AE5350">
        <w:t xml:space="preserve">), </w:t>
      </w:r>
      <w:r>
        <w:t>p</w:t>
      </w:r>
      <w:r w:rsidRPr="00AE5350">
        <w:t>riemyselná výroba (5</w:t>
      </w:r>
      <w:r>
        <w:t xml:space="preserve"> </w:t>
      </w:r>
      <w:r w:rsidRPr="00AE5350">
        <w:t xml:space="preserve">%), </w:t>
      </w:r>
      <w:r>
        <w:t>d</w:t>
      </w:r>
      <w:r w:rsidRPr="00AE5350">
        <w:t>odávka energií (3</w:t>
      </w:r>
      <w:r>
        <w:t xml:space="preserve"> </w:t>
      </w:r>
      <w:r w:rsidRPr="00AE5350">
        <w:t xml:space="preserve">%), </w:t>
      </w:r>
      <w:r>
        <w:t>i</w:t>
      </w:r>
      <w:r w:rsidRPr="00AE5350">
        <w:t>nformácie a komunikácia (2</w:t>
      </w:r>
      <w:r>
        <w:t xml:space="preserve"> </w:t>
      </w:r>
      <w:r w:rsidRPr="00AE5350">
        <w:t xml:space="preserve">%), </w:t>
      </w:r>
      <w:r>
        <w:t>d</w:t>
      </w:r>
      <w:r w:rsidRPr="00AE5350">
        <w:t>odávka vody, čistenie odpadových vôd (0</w:t>
      </w:r>
      <w:r>
        <w:t xml:space="preserve"> </w:t>
      </w:r>
      <w:r w:rsidRPr="00AE5350">
        <w:t>%)</w:t>
      </w:r>
      <w:r>
        <w:t>. (FR SR, 2017).</w:t>
      </w:r>
    </w:p>
  </w:footnote>
  <w:footnote w:id="9">
    <w:p w14:paraId="271CE587" w14:textId="77777777" w:rsidR="003F23CE" w:rsidRDefault="003F23CE" w:rsidP="00AB6CA8">
      <w:pPr>
        <w:pStyle w:val="Textpoznmkypodiarou"/>
      </w:pPr>
      <w:r>
        <w:rPr>
          <w:rStyle w:val="Odkaznapoznmkupodiarou"/>
        </w:rPr>
        <w:footnoteRef/>
      </w:r>
      <w:r>
        <w:t xml:space="preserve"> Programové vyhlásenie vlády Slovenskej republiky 2023 – 2027. [</w:t>
      </w:r>
      <w:hyperlink r:id="rId8" w:history="1">
        <w:r w:rsidRPr="007E001F">
          <w:rPr>
            <w:rStyle w:val="Hypertextovprepojenie"/>
            <w:sz w:val="16"/>
          </w:rPr>
          <w:t>online</w:t>
        </w:r>
      </w:hyperlink>
      <w:r>
        <w:t>].</w:t>
      </w:r>
    </w:p>
  </w:footnote>
  <w:footnote w:id="10">
    <w:p w14:paraId="0290193C" w14:textId="0F5847B3" w:rsidR="003F23CE" w:rsidRDefault="003F23CE">
      <w:pPr>
        <w:pStyle w:val="Textpoznmkypodiarou"/>
      </w:pPr>
      <w:r>
        <w:rPr>
          <w:rStyle w:val="Odkaznapoznmkupodiarou"/>
        </w:rPr>
        <w:footnoteRef/>
      </w:r>
      <w:r>
        <w:t xml:space="preserve"> Zdroj: Finstat.</w:t>
      </w:r>
    </w:p>
  </w:footnote>
  <w:footnote w:id="11">
    <w:p w14:paraId="678BB441" w14:textId="38B5150E" w:rsidR="003F23CE" w:rsidRPr="00D143AE" w:rsidRDefault="003F23CE" w:rsidP="002D2F4B">
      <w:pPr>
        <w:pStyle w:val="Textpoznmkypodiarou"/>
        <w:rPr>
          <w:szCs w:val="16"/>
        </w:rPr>
      </w:pPr>
      <w:r w:rsidRPr="00D143AE">
        <w:rPr>
          <w:rStyle w:val="Odkaznapoznmkupodiarou"/>
          <w:szCs w:val="16"/>
        </w:rPr>
        <w:footnoteRef/>
      </w:r>
      <w:r w:rsidRPr="00D143AE">
        <w:rPr>
          <w:szCs w:val="16"/>
        </w:rPr>
        <w:t xml:space="preserve"> Zákon o zdravotnom pois</w:t>
      </w:r>
      <w:r>
        <w:rPr>
          <w:szCs w:val="16"/>
        </w:rPr>
        <w:t>tení č. 580/2004 Z. z., § 38ezg.</w:t>
      </w:r>
      <w:r w:rsidRPr="00D143AE">
        <w:rPr>
          <w:szCs w:val="16"/>
        </w:rPr>
        <w:t xml:space="preserve"> [</w:t>
      </w:r>
      <w:hyperlink r:id="rId9" w:history="1">
        <w:r w:rsidRPr="00D143AE">
          <w:rPr>
            <w:rStyle w:val="Hypertextovprepojenie"/>
            <w:sz w:val="16"/>
            <w:szCs w:val="16"/>
          </w:rPr>
          <w:t>online</w:t>
        </w:r>
      </w:hyperlink>
      <w:r w:rsidRPr="00D143AE">
        <w:rPr>
          <w:szCs w:val="16"/>
        </w:rPr>
        <w:t>].</w:t>
      </w:r>
    </w:p>
  </w:footnote>
  <w:footnote w:id="12">
    <w:p w14:paraId="2A31F19F" w14:textId="77777777" w:rsidR="003F23CE" w:rsidRPr="00D143AE" w:rsidRDefault="003F23CE" w:rsidP="004D6BE5">
      <w:pPr>
        <w:pStyle w:val="Textpoznmkypodiarou"/>
        <w:rPr>
          <w:szCs w:val="16"/>
        </w:rPr>
      </w:pPr>
      <w:r w:rsidRPr="00D143AE">
        <w:rPr>
          <w:rStyle w:val="Odkaznapoznmkupodiarou"/>
          <w:szCs w:val="16"/>
        </w:rPr>
        <w:footnoteRef/>
      </w:r>
      <w:r w:rsidRPr="00D143AE">
        <w:rPr>
          <w:szCs w:val="16"/>
        </w:rPr>
        <w:t xml:space="preserve"> Do zdravotníctva dávame menej ako Česko. [</w:t>
      </w:r>
      <w:hyperlink r:id="rId10" w:history="1">
        <w:r w:rsidRPr="00D143AE">
          <w:rPr>
            <w:rStyle w:val="Hypertextovprepojenie"/>
            <w:sz w:val="16"/>
            <w:szCs w:val="16"/>
          </w:rPr>
          <w:t>online</w:t>
        </w:r>
      </w:hyperlink>
      <w:r w:rsidRPr="00D143AE">
        <w:rPr>
          <w:szCs w:val="16"/>
        </w:rPr>
        <w:t>].</w:t>
      </w:r>
    </w:p>
  </w:footnote>
  <w:footnote w:id="13">
    <w:p w14:paraId="6D58B90E" w14:textId="1BD087E4" w:rsidR="003F23CE" w:rsidRPr="00D143AE" w:rsidRDefault="003F23CE" w:rsidP="0012753F">
      <w:pPr>
        <w:pStyle w:val="Textpoznmkypodiarou"/>
        <w:rPr>
          <w:szCs w:val="16"/>
        </w:rPr>
      </w:pPr>
      <w:r w:rsidRPr="00D143AE">
        <w:rPr>
          <w:rStyle w:val="Odkaznapoznmkupodiarou"/>
          <w:szCs w:val="16"/>
        </w:rPr>
        <w:footnoteRef/>
      </w:r>
      <w:r w:rsidRPr="00D143AE">
        <w:rPr>
          <w:szCs w:val="16"/>
        </w:rPr>
        <w:t xml:space="preserve"> Vo výdavkoch na SD sú zarátané aj výdavky na 13. dôchodok pre poberateľov SD aj PSD</w:t>
      </w:r>
      <w:r>
        <w:rPr>
          <w:szCs w:val="16"/>
        </w:rPr>
        <w:t xml:space="preserve"> a nie sú tam pozostalostné dôchodky</w:t>
      </w:r>
      <w:r w:rsidRPr="00D143AE">
        <w:rPr>
          <w:szCs w:val="16"/>
        </w:rPr>
        <w:t>.</w:t>
      </w:r>
    </w:p>
  </w:footnote>
  <w:footnote w:id="14">
    <w:p w14:paraId="21C4255F" w14:textId="77777777" w:rsidR="003F23CE" w:rsidRDefault="003F23CE" w:rsidP="004C535B">
      <w:pPr>
        <w:pStyle w:val="Textpoznmkypodiarou"/>
      </w:pPr>
      <w:r>
        <w:rPr>
          <w:rStyle w:val="Odkaznapoznmkupodiarou"/>
        </w:rPr>
        <w:footnoteRef/>
      </w:r>
      <w:r>
        <w:t xml:space="preserve"> SP – Návrh rozpočtu Sociálnej poisťovne na rok 2025 a rozpočtový výhľad na roky 2026 a 2027. [</w:t>
      </w:r>
      <w:hyperlink r:id="rId11" w:history="1">
        <w:r w:rsidRPr="00CE621C">
          <w:rPr>
            <w:rStyle w:val="Hypertextovprepojenie"/>
            <w:sz w:val="16"/>
          </w:rPr>
          <w:t>online</w:t>
        </w:r>
      </w:hyperlink>
      <w:r>
        <w:t>].</w:t>
      </w:r>
    </w:p>
  </w:footnote>
  <w:footnote w:id="15">
    <w:p w14:paraId="385A3CD9" w14:textId="77777777" w:rsidR="003F23CE" w:rsidRPr="002F5079" w:rsidRDefault="003F23CE" w:rsidP="00330D39">
      <w:pPr>
        <w:pStyle w:val="Textpoznmkypodiarou"/>
        <w:rPr>
          <w:szCs w:val="16"/>
        </w:rPr>
      </w:pPr>
      <w:r w:rsidRPr="002F5079">
        <w:rPr>
          <w:rStyle w:val="Odkaznapoznmkupodiarou"/>
          <w:szCs w:val="16"/>
        </w:rPr>
        <w:footnoteRef/>
      </w:r>
      <w:r w:rsidRPr="002F5079">
        <w:rPr>
          <w:szCs w:val="16"/>
        </w:rPr>
        <w:t xml:space="preserve"> Vianočný príspevok dôchodcom, resp. 13. dôchodok sa do roku 2023 poskytoval z rozpočtu MPSVR SR, od roku 2024 sa poskytuje z rozpočtu SP. Jedinou výnimkou je 13. dôchodok pre poberateľov tzv. invalidného dôchodku z mladosti a sociálneho dôchodku, ktorý je súčasťou budúcoročného rozpočtu rezortu práce.</w:t>
      </w:r>
    </w:p>
    <w:p w14:paraId="78DD32FC" w14:textId="77777777" w:rsidR="003F23CE" w:rsidRDefault="003F23CE" w:rsidP="00330D39">
      <w:pPr>
        <w:pStyle w:val="Textpoznmkypodiarou"/>
      </w:pPr>
    </w:p>
  </w:footnote>
  <w:footnote w:id="16">
    <w:p w14:paraId="5D167415" w14:textId="38E365D6" w:rsidR="003F23CE" w:rsidRDefault="003F23CE" w:rsidP="00BF18F0">
      <w:pPr>
        <w:pStyle w:val="Textpoznmkypodiarou"/>
      </w:pPr>
      <w:r>
        <w:rPr>
          <w:rStyle w:val="Odkaznapoznmkupodiarou"/>
        </w:rPr>
        <w:footnoteRef/>
      </w:r>
      <w:r>
        <w:t xml:space="preserve"> </w:t>
      </w:r>
      <w:r w:rsidRPr="00AE7029">
        <w:t>Ostatné výdavky na podporu rodiny</w:t>
      </w:r>
      <w:r>
        <w:t>,</w:t>
      </w:r>
      <w:r w:rsidRPr="00AE7029">
        <w:t xml:space="preserve"> ako </w:t>
      </w:r>
      <w:r>
        <w:t xml:space="preserve">sú </w:t>
      </w:r>
      <w:r w:rsidRPr="00AE7029">
        <w:t>dotácia na podporu výchovy k stravovacím návykom dieťaťa (190 mil. eur), príspevok na starostlivosť o dieťa (0,5 mil. eur) a ostatné príspevky na podporu rodiny (51 mil. eur)</w:t>
      </w:r>
      <w:r>
        <w:t>,</w:t>
      </w:r>
      <w:r w:rsidRPr="00AE7029">
        <w:t xml:space="preserve"> tvoria zvyšných 13 %.</w:t>
      </w:r>
    </w:p>
  </w:footnote>
  <w:footnote w:id="17">
    <w:p w14:paraId="1B9C7FA6" w14:textId="77777777" w:rsidR="003F23CE" w:rsidRDefault="003F23CE" w:rsidP="00D91297">
      <w:pPr>
        <w:pStyle w:val="Textpoznmkypodiarou"/>
      </w:pPr>
      <w:r>
        <w:rPr>
          <w:rStyle w:val="Odkaznapoznmkupodiarou"/>
        </w:rPr>
        <w:footnoteRef/>
      </w:r>
      <w:r>
        <w:t xml:space="preserve"> Zníženie výdavkov na daňový bonus v roku 2025 je spôsobené dvoma faktormi.</w:t>
      </w:r>
      <w:r w:rsidRPr="00B73C34">
        <w:t xml:space="preserve"> </w:t>
      </w:r>
      <w:r>
        <w:t xml:space="preserve">1. </w:t>
      </w:r>
      <w:r w:rsidRPr="00B73C34">
        <w:t>prechodným ustanovením k úpravám účinným od 1.</w:t>
      </w:r>
      <w:r>
        <w:t xml:space="preserve"> </w:t>
      </w:r>
      <w:r w:rsidRPr="00B73C34">
        <w:t>1.</w:t>
      </w:r>
      <w:r>
        <w:t xml:space="preserve"> </w:t>
      </w:r>
      <w:r w:rsidRPr="00B73C34">
        <w:t>2023 zákona č. 595/2003 Z.</w:t>
      </w:r>
      <w:r>
        <w:t xml:space="preserve"> </w:t>
      </w:r>
      <w:r w:rsidRPr="00B73C34">
        <w:t>z. o dani z príjmov (§ 52zzp), na základe ktorého sa pre zdaňovacie obdobie rokov 2023 a 2024 dočasne zvýšil daňový bonus, ktoré však prestáva platiť od januára 2025 (daňový bonus sa zníži zo sumy 140 eur/mesiac na 100 eur/mesiac pre deti vo veku do 15 rokov a na 50 eur/mesiac pre deti od 15 do 18 rokov, pričom na dieťa od 18 rokov sa neposkytuje vôbec) a</w:t>
      </w:r>
      <w:r>
        <w:t xml:space="preserve"> 2. </w:t>
      </w:r>
      <w:r w:rsidRPr="00B73C34">
        <w:t>konsolidáciou verejných financií, t.</w:t>
      </w:r>
      <w:r>
        <w:t xml:space="preserve"> </w:t>
      </w:r>
      <w:r w:rsidRPr="00B73C34">
        <w:t>j. krátením jeho výšky</w:t>
      </w:r>
      <w:r>
        <w:t xml:space="preserve"> pre daňovníkov s vyššími príjmami.</w:t>
      </w:r>
    </w:p>
  </w:footnote>
  <w:footnote w:id="18">
    <w:p w14:paraId="485F638A" w14:textId="77777777" w:rsidR="003F23CE" w:rsidRPr="002F5079" w:rsidRDefault="003F23CE" w:rsidP="00330D39">
      <w:pPr>
        <w:pStyle w:val="Textpoznmkypodiarou"/>
      </w:pPr>
      <w:r w:rsidRPr="002F5079">
        <w:rPr>
          <w:rStyle w:val="Odkaznapoznmkupodiarou"/>
        </w:rPr>
        <w:footnoteRef/>
      </w:r>
      <w:r w:rsidRPr="002F5079">
        <w:t xml:space="preserve"> Eurostat. Miera zamestnanosti. </w:t>
      </w:r>
      <w:hyperlink r:id="rId12" w:history="1">
        <w:r w:rsidRPr="002F5079">
          <w:rPr>
            <w:rStyle w:val="Hypertextovprepojenie"/>
            <w:color w:val="auto"/>
            <w:sz w:val="16"/>
          </w:rPr>
          <w:t>[online]</w:t>
        </w:r>
      </w:hyperlink>
      <w:r>
        <w:rPr>
          <w:rStyle w:val="Hypertextovprepojenie"/>
          <w:color w:val="auto"/>
          <w:sz w:val="16"/>
        </w:rPr>
        <w:t>.</w:t>
      </w:r>
    </w:p>
  </w:footnote>
  <w:footnote w:id="19">
    <w:p w14:paraId="0E7A72B0" w14:textId="77777777" w:rsidR="003F23CE" w:rsidRPr="002F5079" w:rsidRDefault="003F23CE" w:rsidP="00330D39">
      <w:pPr>
        <w:pStyle w:val="Textpoznmkypodiarou"/>
      </w:pPr>
      <w:r w:rsidRPr="002F5079">
        <w:rPr>
          <w:rStyle w:val="Odkaznapoznmkupodiarou"/>
        </w:rPr>
        <w:footnoteRef/>
      </w:r>
      <w:r w:rsidRPr="002F5079">
        <w:t xml:space="preserve"> ŠÚ SR. Miera evidovanej nezamestnanosti. </w:t>
      </w:r>
      <w:hyperlink r:id="rId13" w:anchor="!/view/sk/VBD_SK_WIN/pr3108rr/v_pr3108rr_00_00_00_sk" w:history="1">
        <w:r w:rsidRPr="002F5079">
          <w:rPr>
            <w:rStyle w:val="Hypertextovprepojenie"/>
            <w:color w:val="auto"/>
            <w:sz w:val="16"/>
          </w:rPr>
          <w:t>[online]</w:t>
        </w:r>
      </w:hyperlink>
      <w:r>
        <w:rPr>
          <w:rStyle w:val="Hypertextovprepojenie"/>
          <w:color w:val="auto"/>
          <w:sz w:val="16"/>
        </w:rPr>
        <w:t>.</w:t>
      </w:r>
    </w:p>
  </w:footnote>
  <w:footnote w:id="20">
    <w:p w14:paraId="0A8E7D58" w14:textId="77777777" w:rsidR="003F23CE" w:rsidRPr="002F5079" w:rsidRDefault="003F23CE" w:rsidP="00330D39">
      <w:pPr>
        <w:pStyle w:val="Textpoznmkypodiarou"/>
      </w:pPr>
      <w:r w:rsidRPr="002F5079">
        <w:rPr>
          <w:rStyle w:val="Odkaznapoznmkupodiarou"/>
        </w:rPr>
        <w:footnoteRef/>
      </w:r>
      <w:r w:rsidRPr="002F5079">
        <w:t xml:space="preserve"> ŠÚ SR. EU SILC 2023. </w:t>
      </w:r>
      <w:hyperlink r:id="rId14" w:history="1">
        <w:r w:rsidRPr="002F5079">
          <w:rPr>
            <w:rStyle w:val="Hypertextovprepojenie"/>
            <w:color w:val="auto"/>
            <w:sz w:val="16"/>
          </w:rPr>
          <w:t>[online]</w:t>
        </w:r>
      </w:hyperlink>
      <w:r w:rsidRPr="002F5079">
        <w:t>.</w:t>
      </w:r>
    </w:p>
  </w:footnote>
  <w:footnote w:id="21">
    <w:p w14:paraId="5F804777" w14:textId="77777777" w:rsidR="003F23CE" w:rsidRPr="002F5079" w:rsidRDefault="003F23CE" w:rsidP="00A424C8">
      <w:pPr>
        <w:pStyle w:val="Textpoznmkypodiarou"/>
      </w:pPr>
      <w:r w:rsidRPr="002F5079">
        <w:rPr>
          <w:rStyle w:val="Odkaznapoznmkupodiarou"/>
        </w:rPr>
        <w:footnoteRef/>
      </w:r>
      <w:r w:rsidRPr="002F5079">
        <w:t xml:space="preserve"> Národný program reforiem Slovenskej republiky 2024. Výsledkové indikátory pre trh práce a sociálne vec. </w:t>
      </w:r>
      <w:hyperlink r:id="rId15" w:history="1">
        <w:r w:rsidRPr="002F5079">
          <w:rPr>
            <w:rStyle w:val="Hypertextovprepojenie"/>
            <w:color w:val="auto"/>
            <w:sz w:val="16"/>
          </w:rPr>
          <w:t>[online]</w:t>
        </w:r>
      </w:hyperlink>
      <w:r>
        <w:rPr>
          <w:rStyle w:val="Hypertextovprepojenie"/>
          <w:color w:val="auto"/>
          <w:sz w:val="16"/>
        </w:rPr>
        <w:t>.</w:t>
      </w:r>
    </w:p>
  </w:footnote>
  <w:footnote w:id="22">
    <w:p w14:paraId="42C40233" w14:textId="30A9C184" w:rsidR="003F23CE" w:rsidRDefault="003F23CE" w:rsidP="00BF12C9">
      <w:pPr>
        <w:pStyle w:val="Textpoznmkypodiarou"/>
      </w:pPr>
      <w:r>
        <w:rPr>
          <w:rStyle w:val="Odkaznapoznmkupodiarou"/>
        </w:rPr>
        <w:footnoteRef/>
      </w:r>
      <w:r>
        <w:t xml:space="preserve"> </w:t>
      </w:r>
      <w:r w:rsidRPr="0046326D">
        <w:t>O</w:t>
      </w:r>
      <w:r>
        <w:t>S</w:t>
      </w:r>
      <w:r w:rsidRPr="0046326D">
        <w:t xml:space="preserve"> 2024 v prevažnej miere zohľadňuje dosiahnutú skutočnosť za 1. polrok 2024</w:t>
      </w:r>
      <w:r>
        <w:t xml:space="preserve"> a </w:t>
      </w:r>
      <w:r w:rsidRPr="0046326D">
        <w:t>nezahŕňa dočasne neobsadené miesta, napríklad z dôvodu výberových konaní alebo odchodu na materskú dovolenku.</w:t>
      </w:r>
    </w:p>
  </w:footnote>
  <w:footnote w:id="23">
    <w:p w14:paraId="749524CF" w14:textId="13AF71B0" w:rsidR="003F23CE" w:rsidRDefault="003F23CE" w:rsidP="00BF12C9">
      <w:pPr>
        <w:pStyle w:val="Textpoznmkypodiarou"/>
      </w:pPr>
      <w:r>
        <w:rPr>
          <w:rStyle w:val="Odkaznapoznmkupodiarou"/>
        </w:rPr>
        <w:footnoteRef/>
      </w:r>
      <w:r>
        <w:t xml:space="preserve"> K</w:t>
      </w:r>
      <w:r w:rsidRPr="00CB53DE">
        <w:t>onsolidačným opatrením bol o 10 % znížený rozpočtovaný počet miest štátnych zamestnancov a zamestnancov vo verejnom záujme štátnych rozpočtových a príspevkových organizácií po zohľadnení výnimiek</w:t>
      </w:r>
      <w:r>
        <w:t>.</w:t>
      </w:r>
    </w:p>
  </w:footnote>
  <w:footnote w:id="24">
    <w:p w14:paraId="18B20194" w14:textId="77777777" w:rsidR="003F23CE" w:rsidRDefault="003F23CE" w:rsidP="00BF12C9">
      <w:pPr>
        <w:pStyle w:val="Textpoznmkypodiarou"/>
      </w:pPr>
      <w:r>
        <w:rPr>
          <w:rStyle w:val="Odkaznapoznmkupodiarou"/>
        </w:rPr>
        <w:footnoteRef/>
      </w:r>
      <w:r>
        <w:t xml:space="preserve"> </w:t>
      </w:r>
      <w:r w:rsidRPr="00AF498F">
        <w:t>Rast mzdových výdavkov bol ovplyvnený hlavne prirodzeným rastom miezd v nadväznosti na rast minimálnej mzdy, infláciu, respektíve v nadväznosti na závery z kolektívnych vyjednávaní vyššieho stupňa.</w:t>
      </w:r>
    </w:p>
  </w:footnote>
  <w:footnote w:id="25">
    <w:p w14:paraId="7FF33F49" w14:textId="77777777" w:rsidR="003F23CE" w:rsidRDefault="003F23CE" w:rsidP="00BF12C9">
      <w:pPr>
        <w:pStyle w:val="Textpoznmkypodiarou"/>
      </w:pPr>
      <w:r>
        <w:rPr>
          <w:rStyle w:val="Odkaznapoznmkupodiarou"/>
        </w:rPr>
        <w:footnoteRef/>
      </w:r>
      <w:r>
        <w:t xml:space="preserve"> </w:t>
      </w:r>
      <w:r w:rsidRPr="00D43117">
        <w:t xml:space="preserve">Nižší počet zamestnancov verejného sektora v SR v medzinárodnom porovnaní je možné čiastočne vysvetliť rozsahom služieb, ktoré sa štát rozhodne poskytnúť pre svojich občanov </w:t>
      </w:r>
      <w:r>
        <w:t xml:space="preserve">– </w:t>
      </w:r>
      <w:r w:rsidRPr="00D43117">
        <w:t xml:space="preserve">mierne nižšia zamestnanosť vo verejnom sektore na Slovensku pravdepodobne súvisí s nadpriemernou mierou dodávateľského zabezpečenia niektorých verejných statkov (napr. zdravotníctva, dopravy či výstavby). </w:t>
      </w:r>
      <w:r>
        <w:t>Zdroj: ÚHP – Výdavkové priority pre úspešné Slovensko. Revízia výdavkov verejnej správy. [</w:t>
      </w:r>
      <w:hyperlink r:id="rId16" w:history="1">
        <w:r w:rsidRPr="001B1C25">
          <w:rPr>
            <w:rStyle w:val="Hypertextovprepojenie"/>
            <w:sz w:val="16"/>
          </w:rPr>
          <w:t>online</w:t>
        </w:r>
      </w:hyperlink>
      <w:r>
        <w:t>].</w:t>
      </w:r>
    </w:p>
  </w:footnote>
  <w:footnote w:id="26">
    <w:p w14:paraId="359EF069" w14:textId="77777777" w:rsidR="003F23CE" w:rsidRDefault="003F23CE" w:rsidP="005A2EF4">
      <w:pPr>
        <w:pStyle w:val="Textpoznmkypodiarou"/>
      </w:pPr>
      <w:r>
        <w:rPr>
          <w:rStyle w:val="Odkaznapoznmkupodiarou"/>
        </w:rPr>
        <w:footnoteRef/>
      </w:r>
      <w:r>
        <w:t xml:space="preserve"> N</w:t>
      </w:r>
      <w:r w:rsidRPr="00F67D4E">
        <w:t xml:space="preserve">ominálny </w:t>
      </w:r>
      <w:r>
        <w:t>limit</w:t>
      </w:r>
      <w:r w:rsidRPr="00F67D4E">
        <w:t xml:space="preserve"> na rok 2024 vychádzal z odporúčania Rady EÚ pre Slovensko v oblasti fiškálnej politiky na rok 2024 (z júla 2023), v</w:t>
      </w:r>
      <w:r>
        <w:t> podobe</w:t>
      </w:r>
      <w:r w:rsidRPr="00F67D4E">
        <w:t xml:space="preserve"> medziročného rastu čistých výdavkov na úrovni 5,7</w:t>
      </w:r>
      <w:r>
        <w:t xml:space="preserve"> % a výpočet sa oproti ďalším rokom líšil najmä v zarátaní spolufinancovania (box 3). </w:t>
      </w:r>
    </w:p>
  </w:footnote>
  <w:footnote w:id="27">
    <w:p w14:paraId="2EEBE74C" w14:textId="77777777" w:rsidR="003F23CE" w:rsidRDefault="003F23CE" w:rsidP="00AF0505">
      <w:pPr>
        <w:pStyle w:val="Textpoznmkypodiarou"/>
      </w:pPr>
      <w:r>
        <w:rPr>
          <w:rStyle w:val="Odkaznapoznmkupodiarou"/>
        </w:rPr>
        <w:footnoteRef/>
      </w:r>
      <w:r>
        <w:t xml:space="preserve"> RRZ – Hodnotenie rozpočtu verejnej správy na roky 2025 až 2027. [</w:t>
      </w:r>
      <w:hyperlink r:id="rId17" w:history="1">
        <w:r w:rsidRPr="000974DC">
          <w:rPr>
            <w:rStyle w:val="Hypertextovprepojenie"/>
            <w:sz w:val="16"/>
          </w:rPr>
          <w:t>online</w:t>
        </w:r>
      </w:hyperlink>
      <w:r>
        <w:t>].</w:t>
      </w:r>
    </w:p>
  </w:footnote>
  <w:footnote w:id="28">
    <w:p w14:paraId="3945289A" w14:textId="77777777" w:rsidR="003F23CE" w:rsidRDefault="003F23CE" w:rsidP="00A923B2">
      <w:pPr>
        <w:pStyle w:val="Textpoznmkypodiarou"/>
      </w:pPr>
      <w:r>
        <w:rPr>
          <w:rStyle w:val="Odkaznapoznmkupodiarou"/>
        </w:rPr>
        <w:footnoteRef/>
      </w:r>
      <w:r>
        <w:t xml:space="preserve"> ŠÚ SR – Deficit a dlh verejných financií SR za rok 2023 – spresnený. [</w:t>
      </w:r>
      <w:hyperlink r:id="rId18" w:history="1">
        <w:r w:rsidRPr="005E63CB">
          <w:rPr>
            <w:rStyle w:val="Hypertextovprepojenie"/>
            <w:sz w:val="16"/>
          </w:rPr>
          <w:t>online</w:t>
        </w:r>
      </w:hyperlink>
      <w:r>
        <w:t>].</w:t>
      </w:r>
    </w:p>
  </w:footnote>
  <w:footnote w:id="29">
    <w:p w14:paraId="2D336CB8" w14:textId="77777777" w:rsidR="003F23CE" w:rsidRDefault="003F23CE" w:rsidP="00A923B2">
      <w:pPr>
        <w:pStyle w:val="Textpoznmkypodiarou"/>
      </w:pPr>
      <w:r>
        <w:rPr>
          <w:rStyle w:val="Odkaznapoznmkupodiarou"/>
        </w:rPr>
        <w:footnoteRef/>
      </w:r>
      <w:r>
        <w:t xml:space="preserve"> Podľa európskeho nariadenia bola podmienka nastavená pre podniky s činnosťami v odvetviach ropy, zemného plynu, uhlia a rafinérií, ktoré vytvárajú aspoň 75 % svojho obratu z hospodárskej činnosti v oblasti ťažby, dobývania, rafinácie ropy alebo výroby koksárenských produktov.</w:t>
      </w:r>
    </w:p>
  </w:footnote>
  <w:footnote w:id="30">
    <w:p w14:paraId="2C1E6236" w14:textId="77777777" w:rsidR="003F23CE" w:rsidRPr="00E43C88" w:rsidRDefault="003F23CE" w:rsidP="00966EF9">
      <w:pPr>
        <w:pStyle w:val="Textpoznmkypodiarou"/>
        <w:rPr>
          <w:rFonts w:cs="Segoe UI"/>
          <w:szCs w:val="16"/>
        </w:rPr>
      </w:pPr>
      <w:r w:rsidRPr="00E43C88">
        <w:rPr>
          <w:rStyle w:val="Odkaznapoznmkupodiarou"/>
          <w:szCs w:val="16"/>
        </w:rPr>
        <w:footnoteRef/>
      </w:r>
      <w:r w:rsidRPr="00E43C88">
        <w:rPr>
          <w:szCs w:val="16"/>
        </w:rPr>
        <w:t xml:space="preserve"> </w:t>
      </w:r>
      <w:r w:rsidRPr="00E43C88">
        <w:rPr>
          <w:rFonts w:cs="Segoe UI"/>
          <w:szCs w:val="16"/>
        </w:rPr>
        <w:t xml:space="preserve">ARDAL – Agentúra pre riadenie dlhu a likvidity sa dohodla s bankami na distribúcii dlhopisov pre ľudí. </w:t>
      </w:r>
      <w:hyperlink r:id="rId19" w:history="1">
        <w:r w:rsidRPr="00E43C88">
          <w:rPr>
            <w:rStyle w:val="Hypertextovprepojenie"/>
            <w:rFonts w:cs="Segoe UI"/>
            <w:sz w:val="16"/>
            <w:szCs w:val="16"/>
          </w:rPr>
          <w:t>[online].</w:t>
        </w:r>
      </w:hyperlink>
    </w:p>
  </w:footnote>
  <w:footnote w:id="31">
    <w:p w14:paraId="24AA8158" w14:textId="77777777" w:rsidR="003F23CE" w:rsidRPr="00E43C88" w:rsidRDefault="003F23CE" w:rsidP="00966EF9">
      <w:pPr>
        <w:pStyle w:val="Textpoznmkypodiarou"/>
        <w:rPr>
          <w:rFonts w:cs="Segoe UI"/>
          <w:szCs w:val="16"/>
        </w:rPr>
      </w:pPr>
      <w:r w:rsidRPr="00E43C88">
        <w:rPr>
          <w:rStyle w:val="Odkaznapoznmkupodiarou"/>
          <w:rFonts w:cs="Segoe UI"/>
          <w:szCs w:val="16"/>
        </w:rPr>
        <w:footnoteRef/>
      </w:r>
      <w:r w:rsidRPr="00E43C88">
        <w:rPr>
          <w:rFonts w:cs="Segoe UI"/>
          <w:szCs w:val="16"/>
        </w:rPr>
        <w:t xml:space="preserve"> Konkrétne podmienky budú spresnené pred predajom.</w:t>
      </w:r>
    </w:p>
  </w:footnote>
  <w:footnote w:id="32">
    <w:p w14:paraId="3C30CAA3" w14:textId="77777777" w:rsidR="003F23CE" w:rsidRPr="00E43C88" w:rsidRDefault="003F23CE" w:rsidP="00966EF9">
      <w:pPr>
        <w:pStyle w:val="Textpoznmkypodiarou"/>
        <w:rPr>
          <w:rFonts w:cs="Segoe UI"/>
          <w:szCs w:val="16"/>
        </w:rPr>
      </w:pPr>
      <w:r w:rsidRPr="00E43C88">
        <w:rPr>
          <w:rStyle w:val="Odkaznapoznmkupodiarou"/>
          <w:rFonts w:cs="Segoe UI"/>
          <w:szCs w:val="16"/>
        </w:rPr>
        <w:footnoteRef/>
      </w:r>
      <w:r w:rsidRPr="00E43C88">
        <w:rPr>
          <w:rFonts w:cs="Segoe UI"/>
          <w:szCs w:val="16"/>
        </w:rPr>
        <w:t xml:space="preserve"> MF SR – Štátne dlhopisy pre občanov od budúceho roka. </w:t>
      </w:r>
      <w:hyperlink r:id="rId20" w:history="1">
        <w:r w:rsidRPr="00E43C88">
          <w:rPr>
            <w:rStyle w:val="Hypertextovprepojenie"/>
            <w:rFonts w:cs="Segoe UI"/>
            <w:sz w:val="16"/>
            <w:szCs w:val="16"/>
          </w:rPr>
          <w:t>[online].</w:t>
        </w:r>
      </w:hyperlink>
    </w:p>
  </w:footnote>
  <w:footnote w:id="33">
    <w:p w14:paraId="01576E68" w14:textId="77777777" w:rsidR="003F23CE" w:rsidRPr="0093035B" w:rsidRDefault="003F23CE" w:rsidP="00695476">
      <w:pPr>
        <w:pStyle w:val="Textpoznmkypodiarou"/>
        <w:rPr>
          <w:rFonts w:cs="Segoe UI"/>
          <w:szCs w:val="16"/>
        </w:rPr>
      </w:pPr>
      <w:r w:rsidRPr="00F850E2">
        <w:rPr>
          <w:rStyle w:val="Odkaznapoznmkupodiarou"/>
          <w:rFonts w:cs="Segoe UI"/>
          <w:szCs w:val="16"/>
        </w:rPr>
        <w:footnoteRef/>
      </w:r>
      <w:r w:rsidRPr="00F850E2">
        <w:rPr>
          <w:rFonts w:cs="Segoe UI"/>
          <w:szCs w:val="16"/>
        </w:rPr>
        <w:t xml:space="preserve"> </w:t>
      </w:r>
      <w:r w:rsidRPr="0093035B">
        <w:rPr>
          <w:rFonts w:cs="Segoe UI"/>
          <w:szCs w:val="16"/>
        </w:rPr>
        <w:t>Na základe stavu čerpania k 30. 9. 2024 je, za účelom vyhnutia sa prepadu časti alokácie ku konc</w:t>
      </w:r>
      <w:r>
        <w:rPr>
          <w:rFonts w:cs="Segoe UI"/>
          <w:szCs w:val="16"/>
        </w:rPr>
        <w:t>u</w:t>
      </w:r>
      <w:r w:rsidRPr="0093035B">
        <w:rPr>
          <w:rFonts w:cs="Segoe UI"/>
          <w:szCs w:val="16"/>
        </w:rPr>
        <w:t xml:space="preserve"> roka 2025, potrebné na úrovni platobného orgánu (MF SR) schváliť oprávnené výdavky vo výške najmenej 1,42 mld. eur (z toho za Program Slovensko 1,41 </w:t>
      </w:r>
      <w:r>
        <w:rPr>
          <w:rFonts w:cs="Segoe UI"/>
          <w:szCs w:val="16"/>
        </w:rPr>
        <w:t> </w:t>
      </w:r>
      <w:r w:rsidRPr="0093035B">
        <w:rPr>
          <w:rFonts w:cs="Segoe UI"/>
          <w:szCs w:val="16"/>
        </w:rPr>
        <w:t>mld. eur, za Interreg SK-CZ 5,2 mil. eur a za Interreg SK-AT 3,4 mil. eur) a následne do 31. 12. 2025 deklarovať na EK výdavky vo výške prvého finančného míľnika</w:t>
      </w:r>
      <w:r>
        <w:rPr>
          <w:rFonts w:cs="Segoe UI"/>
          <w:szCs w:val="16"/>
        </w:rPr>
        <w:t>. [</w:t>
      </w:r>
      <w:hyperlink r:id="rId21" w:history="1">
        <w:r w:rsidRPr="0093035B">
          <w:rPr>
            <w:rStyle w:val="Hypertextovprepojenie"/>
            <w:rFonts w:cs="Segoe UI"/>
            <w:sz w:val="16"/>
            <w:szCs w:val="16"/>
          </w:rPr>
          <w:t>online</w:t>
        </w:r>
      </w:hyperlink>
      <w:r>
        <w:rPr>
          <w:rFonts w:cs="Segoe UI"/>
          <w:szCs w:val="16"/>
        </w:rPr>
        <w:t>]</w:t>
      </w:r>
      <w:r w:rsidRPr="0093035B">
        <w:rPr>
          <w:rFonts w:cs="Segoe UI"/>
          <w:szCs w:val="16"/>
        </w:rPr>
        <w:t xml:space="preserve">. </w:t>
      </w:r>
    </w:p>
  </w:footnote>
  <w:footnote w:id="34">
    <w:p w14:paraId="41B76D8B" w14:textId="77777777" w:rsidR="003F23CE" w:rsidRDefault="003F23CE" w:rsidP="008C6D0D">
      <w:pPr>
        <w:pStyle w:val="Textpoznmkypodiarou"/>
      </w:pPr>
      <w:r>
        <w:rPr>
          <w:rStyle w:val="Odkaznapoznmkupodiarou"/>
        </w:rPr>
        <w:footnoteRef/>
      </w:r>
      <w:r>
        <w:t xml:space="preserve"> </w:t>
      </w:r>
      <w:r w:rsidRPr="00C15DBB">
        <w:t>Výdavky kapitol sú rozpočtované na základe odhadov rezortov, so zohľadnením nepoužitých prostriedkov z predchádzajúcich rokov v rámci štrukturálnych fondov PO 2021 – 2027 a za oblasť poľnohospodárskych fondov v rámci Strategického plánu spoločnej poľnohospodárskej politiky PO 2023 – 2027.</w:t>
      </w:r>
    </w:p>
  </w:footnote>
  <w:footnote w:id="35">
    <w:p w14:paraId="34F24ADC" w14:textId="34C6F47C" w:rsidR="003F23CE" w:rsidRPr="0093035B" w:rsidRDefault="003F23CE" w:rsidP="008C6D0D">
      <w:pPr>
        <w:pStyle w:val="Textpoznmkypodiarou"/>
        <w:rPr>
          <w:rFonts w:cs="Segoe UI"/>
          <w:szCs w:val="16"/>
        </w:rPr>
      </w:pPr>
      <w:r w:rsidRPr="0093035B">
        <w:rPr>
          <w:rStyle w:val="Odkaznapoznmkupodiarou"/>
          <w:rFonts w:cs="Segoe UI"/>
          <w:szCs w:val="16"/>
        </w:rPr>
        <w:footnoteRef/>
      </w:r>
      <w:r w:rsidRPr="0093035B">
        <w:rPr>
          <w:rFonts w:cs="Segoe UI"/>
          <w:szCs w:val="16"/>
        </w:rPr>
        <w:t xml:space="preserve"> PO 2021 – 2027: MD SR, MŠVV</w:t>
      </w:r>
      <w:r>
        <w:rPr>
          <w:rFonts w:cs="Segoe UI"/>
          <w:szCs w:val="16"/>
        </w:rPr>
        <w:t>aM</w:t>
      </w:r>
      <w:r w:rsidRPr="0093035B">
        <w:rPr>
          <w:rFonts w:cs="Segoe UI"/>
          <w:szCs w:val="16"/>
        </w:rPr>
        <w:t xml:space="preserve"> SR, MIRRI</w:t>
      </w:r>
      <w:r>
        <w:rPr>
          <w:rFonts w:cs="Segoe UI"/>
          <w:szCs w:val="16"/>
        </w:rPr>
        <w:t xml:space="preserve"> SR</w:t>
      </w:r>
      <w:r w:rsidRPr="0093035B">
        <w:rPr>
          <w:rFonts w:cs="Segoe UI"/>
          <w:szCs w:val="16"/>
        </w:rPr>
        <w:t>, MPSVR SR, MŽP SR, MH SR, MV SR a</w:t>
      </w:r>
      <w:r w:rsidRPr="00EF32DC">
        <w:t xml:space="preserve"> </w:t>
      </w:r>
      <w:r w:rsidRPr="00EF32DC">
        <w:rPr>
          <w:rFonts w:cs="Segoe UI"/>
          <w:szCs w:val="16"/>
        </w:rPr>
        <w:t>Strategický plán Spoločnej poľnohospodárskej politiky</w:t>
      </w:r>
      <w:r w:rsidRPr="0093035B">
        <w:rPr>
          <w:rFonts w:cs="Segoe UI"/>
          <w:szCs w:val="16"/>
        </w:rPr>
        <w:t>  2023 - 2027: MPRV SR.</w:t>
      </w:r>
    </w:p>
  </w:footnote>
  <w:footnote w:id="36">
    <w:p w14:paraId="0EDA925E" w14:textId="77777777" w:rsidR="003F23CE" w:rsidRPr="0093035B" w:rsidRDefault="003F23CE" w:rsidP="004B7A63">
      <w:pPr>
        <w:pStyle w:val="Textpoznmkypodiarou"/>
        <w:rPr>
          <w:rFonts w:cs="Segoe UI"/>
          <w:szCs w:val="16"/>
        </w:rPr>
      </w:pPr>
      <w:r w:rsidRPr="0093035B">
        <w:rPr>
          <w:rStyle w:val="Odkaznapoznmkupodiarou"/>
          <w:rFonts w:cs="Segoe UI"/>
          <w:szCs w:val="16"/>
        </w:rPr>
        <w:footnoteRef/>
      </w:r>
      <w:r w:rsidRPr="0093035B">
        <w:rPr>
          <w:rFonts w:cs="Segoe UI"/>
          <w:szCs w:val="16"/>
        </w:rPr>
        <w:t xml:space="preserve"> </w:t>
      </w:r>
      <w:r>
        <w:rPr>
          <w:rFonts w:cs="Segoe UI"/>
          <w:szCs w:val="16"/>
        </w:rPr>
        <w:t>Z</w:t>
      </w:r>
      <w:r w:rsidRPr="0093035B">
        <w:rPr>
          <w:rFonts w:cs="Segoe UI"/>
          <w:szCs w:val="16"/>
        </w:rPr>
        <w:t> toho na poľnohospodárske fondy v sume 137,7 mil. eur a na štrukturálne fondy vo výške 310,2 mil. eur.</w:t>
      </w:r>
    </w:p>
  </w:footnote>
  <w:footnote w:id="37">
    <w:p w14:paraId="6CD07E42" w14:textId="31ADCEBC" w:rsidR="003F23CE" w:rsidRPr="0093035B" w:rsidRDefault="003F23CE" w:rsidP="008C6D0D">
      <w:pPr>
        <w:pStyle w:val="Textpoznmkypodiarou"/>
        <w:rPr>
          <w:rFonts w:cs="Segoe UI"/>
          <w:szCs w:val="16"/>
        </w:rPr>
      </w:pPr>
      <w:r w:rsidRPr="0093035B">
        <w:rPr>
          <w:rStyle w:val="Odkaznapoznmkupodiarou"/>
          <w:rFonts w:cs="Segoe UI"/>
          <w:szCs w:val="16"/>
        </w:rPr>
        <w:footnoteRef/>
      </w:r>
      <w:r>
        <w:rPr>
          <w:rFonts w:cs="Segoe UI"/>
          <w:szCs w:val="16"/>
        </w:rPr>
        <w:t xml:space="preserve"> Prostriedky EÚ</w:t>
      </w:r>
      <w:r w:rsidRPr="0093035B">
        <w:rPr>
          <w:rFonts w:cs="Segoe UI"/>
          <w:szCs w:val="16"/>
        </w:rPr>
        <w:t xml:space="preserve"> prijaté na samostatný účet NIKA prevádza NIKA na príjmový účet kapitoly VPS</w:t>
      </w:r>
      <w:r>
        <w:rPr>
          <w:rFonts w:cs="Segoe UI"/>
          <w:szCs w:val="16"/>
        </w:rPr>
        <w:t>, čím sa zaradia do príjmov ŠR. [</w:t>
      </w:r>
      <w:hyperlink r:id="rId22" w:history="1">
        <w:r w:rsidRPr="0087188A">
          <w:rPr>
            <w:rStyle w:val="Hypertextovprepojenie"/>
            <w:rFonts w:cs="Segoe UI"/>
            <w:sz w:val="16"/>
            <w:szCs w:val="16"/>
          </w:rPr>
          <w:t>online</w:t>
        </w:r>
      </w:hyperlink>
      <w:r>
        <w:rPr>
          <w:rStyle w:val="Hypertextovprepojenie"/>
          <w:rFonts w:cs="Segoe UI"/>
          <w:color w:val="auto"/>
          <w:sz w:val="16"/>
          <w:szCs w:val="16"/>
        </w:rPr>
        <w:t>]</w:t>
      </w:r>
      <w:r w:rsidRPr="0093035B">
        <w:rPr>
          <w:rFonts w:cs="Segoe UI"/>
          <w:szCs w:val="16"/>
        </w:rPr>
        <w:t>.</w:t>
      </w:r>
    </w:p>
  </w:footnote>
  <w:footnote w:id="38">
    <w:p w14:paraId="158889D0" w14:textId="09C06094" w:rsidR="003F23CE" w:rsidRPr="0093035B" w:rsidRDefault="003F23CE" w:rsidP="008C6D0D">
      <w:pPr>
        <w:pStyle w:val="Textpoznmkypodiarou"/>
        <w:rPr>
          <w:rFonts w:cs="Segoe UI"/>
          <w:szCs w:val="16"/>
        </w:rPr>
      </w:pPr>
      <w:r w:rsidRPr="0093035B">
        <w:rPr>
          <w:rStyle w:val="Odkaznapoznmkupodiarou"/>
          <w:rFonts w:cs="Segoe UI"/>
          <w:szCs w:val="16"/>
        </w:rPr>
        <w:footnoteRef/>
      </w:r>
      <w:r w:rsidRPr="0093035B">
        <w:rPr>
          <w:rFonts w:cs="Segoe UI"/>
          <w:szCs w:val="16"/>
        </w:rPr>
        <w:t xml:space="preserve"> MIRRI</w:t>
      </w:r>
      <w:r>
        <w:rPr>
          <w:rFonts w:cs="Segoe UI"/>
          <w:szCs w:val="16"/>
        </w:rPr>
        <w:t xml:space="preserve"> SR</w:t>
      </w:r>
      <w:r w:rsidRPr="0093035B">
        <w:rPr>
          <w:rFonts w:cs="Segoe UI"/>
          <w:szCs w:val="16"/>
        </w:rPr>
        <w:t>, MV SR, MS SR, MF SR, MŽP SR, MŠVV</w:t>
      </w:r>
      <w:r>
        <w:rPr>
          <w:rFonts w:cs="Segoe UI"/>
          <w:szCs w:val="16"/>
        </w:rPr>
        <w:t>aM</w:t>
      </w:r>
      <w:r w:rsidRPr="0093035B">
        <w:rPr>
          <w:rFonts w:cs="Segoe UI"/>
          <w:szCs w:val="16"/>
        </w:rPr>
        <w:t xml:space="preserve"> SR, MZ SR, MPSVR SR, MH SR, MD SR, ÚVO a</w:t>
      </w:r>
      <w:r>
        <w:rPr>
          <w:rFonts w:cs="Segoe UI"/>
          <w:szCs w:val="16"/>
        </w:rPr>
        <w:t> </w:t>
      </w:r>
      <w:r w:rsidRPr="0093035B">
        <w:rPr>
          <w:rFonts w:cs="Segoe UI"/>
          <w:szCs w:val="16"/>
        </w:rPr>
        <w:t>NIKA</w:t>
      </w:r>
      <w:r>
        <w:rPr>
          <w:rFonts w:cs="Segoe UI"/>
          <w:szCs w:val="16"/>
        </w:rPr>
        <w:t>.</w:t>
      </w:r>
    </w:p>
  </w:footnote>
  <w:footnote w:id="39">
    <w:p w14:paraId="6AC76802" w14:textId="77777777" w:rsidR="003F23CE" w:rsidRPr="00DC1557" w:rsidRDefault="003F23CE" w:rsidP="00BE3D51">
      <w:pPr>
        <w:pStyle w:val="Textpoznmkypodiarou"/>
        <w:rPr>
          <w:rFonts w:cs="Segoe UI"/>
          <w:szCs w:val="16"/>
        </w:rPr>
      </w:pPr>
      <w:r w:rsidRPr="00DC1557">
        <w:rPr>
          <w:rStyle w:val="Odkaznapoznmkupodiarou"/>
          <w:rFonts w:cs="Segoe UI"/>
          <w:szCs w:val="16"/>
        </w:rPr>
        <w:footnoteRef/>
      </w:r>
      <w:r w:rsidRPr="00DC1557">
        <w:rPr>
          <w:rFonts w:cs="Segoe UI"/>
          <w:szCs w:val="16"/>
        </w:rPr>
        <w:t xml:space="preserve"> Ide o schválené výdavky prijímateľov v rámci súhrnnej žiadosti o platbu na úrovni certifikačného orgánu (MF SR).</w:t>
      </w:r>
    </w:p>
  </w:footnote>
  <w:footnote w:id="40">
    <w:p w14:paraId="7EEE0A96" w14:textId="77777777" w:rsidR="003F23CE" w:rsidRPr="00962D29" w:rsidRDefault="003F23CE" w:rsidP="00BE3D51">
      <w:pPr>
        <w:pStyle w:val="Textpoznmkypodiarou"/>
        <w:rPr>
          <w:rFonts w:cs="Segoe UI"/>
          <w:sz w:val="18"/>
          <w:szCs w:val="18"/>
        </w:rPr>
      </w:pPr>
      <w:r w:rsidRPr="00DC1557">
        <w:rPr>
          <w:rStyle w:val="Odkaznapoznmkupodiarou"/>
          <w:rFonts w:cs="Segoe UI"/>
          <w:szCs w:val="16"/>
        </w:rPr>
        <w:footnoteRef/>
      </w:r>
      <w:r w:rsidRPr="00DC1557">
        <w:rPr>
          <w:rFonts w:cs="Segoe UI"/>
          <w:szCs w:val="16"/>
        </w:rPr>
        <w:t xml:space="preserve"> Za 9 operačných programov (OP II, OP KŽP, OP EVS, OP ĽZ, OP TP, IROP, OP RH, PS INTERACT III a Program Interreg V-A SK-CZ) už boli schválené všetky realizované výdavky, ktoré si prijímatelia nárokovali z NFP. V prípade Interreg SK-AT budú ešte v októbri 2024 predložené posledné výdavky zo strany prijímateľov, ktoré v prípade schválenia budú navyšovať čerpanie za program.</w:t>
      </w:r>
    </w:p>
  </w:footnote>
  <w:footnote w:id="41">
    <w:p w14:paraId="17FC4108" w14:textId="1DC17556" w:rsidR="003F23CE" w:rsidRDefault="003F23CE">
      <w:pPr>
        <w:pStyle w:val="Textpoznmkypodiarou"/>
      </w:pPr>
      <w:r>
        <w:rPr>
          <w:rStyle w:val="Odkaznapoznmkupodiarou"/>
        </w:rPr>
        <w:footnoteRef/>
      </w:r>
      <w:r>
        <w:t xml:space="preserve"> </w:t>
      </w:r>
      <w:r w:rsidRPr="00DC0EAE">
        <w:t>EK uhradí výdavky len do 100 % alokácie za zdroj EÚ, určenej vo finančnom pláne každého OP. Schvaľovanie výdavkov nad 100 % alokácie a ich deklarovanie na EK v rámci posledného účtovného roku vytvára rezervu pre prípadné nahradenie identifikovaných neoprávnených výdavkov, a to s cieľom absorbovania maximálneho objemu prostriedkov EÚ.</w:t>
      </w:r>
    </w:p>
  </w:footnote>
  <w:footnote w:id="42">
    <w:p w14:paraId="0D19120F" w14:textId="1D10096C" w:rsidR="003F23CE" w:rsidRPr="00015A0C" w:rsidRDefault="003F23CE" w:rsidP="00BE3D51">
      <w:pPr>
        <w:pStyle w:val="Textpoznmkypodiarou"/>
        <w:rPr>
          <w:rFonts w:cs="Segoe UI"/>
          <w:szCs w:val="16"/>
        </w:rPr>
      </w:pPr>
      <w:r w:rsidRPr="00015A0C">
        <w:rPr>
          <w:rStyle w:val="Odkaznapoznmkupodiarou"/>
          <w:rFonts w:cs="Segoe UI"/>
          <w:szCs w:val="16"/>
        </w:rPr>
        <w:footnoteRef/>
      </w:r>
      <w:r>
        <w:rPr>
          <w:rFonts w:cs="Segoe UI"/>
          <w:szCs w:val="16"/>
        </w:rPr>
        <w:t xml:space="preserve"> Z</w:t>
      </w:r>
      <w:r w:rsidRPr="00015A0C">
        <w:rPr>
          <w:rFonts w:cs="Segoe UI"/>
          <w:szCs w:val="16"/>
        </w:rPr>
        <w:t> toho 3,85 mil. eur za posledný ročný záväzok nie je zatiaľ potvrdených zo strany EK.</w:t>
      </w:r>
      <w:r w:rsidRPr="00DC0EAE">
        <w:t xml:space="preserve"> </w:t>
      </w:r>
      <w:r w:rsidRPr="00DC0EAE">
        <w:rPr>
          <w:rFonts w:cs="Segoe UI"/>
          <w:szCs w:val="16"/>
        </w:rPr>
        <w:t>Dekomitment znamená zníženie alokácie na príslušnom OP o sumu nevyčerpaného ročného záväzku.</w:t>
      </w:r>
    </w:p>
  </w:footnote>
  <w:footnote w:id="43">
    <w:p w14:paraId="4ADEBEF3" w14:textId="3762439C" w:rsidR="003F23CE" w:rsidRPr="00162C00" w:rsidRDefault="003F23CE" w:rsidP="00162C00">
      <w:pPr>
        <w:pStyle w:val="Textpoznmkypodiarou"/>
      </w:pPr>
      <w:r w:rsidRPr="00162C00">
        <w:rPr>
          <w:rStyle w:val="Odkaznapoznmkupodiarou"/>
        </w:rPr>
        <w:footnoteRef/>
      </w:r>
      <w:r w:rsidRPr="00162C00">
        <w:t xml:space="preserve"> </w:t>
      </w:r>
      <w:r>
        <w:t>Z</w:t>
      </w:r>
      <w:r w:rsidRPr="00162C00">
        <w:t>vyšná suma 372,8 mil. eur (nad rámec de</w:t>
      </w:r>
      <w:r>
        <w:t>ko</w:t>
      </w:r>
      <w:r w:rsidRPr="00162C00">
        <w:t>mitmentu</w:t>
      </w:r>
      <w:r>
        <w:t xml:space="preserve"> vo výške</w:t>
      </w:r>
      <w:r w:rsidRPr="00162C00">
        <w:t xml:space="preserve"> 108,4 mil. eur) bola </w:t>
      </w:r>
      <w:r>
        <w:t xml:space="preserve">v rámci zlúčeného OP II </w:t>
      </w:r>
      <w:r w:rsidRPr="00162C00">
        <w:t xml:space="preserve">presunutá na financovanie riešenia dopadov krízy v </w:t>
      </w:r>
      <w:r>
        <w:t> </w:t>
      </w:r>
      <w:r w:rsidRPr="00162C00">
        <w:t xml:space="preserve">súvislosti s vojnou na Ukrajine (FAST CARE) a na kompenzovanie zvýšených nákladov na dodávku plynu, prípadne elektriny predovšetkým pre zraniteľné domácnosti </w:t>
      </w:r>
      <w:r>
        <w:t>(</w:t>
      </w:r>
      <w:r w:rsidRPr="00162C00">
        <w:t>SAFE</w:t>
      </w:r>
      <w:r>
        <w:t>)</w:t>
      </w:r>
      <w:r w:rsidRPr="00162C00">
        <w:t>.</w:t>
      </w:r>
    </w:p>
  </w:footnote>
  <w:footnote w:id="44">
    <w:p w14:paraId="5E503B81" w14:textId="77777777" w:rsidR="003F23CE" w:rsidRDefault="003F23CE" w:rsidP="00162C00">
      <w:pPr>
        <w:pStyle w:val="Textpoznmkypodiarou"/>
      </w:pPr>
      <w:r w:rsidRPr="00162C00">
        <w:rPr>
          <w:rStyle w:val="Odkaznapoznmkupodiarou"/>
        </w:rPr>
        <w:footnoteRef/>
      </w:r>
      <w:r w:rsidRPr="00162C00">
        <w:t xml:space="preserve"> Pôvodná alokácia na oblasť výskumu a inovácii v rámci OP Výskum a inovácie predstavovala 2,3 mld. eur.</w:t>
      </w:r>
    </w:p>
  </w:footnote>
  <w:footnote w:id="45">
    <w:p w14:paraId="1D810B68" w14:textId="77777777" w:rsidR="003F23CE" w:rsidRPr="006910F0" w:rsidRDefault="003F23CE" w:rsidP="00E460B8">
      <w:pPr>
        <w:pStyle w:val="Textpoznmkypodiarou"/>
        <w:rPr>
          <w:rFonts w:cs="Segoe UI"/>
        </w:rPr>
      </w:pPr>
      <w:r w:rsidRPr="006910F0">
        <w:rPr>
          <w:rStyle w:val="Odkaznapoznmkupodiarou"/>
          <w:rFonts w:cs="Segoe UI"/>
        </w:rPr>
        <w:footnoteRef/>
      </w:r>
      <w:r w:rsidRPr="006910F0">
        <w:rPr>
          <w:rFonts w:cs="Segoe UI"/>
        </w:rPr>
        <w:t xml:space="preserve"> Implementácia EPFRV podľa krajín </w:t>
      </w:r>
      <w:r>
        <w:rPr>
          <w:rFonts w:cs="Segoe UI"/>
          <w:lang w:val="en-US"/>
        </w:rPr>
        <w:t>[</w:t>
      </w:r>
      <w:hyperlink r:id="rId23" w:anchor="finance-implementation" w:history="1">
        <w:r w:rsidRPr="006910F0">
          <w:rPr>
            <w:rStyle w:val="Hypertextovprepojenie"/>
            <w:rFonts w:cs="Segoe UI"/>
            <w:sz w:val="16"/>
          </w:rPr>
          <w:t>online</w:t>
        </w:r>
      </w:hyperlink>
      <w:r>
        <w:rPr>
          <w:rStyle w:val="Hypertextovprepojenie"/>
          <w:rFonts w:cs="Segoe UI"/>
          <w:sz w:val="16"/>
        </w:rPr>
        <w:t>]</w:t>
      </w:r>
      <w:r w:rsidRPr="006910F0">
        <w:rPr>
          <w:rStyle w:val="Hypertextovprepojenie"/>
          <w:rFonts w:cs="Segoe UI"/>
          <w:sz w:val="16"/>
        </w:rPr>
        <w:t>.</w:t>
      </w:r>
      <w:r w:rsidRPr="006910F0">
        <w:rPr>
          <w:rStyle w:val="Hypertextovprepojenie"/>
          <w:rFonts w:cs="Segoe UI"/>
          <w:sz w:val="16"/>
          <w:u w:val="none"/>
        </w:rPr>
        <w:t xml:space="preserve"> </w:t>
      </w:r>
    </w:p>
  </w:footnote>
  <w:footnote w:id="46">
    <w:p w14:paraId="23BA3266" w14:textId="77777777" w:rsidR="003F23CE" w:rsidRPr="006910F0" w:rsidRDefault="003F23CE" w:rsidP="00004331">
      <w:pPr>
        <w:pStyle w:val="Textpoznmkypodiarou"/>
        <w:rPr>
          <w:rFonts w:cs="Segoe UI"/>
        </w:rPr>
      </w:pPr>
      <w:r w:rsidRPr="006910F0">
        <w:rPr>
          <w:rStyle w:val="Odkaznapoznmkupodiarou"/>
          <w:rFonts w:cs="Segoe UI"/>
        </w:rPr>
        <w:footnoteRef/>
      </w:r>
      <w:r w:rsidRPr="006910F0">
        <w:rPr>
          <w:rFonts w:cs="Segoe UI"/>
        </w:rPr>
        <w:t xml:space="preserve"> </w:t>
      </w:r>
      <w:r>
        <w:rPr>
          <w:rFonts w:cs="Segoe UI"/>
        </w:rPr>
        <w:t>CO</w:t>
      </w:r>
      <w:r w:rsidRPr="006910F0">
        <w:rPr>
          <w:rFonts w:cs="Segoe UI"/>
        </w:rPr>
        <w:t xml:space="preserve"> (MF SR) v zmysle dohodnutých lehôt bude predkladať Účty za posledný účtovný rok na EK v roku 2025, počnúc od februára. Výnimkou sú OP II a Interreg V-A SK-AT, ktorých lehota predloženia bola stanovená na február 2026.</w:t>
      </w:r>
      <w:r>
        <w:rPr>
          <w:rFonts w:cs="Segoe UI"/>
        </w:rPr>
        <w:t xml:space="preserve"> EK preskúma a schváli Účty v lehote v zmysle čl. 84 Nariadenia EP a </w:t>
      </w:r>
      <w:r w:rsidRPr="00496D87">
        <w:rPr>
          <w:rFonts w:cs="Segoe UI"/>
        </w:rPr>
        <w:t>R</w:t>
      </w:r>
      <w:r>
        <w:rPr>
          <w:rFonts w:cs="Segoe UI"/>
        </w:rPr>
        <w:t>ady</w:t>
      </w:r>
      <w:r w:rsidRPr="00496D87">
        <w:rPr>
          <w:rFonts w:cs="Segoe UI"/>
        </w:rPr>
        <w:t xml:space="preserve"> (EÚ) č. 1303/2013</w:t>
      </w:r>
      <w:r>
        <w:rPr>
          <w:rFonts w:cs="Segoe UI"/>
        </w:rPr>
        <w:t>.</w:t>
      </w:r>
    </w:p>
  </w:footnote>
  <w:footnote w:id="47">
    <w:p w14:paraId="61B533D2" w14:textId="06ABBFC1" w:rsidR="003F23CE" w:rsidRPr="006910F0" w:rsidRDefault="003F23CE" w:rsidP="00BE3D51">
      <w:pPr>
        <w:pStyle w:val="Textpoznmkypodiarou"/>
        <w:rPr>
          <w:rFonts w:cs="Segoe UI"/>
        </w:rPr>
      </w:pPr>
      <w:r w:rsidRPr="006910F0">
        <w:rPr>
          <w:rStyle w:val="Odkaznapoznmkupodiarou"/>
          <w:rFonts w:cs="Segoe UI"/>
        </w:rPr>
        <w:footnoteRef/>
      </w:r>
      <w:r w:rsidRPr="006910F0">
        <w:rPr>
          <w:rFonts w:cs="Segoe UI"/>
        </w:rPr>
        <w:t xml:space="preserve"> Kumulatívne čerpanie k 23. 6. 2024 je vo výške 1 445,7 mil. eur</w:t>
      </w:r>
      <w:r>
        <w:rPr>
          <w:rFonts w:cs="Segoe UI"/>
        </w:rPr>
        <w:t>.</w:t>
      </w:r>
      <w:r w:rsidRPr="006910F0">
        <w:rPr>
          <w:rFonts w:cs="Segoe UI"/>
        </w:rPr>
        <w:t xml:space="preserve"> </w:t>
      </w:r>
      <w:r>
        <w:rPr>
          <w:rFonts w:cs="Segoe UI"/>
        </w:rPr>
        <w:t>[</w:t>
      </w:r>
      <w:hyperlink r:id="rId24" w:history="1">
        <w:r w:rsidRPr="006910F0">
          <w:rPr>
            <w:rStyle w:val="Hypertextovprepojenie"/>
            <w:rFonts w:cs="Segoe UI"/>
            <w:sz w:val="16"/>
          </w:rPr>
          <w:t>online</w:t>
        </w:r>
      </w:hyperlink>
      <w:r>
        <w:rPr>
          <w:rFonts w:cs="Segoe UI"/>
        </w:rPr>
        <w:t>]</w:t>
      </w:r>
      <w:r w:rsidRPr="006910F0">
        <w:rPr>
          <w:rFonts w:cs="Segoe UI"/>
        </w:rPr>
        <w:t>.</w:t>
      </w:r>
    </w:p>
  </w:footnote>
  <w:footnote w:id="48">
    <w:p w14:paraId="7F91F872" w14:textId="08200E7B" w:rsidR="003F23CE" w:rsidRPr="007C0EB6" w:rsidRDefault="003F23CE" w:rsidP="00BE3D51">
      <w:pPr>
        <w:pStyle w:val="Textpoznmkypodiarou"/>
        <w:rPr>
          <w:rFonts w:cs="Segoe UI"/>
        </w:rPr>
      </w:pPr>
      <w:r w:rsidRPr="007C0EB6">
        <w:rPr>
          <w:rStyle w:val="Odkaznapoznmkupodiarou"/>
          <w:rFonts w:cs="Segoe UI"/>
        </w:rPr>
        <w:footnoteRef/>
      </w:r>
      <w:r w:rsidRPr="007C0EB6">
        <w:rPr>
          <w:rFonts w:cs="Segoe UI"/>
        </w:rPr>
        <w:t xml:space="preserve"> Predĺžením PO o </w:t>
      </w:r>
      <w:r>
        <w:rPr>
          <w:rFonts w:cs="Segoe UI"/>
        </w:rPr>
        <w:t>dva</w:t>
      </w:r>
      <w:r w:rsidRPr="007C0EB6">
        <w:rPr>
          <w:rFonts w:cs="Segoe UI"/>
        </w:rPr>
        <w:t xml:space="preserve"> roky boli pridelené dodatočné prostriedky EPFRV pôvodne určené pre Strategický plán SPP 2021 – 2027 na roky 2021 a 2022 vo výške 553,2 mil. eur. Súčasne so zriadeným nástrojom EÚ na obnovu po kríze COVID – 19 (Next Generation EÚ) koncom roku 2020, boli v zmysle </w:t>
      </w:r>
      <w:r w:rsidRPr="007C0EB6">
        <w:t>nariadenia Rady (EÚ) 2020/2094</w:t>
      </w:r>
      <w:r w:rsidRPr="007C0EB6">
        <w:rPr>
          <w:rFonts w:cs="Segoe UI"/>
        </w:rPr>
        <w:t xml:space="preserve"> na roky 2021 a 2022 pridelené ďalšie zdroje vo výške spolu 163,2 mil. eur (čl. 59 ods. 4 písm. ea nariadenia  (EÚ) č. 1305/2013). [</w:t>
      </w:r>
      <w:hyperlink r:id="rId25" w:history="1">
        <w:r w:rsidRPr="007C0EB6">
          <w:rPr>
            <w:rStyle w:val="Hypertextovprepojenie"/>
            <w:rFonts w:cs="Segoe UI"/>
            <w:sz w:val="16"/>
          </w:rPr>
          <w:t>online</w:t>
        </w:r>
      </w:hyperlink>
      <w:r w:rsidRPr="007C0EB6">
        <w:rPr>
          <w:rFonts w:cs="Segoe UI"/>
        </w:rPr>
        <w:t>].</w:t>
      </w:r>
    </w:p>
  </w:footnote>
  <w:footnote w:id="49">
    <w:p w14:paraId="1DF5229B" w14:textId="77777777" w:rsidR="003F23CE" w:rsidRPr="006910F0" w:rsidRDefault="003F23CE" w:rsidP="00BE3D51">
      <w:pPr>
        <w:pStyle w:val="Textpoznmkypodiarou"/>
        <w:rPr>
          <w:rFonts w:cs="Segoe UI"/>
        </w:rPr>
      </w:pPr>
      <w:r w:rsidRPr="007C0EB6">
        <w:rPr>
          <w:rStyle w:val="Odkaznapoznmkupodiarou"/>
          <w:rFonts w:cs="Segoe UI"/>
        </w:rPr>
        <w:footnoteRef/>
      </w:r>
      <w:r w:rsidRPr="007C0EB6">
        <w:rPr>
          <w:rFonts w:cs="Segoe UI"/>
        </w:rPr>
        <w:t xml:space="preserve"> Informácia k Akčnému plánu opatrení s cieľom zabezpečiť vyčerpanie finančných prostriedkov z PRV 2014 – 2022. [</w:t>
      </w:r>
      <w:hyperlink r:id="rId26" w:history="1">
        <w:r w:rsidRPr="007C0EB6">
          <w:rPr>
            <w:rStyle w:val="Hypertextovprepojenie"/>
            <w:rFonts w:cs="Segoe UI"/>
            <w:sz w:val="16"/>
          </w:rPr>
          <w:t>online</w:t>
        </w:r>
      </w:hyperlink>
      <w:r w:rsidRPr="007C0EB6">
        <w:rPr>
          <w:rStyle w:val="Hypertextovprepojenie"/>
          <w:rFonts w:cs="Segoe UI"/>
          <w:sz w:val="16"/>
        </w:rPr>
        <w:t>]</w:t>
      </w:r>
      <w:r w:rsidRPr="007C0EB6">
        <w:rPr>
          <w:rFonts w:cs="Segoe UI"/>
        </w:rPr>
        <w:t>.</w:t>
      </w:r>
    </w:p>
  </w:footnote>
  <w:footnote w:id="50">
    <w:p w14:paraId="603D4B14" w14:textId="77777777" w:rsidR="003F23CE" w:rsidRPr="006910F0" w:rsidRDefault="003F23CE" w:rsidP="00BE3D51">
      <w:pPr>
        <w:pStyle w:val="Textpoznmkypodiarou"/>
        <w:rPr>
          <w:rFonts w:cs="Segoe UI"/>
          <w:szCs w:val="16"/>
        </w:rPr>
      </w:pPr>
      <w:r w:rsidRPr="006910F0">
        <w:rPr>
          <w:rStyle w:val="Odkaznapoznmkupodiarou"/>
          <w:rFonts w:cs="Segoe UI"/>
          <w:szCs w:val="16"/>
        </w:rPr>
        <w:footnoteRef/>
      </w:r>
      <w:r w:rsidRPr="006910F0">
        <w:rPr>
          <w:rFonts w:cs="Segoe UI"/>
          <w:szCs w:val="16"/>
        </w:rPr>
        <w:t xml:space="preserve"> Čerpanie ŠF a KF k 30. 9. 2024</w:t>
      </w:r>
      <w:r>
        <w:rPr>
          <w:rFonts w:cs="Segoe UI"/>
          <w:szCs w:val="16"/>
        </w:rPr>
        <w:t>.</w:t>
      </w:r>
      <w:r w:rsidRPr="006910F0">
        <w:rPr>
          <w:rFonts w:cs="Segoe UI"/>
          <w:szCs w:val="16"/>
        </w:rPr>
        <w:t xml:space="preserve"> </w:t>
      </w:r>
      <w:r>
        <w:rPr>
          <w:rFonts w:cs="Segoe UI"/>
          <w:szCs w:val="16"/>
        </w:rPr>
        <w:t>[</w:t>
      </w:r>
      <w:hyperlink r:id="rId27" w:history="1">
        <w:r w:rsidRPr="006910F0">
          <w:rPr>
            <w:rStyle w:val="Hypertextovprepojenie"/>
            <w:rFonts w:cs="Segoe UI"/>
            <w:sz w:val="16"/>
            <w:szCs w:val="16"/>
          </w:rPr>
          <w:t>online</w:t>
        </w:r>
      </w:hyperlink>
      <w:r>
        <w:rPr>
          <w:rFonts w:cs="Segoe UI"/>
          <w:szCs w:val="16"/>
        </w:rPr>
        <w:t>]</w:t>
      </w:r>
      <w:r w:rsidRPr="006910F0">
        <w:rPr>
          <w:rFonts w:cs="Segoe UI"/>
          <w:szCs w:val="16"/>
        </w:rPr>
        <w:t>.</w:t>
      </w:r>
    </w:p>
  </w:footnote>
  <w:footnote w:id="51">
    <w:p w14:paraId="140281E2" w14:textId="77777777" w:rsidR="003F23CE" w:rsidRPr="0087188A" w:rsidRDefault="003F23CE" w:rsidP="00BE3D51">
      <w:pPr>
        <w:pStyle w:val="Textpoznmkypodiarou"/>
        <w:rPr>
          <w:rFonts w:cs="Segoe UI"/>
          <w:szCs w:val="16"/>
        </w:rPr>
      </w:pPr>
      <w:r w:rsidRPr="008A128F">
        <w:rPr>
          <w:rStyle w:val="Odkaznapoznmkupodiarou"/>
          <w:rFonts w:cs="Segoe UI"/>
          <w:szCs w:val="16"/>
        </w:rPr>
        <w:footnoteRef/>
      </w:r>
      <w:r w:rsidRPr="008A128F">
        <w:rPr>
          <w:rFonts w:cs="Segoe UI"/>
          <w:szCs w:val="16"/>
        </w:rPr>
        <w:t xml:space="preserve"> Informácia o implementácii Programu Slovensko k 30. 9.2024 </w:t>
      </w:r>
      <w:r>
        <w:rPr>
          <w:rFonts w:cs="Segoe UI"/>
          <w:szCs w:val="16"/>
        </w:rPr>
        <w:t>[</w:t>
      </w:r>
      <w:hyperlink r:id="rId28" w:history="1">
        <w:r w:rsidRPr="008A128F">
          <w:rPr>
            <w:rStyle w:val="Hypertextovprepojenie"/>
            <w:rFonts w:cs="Segoe UI"/>
            <w:sz w:val="16"/>
            <w:szCs w:val="16"/>
          </w:rPr>
          <w:t>online</w:t>
        </w:r>
      </w:hyperlink>
      <w:r>
        <w:rPr>
          <w:rFonts w:cs="Segoe UI"/>
          <w:szCs w:val="16"/>
        </w:rPr>
        <w:t>]</w:t>
      </w:r>
      <w:r w:rsidRPr="008A128F">
        <w:rPr>
          <w:rFonts w:cs="Segoe UI"/>
          <w:szCs w:val="16"/>
        </w:rPr>
        <w:t>.</w:t>
      </w:r>
    </w:p>
  </w:footnote>
  <w:footnote w:id="52">
    <w:p w14:paraId="29DD13FD" w14:textId="77777777" w:rsidR="003F23CE" w:rsidRPr="0087188A" w:rsidRDefault="003F23CE" w:rsidP="00E447B7">
      <w:pPr>
        <w:pStyle w:val="Textpoznmkypodiarou"/>
        <w:rPr>
          <w:rFonts w:cs="Segoe UI"/>
          <w:szCs w:val="16"/>
        </w:rPr>
      </w:pPr>
      <w:r w:rsidRPr="0087188A">
        <w:rPr>
          <w:rStyle w:val="Odkaznapoznmkupodiarou"/>
          <w:rFonts w:cs="Segoe UI"/>
          <w:szCs w:val="16"/>
        </w:rPr>
        <w:footnoteRef/>
      </w:r>
      <w:r w:rsidRPr="008443E7">
        <w:rPr>
          <w:rFonts w:cs="Segoe UI"/>
          <w:szCs w:val="16"/>
        </w:rPr>
        <w:t xml:space="preserve"> </w:t>
      </w:r>
      <w:r w:rsidRPr="0087188A">
        <w:rPr>
          <w:rFonts w:cs="Segoe UI"/>
          <w:szCs w:val="16"/>
        </w:rPr>
        <w:t>Prvý finančný míľnik v zmysle pravidla n+3 bol v prípade EŠIF 2014 – 2020 na úrovni 4,7 % z celkovej alokácie, pričom v prípade PSK 2021 – 2027 je to 12,2 % z</w:t>
      </w:r>
      <w:r>
        <w:rPr>
          <w:rFonts w:cs="Segoe UI"/>
          <w:szCs w:val="16"/>
        </w:rPr>
        <w:t xml:space="preserve"> celkovej </w:t>
      </w:r>
      <w:r w:rsidRPr="0087188A">
        <w:rPr>
          <w:rFonts w:cs="Segoe UI"/>
          <w:szCs w:val="16"/>
        </w:rPr>
        <w:t>alokácie.</w:t>
      </w:r>
    </w:p>
  </w:footnote>
  <w:footnote w:id="53">
    <w:p w14:paraId="21548BCE" w14:textId="77777777" w:rsidR="003F23CE" w:rsidRDefault="003F23CE" w:rsidP="00E447B7">
      <w:pPr>
        <w:pStyle w:val="Textpoznmkypodiarou"/>
      </w:pPr>
      <w:r>
        <w:rPr>
          <w:rStyle w:val="Odkaznapoznmkupodiarou"/>
        </w:rPr>
        <w:footnoteRef/>
      </w:r>
      <w:r>
        <w:t xml:space="preserve"> V PO 2021 – 2027 </w:t>
      </w:r>
      <w:r w:rsidRPr="008A128F">
        <w:rPr>
          <w:rFonts w:cs="Segoe UI"/>
          <w:szCs w:val="16"/>
        </w:rPr>
        <w:t>P</w:t>
      </w:r>
      <w:r>
        <w:rPr>
          <w:rFonts w:cs="Segoe UI"/>
          <w:szCs w:val="16"/>
        </w:rPr>
        <w:t>SK</w:t>
      </w:r>
      <w:r w:rsidRPr="008A128F">
        <w:rPr>
          <w:rFonts w:cs="Segoe UI"/>
          <w:szCs w:val="16"/>
        </w:rPr>
        <w:t xml:space="preserve"> nahradil </w:t>
      </w:r>
      <w:r>
        <w:rPr>
          <w:rFonts w:cs="Segoe UI"/>
          <w:szCs w:val="16"/>
        </w:rPr>
        <w:t>šesť</w:t>
      </w:r>
      <w:r w:rsidRPr="008A128F">
        <w:rPr>
          <w:rFonts w:cs="Segoe UI"/>
          <w:szCs w:val="16"/>
        </w:rPr>
        <w:t xml:space="preserve"> OP z PO 2014 – 2020 pre cieľ Investovanie do rastu a zamestnanosti: OP Integrovan</w:t>
      </w:r>
      <w:r>
        <w:rPr>
          <w:rFonts w:cs="Segoe UI"/>
          <w:szCs w:val="16"/>
        </w:rPr>
        <w:t>ú</w:t>
      </w:r>
      <w:r w:rsidRPr="008A128F">
        <w:rPr>
          <w:rFonts w:cs="Segoe UI"/>
          <w:szCs w:val="16"/>
        </w:rPr>
        <w:t xml:space="preserve"> infraštruktúr</w:t>
      </w:r>
      <w:r>
        <w:rPr>
          <w:rFonts w:cs="Segoe UI"/>
          <w:szCs w:val="16"/>
        </w:rPr>
        <w:t>u</w:t>
      </w:r>
      <w:r w:rsidRPr="008A128F">
        <w:rPr>
          <w:rFonts w:cs="Segoe UI"/>
          <w:szCs w:val="16"/>
        </w:rPr>
        <w:t xml:space="preserve"> (vrátane</w:t>
      </w:r>
      <w:r>
        <w:rPr>
          <w:rFonts w:cs="Segoe UI"/>
          <w:szCs w:val="16"/>
        </w:rPr>
        <w:t xml:space="preserve"> OP</w:t>
      </w:r>
      <w:r w:rsidRPr="008A128F">
        <w:rPr>
          <w:rFonts w:cs="Segoe UI"/>
          <w:szCs w:val="16"/>
        </w:rPr>
        <w:t xml:space="preserve"> Výskum a</w:t>
      </w:r>
      <w:r>
        <w:rPr>
          <w:rFonts w:cs="Segoe UI"/>
          <w:szCs w:val="16"/>
        </w:rPr>
        <w:t> </w:t>
      </w:r>
      <w:r w:rsidRPr="008A128F">
        <w:rPr>
          <w:rFonts w:cs="Segoe UI"/>
          <w:szCs w:val="16"/>
        </w:rPr>
        <w:t>inovácie</w:t>
      </w:r>
      <w:r>
        <w:rPr>
          <w:rFonts w:cs="Segoe UI"/>
          <w:szCs w:val="16"/>
        </w:rPr>
        <w:t>)</w:t>
      </w:r>
      <w:r w:rsidRPr="008A128F">
        <w:rPr>
          <w:rFonts w:cs="Segoe UI"/>
          <w:szCs w:val="16"/>
        </w:rPr>
        <w:t xml:space="preserve">, </w:t>
      </w:r>
      <w:r>
        <w:rPr>
          <w:rFonts w:cs="Segoe UI"/>
          <w:szCs w:val="16"/>
        </w:rPr>
        <w:t xml:space="preserve">OP </w:t>
      </w:r>
      <w:r w:rsidRPr="008A128F">
        <w:rPr>
          <w:rFonts w:cs="Segoe UI"/>
          <w:szCs w:val="16"/>
        </w:rPr>
        <w:t xml:space="preserve">Ľudské zdroje, </w:t>
      </w:r>
      <w:r>
        <w:rPr>
          <w:rFonts w:cs="Segoe UI"/>
          <w:szCs w:val="16"/>
        </w:rPr>
        <w:t>OP Kvalitu životného prostredia</w:t>
      </w:r>
      <w:r w:rsidRPr="008A128F">
        <w:rPr>
          <w:rFonts w:cs="Segoe UI"/>
          <w:szCs w:val="16"/>
        </w:rPr>
        <w:t>, I</w:t>
      </w:r>
      <w:r>
        <w:rPr>
          <w:rFonts w:cs="Segoe UI"/>
          <w:szCs w:val="16"/>
        </w:rPr>
        <w:t>ntegrovaný regionálny OP</w:t>
      </w:r>
      <w:r w:rsidRPr="008A128F">
        <w:rPr>
          <w:rFonts w:cs="Segoe UI"/>
          <w:szCs w:val="16"/>
        </w:rPr>
        <w:t>, Efektívn</w:t>
      </w:r>
      <w:r>
        <w:rPr>
          <w:rFonts w:cs="Segoe UI"/>
          <w:szCs w:val="16"/>
        </w:rPr>
        <w:t>u</w:t>
      </w:r>
      <w:r w:rsidRPr="008A128F">
        <w:rPr>
          <w:rFonts w:cs="Segoe UI"/>
          <w:szCs w:val="16"/>
        </w:rPr>
        <w:t xml:space="preserve"> verejn</w:t>
      </w:r>
      <w:r>
        <w:rPr>
          <w:rFonts w:cs="Segoe UI"/>
          <w:szCs w:val="16"/>
        </w:rPr>
        <w:t>ú</w:t>
      </w:r>
      <w:r w:rsidRPr="008A128F">
        <w:rPr>
          <w:rFonts w:cs="Segoe UI"/>
          <w:szCs w:val="16"/>
        </w:rPr>
        <w:t xml:space="preserve"> správ</w:t>
      </w:r>
      <w:r>
        <w:rPr>
          <w:rFonts w:cs="Segoe UI"/>
          <w:szCs w:val="16"/>
        </w:rPr>
        <w:t>u</w:t>
      </w:r>
      <w:r w:rsidRPr="008A128F">
        <w:rPr>
          <w:rFonts w:cs="Segoe UI"/>
          <w:szCs w:val="16"/>
        </w:rPr>
        <w:t xml:space="preserve"> a Technick</w:t>
      </w:r>
      <w:r>
        <w:rPr>
          <w:rFonts w:cs="Segoe UI"/>
          <w:szCs w:val="16"/>
        </w:rPr>
        <w:t>ú</w:t>
      </w:r>
      <w:r w:rsidRPr="008A128F">
        <w:rPr>
          <w:rFonts w:cs="Segoe UI"/>
          <w:szCs w:val="16"/>
        </w:rPr>
        <w:t xml:space="preserve"> pomoc.</w:t>
      </w:r>
    </w:p>
  </w:footnote>
  <w:footnote w:id="54">
    <w:p w14:paraId="43842ED5" w14:textId="77777777" w:rsidR="003F23CE" w:rsidRDefault="003F23CE" w:rsidP="00E447B7">
      <w:pPr>
        <w:pStyle w:val="Textpoznmkypodiarou"/>
      </w:pPr>
      <w:r>
        <w:rPr>
          <w:rStyle w:val="Odkaznapoznmkupodiarou"/>
        </w:rPr>
        <w:footnoteRef/>
      </w:r>
      <w:r>
        <w:t xml:space="preserve"> Termín plnenia prvého finančného míľnika v prípade tretieho PO bol 31. 12. 2017 a v prípade štvrtého PO je 31. 12. 2025.</w:t>
      </w:r>
    </w:p>
  </w:footnote>
  <w:footnote w:id="55">
    <w:p w14:paraId="410588C8" w14:textId="77777777" w:rsidR="003F23CE" w:rsidRDefault="003F23CE" w:rsidP="00E447B7">
      <w:pPr>
        <w:pStyle w:val="Textpoznmkypodiarou"/>
      </w:pPr>
      <w:r w:rsidRPr="0087188A">
        <w:rPr>
          <w:rStyle w:val="Odkaznapoznmkupodiarou"/>
          <w:rFonts w:cs="Segoe UI"/>
          <w:szCs w:val="16"/>
        </w:rPr>
        <w:footnoteRef/>
      </w:r>
      <w:r w:rsidRPr="0087188A">
        <w:rPr>
          <w:rFonts w:cs="Segoe UI"/>
          <w:szCs w:val="16"/>
        </w:rPr>
        <w:t xml:space="preserve"> Čerpanie finančných prostriedkov v rámci EŠIF (bez PRV) </w:t>
      </w:r>
      <w:r>
        <w:rPr>
          <w:rFonts w:cs="Segoe UI"/>
          <w:szCs w:val="16"/>
        </w:rPr>
        <w:t>PO</w:t>
      </w:r>
      <w:r w:rsidRPr="0087188A">
        <w:rPr>
          <w:rFonts w:cs="Segoe UI"/>
          <w:szCs w:val="16"/>
        </w:rPr>
        <w:t xml:space="preserve"> 2014 </w:t>
      </w:r>
      <w:r>
        <w:rPr>
          <w:rFonts w:cs="Segoe UI"/>
          <w:szCs w:val="16"/>
        </w:rPr>
        <w:t>–</w:t>
      </w:r>
      <w:r w:rsidRPr="0087188A">
        <w:rPr>
          <w:rFonts w:cs="Segoe UI"/>
          <w:szCs w:val="16"/>
        </w:rPr>
        <w:t xml:space="preserve"> 2020 k 30.</w:t>
      </w:r>
      <w:r>
        <w:rPr>
          <w:rFonts w:cs="Segoe UI"/>
          <w:szCs w:val="16"/>
        </w:rPr>
        <w:t xml:space="preserve"> 9. </w:t>
      </w:r>
      <w:r w:rsidRPr="0087188A">
        <w:rPr>
          <w:rFonts w:cs="Segoe UI"/>
          <w:szCs w:val="16"/>
        </w:rPr>
        <w:t>2016</w:t>
      </w:r>
      <w:r>
        <w:rPr>
          <w:rFonts w:cs="Segoe UI"/>
          <w:szCs w:val="16"/>
        </w:rPr>
        <w:t>.</w:t>
      </w:r>
      <w:r w:rsidRPr="0087188A">
        <w:rPr>
          <w:rFonts w:cs="Segoe UI"/>
          <w:szCs w:val="16"/>
        </w:rPr>
        <w:t xml:space="preserve"> </w:t>
      </w:r>
      <w:r>
        <w:rPr>
          <w:rFonts w:cs="Segoe UI"/>
          <w:szCs w:val="16"/>
        </w:rPr>
        <w:t>[</w:t>
      </w:r>
      <w:hyperlink r:id="rId29" w:history="1">
        <w:r w:rsidRPr="0087188A">
          <w:rPr>
            <w:rStyle w:val="Hypertextovprepojenie"/>
            <w:rFonts w:cs="Segoe UI"/>
            <w:sz w:val="16"/>
            <w:szCs w:val="16"/>
          </w:rPr>
          <w:t>online</w:t>
        </w:r>
      </w:hyperlink>
      <w:r>
        <w:rPr>
          <w:rStyle w:val="Hypertextovprepojenie"/>
          <w:rFonts w:cs="Segoe UI"/>
          <w:sz w:val="16"/>
          <w:szCs w:val="16"/>
        </w:rPr>
        <w:t>]</w:t>
      </w:r>
      <w:r w:rsidRPr="0087188A">
        <w:rPr>
          <w:rFonts w:cs="Segoe UI"/>
          <w:szCs w:val="16"/>
        </w:rPr>
        <w:t>.</w:t>
      </w:r>
    </w:p>
  </w:footnote>
  <w:footnote w:id="56">
    <w:p w14:paraId="456E52F9" w14:textId="77777777" w:rsidR="003F23CE" w:rsidRPr="00AB4817" w:rsidRDefault="003F23CE" w:rsidP="006C54B2">
      <w:pPr>
        <w:pStyle w:val="Textpoznmkypodiarou"/>
        <w:rPr>
          <w:rFonts w:cs="Segoe UI"/>
          <w:szCs w:val="16"/>
        </w:rPr>
      </w:pPr>
      <w:r>
        <w:rPr>
          <w:rStyle w:val="Odkaznapoznmkupodiarou"/>
        </w:rPr>
        <w:footnoteRef/>
      </w:r>
      <w:r>
        <w:t xml:space="preserve"> </w:t>
      </w:r>
      <w:r w:rsidRPr="00AB4817">
        <w:rPr>
          <w:rFonts w:cs="Segoe UI"/>
          <w:szCs w:val="16"/>
        </w:rPr>
        <w:t>Do 31. 3. 2025 je RO (MIRRI</w:t>
      </w:r>
      <w:r>
        <w:rPr>
          <w:rFonts w:cs="Segoe UI"/>
          <w:szCs w:val="16"/>
        </w:rPr>
        <w:t xml:space="preserve"> SR</w:t>
      </w:r>
      <w:r w:rsidRPr="00AB4817">
        <w:rPr>
          <w:rFonts w:cs="Segoe UI"/>
          <w:szCs w:val="16"/>
        </w:rPr>
        <w:t>) povinný na EK predložiť posúdenie výsledkov strednodobého preskúmania PSK, vrátane návrhu na definitívne pridelenie sumy flexibility 1 976,5 mil. eur (t.</w:t>
      </w:r>
      <w:r>
        <w:rPr>
          <w:rFonts w:cs="Segoe UI"/>
          <w:szCs w:val="16"/>
        </w:rPr>
        <w:t xml:space="preserve"> </w:t>
      </w:r>
      <w:r w:rsidRPr="00AB4817">
        <w:rPr>
          <w:rFonts w:cs="Segoe UI"/>
          <w:szCs w:val="16"/>
        </w:rPr>
        <w:t>j. 50</w:t>
      </w:r>
      <w:r>
        <w:rPr>
          <w:rFonts w:cs="Segoe UI"/>
          <w:szCs w:val="16"/>
        </w:rPr>
        <w:t xml:space="preserve"> </w:t>
      </w:r>
      <w:r w:rsidRPr="00AB4817">
        <w:rPr>
          <w:rFonts w:cs="Segoe UI"/>
          <w:szCs w:val="16"/>
        </w:rPr>
        <w:t>% ročných záväzkov 2026 a 2027, čo predstavuje 15,7 % z alokácie na PSK)  v rámci platnej programovej štruktúry, prípadne navrhne zmenu programu. Tieto finančné prostriedky môžu byť uvoľnené na výber operácií až po prijatí rozhodnutia EK o ich definitívnom pridelení.</w:t>
      </w:r>
    </w:p>
  </w:footnote>
  <w:footnote w:id="57">
    <w:p w14:paraId="2FBDC9D7" w14:textId="77777777" w:rsidR="003F23CE" w:rsidRDefault="003F23CE" w:rsidP="00D277E1">
      <w:pPr>
        <w:pStyle w:val="Textpoznmkypodiarou"/>
      </w:pPr>
      <w:r>
        <w:rPr>
          <w:rStyle w:val="Odkaznapoznmkupodiarou"/>
        </w:rPr>
        <w:footnoteRef/>
      </w:r>
      <w:r>
        <w:t xml:space="preserve"> </w:t>
      </w:r>
      <w:r>
        <w:rPr>
          <w:rFonts w:cs="Segoe UI"/>
        </w:rPr>
        <w:t>rozpočtované výdavky za prostriedky EÚ v rozpočte 2025 v sume 173 mil. EUR.</w:t>
      </w:r>
    </w:p>
  </w:footnote>
  <w:footnote w:id="58">
    <w:p w14:paraId="1EF51526" w14:textId="77777777" w:rsidR="003F23CE" w:rsidRDefault="003F23CE" w:rsidP="00D277E1">
      <w:pPr>
        <w:pStyle w:val="Textpoznmkypodiarou"/>
      </w:pPr>
      <w:r>
        <w:rPr>
          <w:rStyle w:val="Odkaznapoznmkupodiarou"/>
        </w:rPr>
        <w:footnoteRef/>
      </w:r>
      <w:r>
        <w:t xml:space="preserve"> </w:t>
      </w:r>
      <w:r w:rsidRPr="0028128D">
        <w:t xml:space="preserve">rozpočtované výdavky za prostriedky EÚ v rozpočte 2025 v sume </w:t>
      </w:r>
      <w:r>
        <w:t xml:space="preserve">27,4 </w:t>
      </w:r>
      <w:r w:rsidRPr="0028128D">
        <w:t>mil. EUR</w:t>
      </w:r>
      <w:r>
        <w:t>.</w:t>
      </w:r>
    </w:p>
  </w:footnote>
  <w:footnote w:id="59">
    <w:p w14:paraId="3B3916B1" w14:textId="56BF891C" w:rsidR="003F23CE" w:rsidRDefault="003F23CE" w:rsidP="00D277E1">
      <w:pPr>
        <w:pStyle w:val="Textpoznmkypodiarou"/>
      </w:pPr>
      <w:r>
        <w:rPr>
          <w:rStyle w:val="Odkaznapoznmkupodiarou"/>
        </w:rPr>
        <w:footnoteRef/>
      </w:r>
      <w:r>
        <w:t xml:space="preserve"> Výdavky ŠR na rok 2025 za zdroj EÚ, rozpísané za sedem rezortov z rozpočtu ktorých sú realizované výdavky na PSK (Tabuľka 6), predstavujú 1,6 mld. EUR. Z toho najväčší objem výdavkov plánuje kapitola MIRRI SR, keďže sú z nej realizované aj výdavky PSK v kompetencii sprostredkovateľských orgánov: ÚV SR, MZ SR a SIEA.</w:t>
      </w:r>
    </w:p>
  </w:footnote>
  <w:footnote w:id="60">
    <w:p w14:paraId="7B2061AB" w14:textId="4D472EEB" w:rsidR="003F23CE" w:rsidRPr="00AB4817" w:rsidRDefault="003F23CE" w:rsidP="00BE3D51">
      <w:pPr>
        <w:pStyle w:val="Textpoznmkypodiarou"/>
        <w:rPr>
          <w:rFonts w:cs="Segoe UI"/>
        </w:rPr>
      </w:pPr>
      <w:r w:rsidRPr="00AB4817">
        <w:rPr>
          <w:rStyle w:val="Odkaznapoznmkupodiarou"/>
          <w:rFonts w:cs="Segoe UI"/>
        </w:rPr>
        <w:footnoteRef/>
      </w:r>
      <w:r w:rsidRPr="00AB4817">
        <w:rPr>
          <w:rFonts w:cs="Segoe UI"/>
        </w:rPr>
        <w:t xml:space="preserve"> Na implementáciu </w:t>
      </w:r>
      <w:r>
        <w:rPr>
          <w:rFonts w:cs="Segoe UI"/>
        </w:rPr>
        <w:t>ich</w:t>
      </w:r>
      <w:r w:rsidRPr="00AB4817">
        <w:rPr>
          <w:rFonts w:cs="Segoe UI"/>
        </w:rPr>
        <w:t xml:space="preserve"> je v programe 38 opatrení/špecifických cieľov v piatich cieľoch politiky súdržnosti, vrátane opatrenia 5.1.6  Európske hlavné mesto kultúry a pre každé opatrenie/špecifický cieľ je vymedzená finančná alokácia pre samosprávny kraj a funkčnú mestskú oblasť.</w:t>
      </w:r>
    </w:p>
  </w:footnote>
  <w:footnote w:id="61">
    <w:p w14:paraId="244FD083" w14:textId="569E82ED" w:rsidR="003F23CE" w:rsidRPr="00AB4817" w:rsidRDefault="003F23CE" w:rsidP="00BE3D51">
      <w:pPr>
        <w:pStyle w:val="Textpoznmkypodiarou"/>
        <w:rPr>
          <w:rFonts w:cs="Segoe UI"/>
          <w:szCs w:val="16"/>
        </w:rPr>
      </w:pPr>
      <w:r w:rsidRPr="00AB4817">
        <w:rPr>
          <w:rStyle w:val="Odkaznapoznmkupodiarou"/>
          <w:rFonts w:cs="Segoe UI"/>
          <w:szCs w:val="16"/>
        </w:rPr>
        <w:footnoteRef/>
      </w:r>
      <w:r w:rsidRPr="00AB4817">
        <w:rPr>
          <w:rFonts w:cs="Segoe UI"/>
          <w:szCs w:val="16"/>
        </w:rPr>
        <w:t xml:space="preserve"> Informácia o stave implementácie Programu </w:t>
      </w:r>
      <w:r>
        <w:rPr>
          <w:rFonts w:cs="Segoe UI"/>
          <w:szCs w:val="16"/>
        </w:rPr>
        <w:t xml:space="preserve">Slovensko k 30. </w:t>
      </w:r>
      <w:r w:rsidRPr="00AB4817">
        <w:rPr>
          <w:rFonts w:cs="Segoe UI"/>
          <w:szCs w:val="16"/>
        </w:rPr>
        <w:t>9. 2024</w:t>
      </w:r>
      <w:r>
        <w:rPr>
          <w:rFonts w:cs="Segoe UI"/>
          <w:szCs w:val="16"/>
        </w:rPr>
        <w:t>.</w:t>
      </w:r>
      <w:r w:rsidRPr="00AB4817">
        <w:rPr>
          <w:rFonts w:cs="Segoe UI"/>
          <w:szCs w:val="16"/>
        </w:rPr>
        <w:t xml:space="preserve"> </w:t>
      </w:r>
      <w:r>
        <w:rPr>
          <w:rFonts w:cs="Segoe UI"/>
          <w:szCs w:val="16"/>
        </w:rPr>
        <w:t>[</w:t>
      </w:r>
      <w:hyperlink r:id="rId30" w:history="1">
        <w:r w:rsidRPr="00AB4817">
          <w:rPr>
            <w:rStyle w:val="Hypertextovprepojenie"/>
            <w:rFonts w:cs="Segoe UI"/>
            <w:sz w:val="16"/>
            <w:szCs w:val="16"/>
          </w:rPr>
          <w:t>online</w:t>
        </w:r>
      </w:hyperlink>
      <w:r>
        <w:rPr>
          <w:rFonts w:cs="Segoe UI"/>
          <w:szCs w:val="16"/>
        </w:rPr>
        <w:t>]</w:t>
      </w:r>
      <w:r w:rsidRPr="00AB4817">
        <w:rPr>
          <w:rFonts w:cs="Segoe UI"/>
          <w:szCs w:val="16"/>
        </w:rPr>
        <w:t>.</w:t>
      </w:r>
    </w:p>
  </w:footnote>
  <w:footnote w:id="62">
    <w:p w14:paraId="7A86DF28" w14:textId="77777777" w:rsidR="003F23CE" w:rsidRDefault="003F23CE" w:rsidP="00362D45">
      <w:pPr>
        <w:pStyle w:val="Textpoznmkypodiarou"/>
      </w:pPr>
      <w:r>
        <w:rPr>
          <w:rStyle w:val="Odkaznapoznmkupodiarou"/>
        </w:rPr>
        <w:footnoteRef/>
      </w:r>
      <w:r>
        <w:t xml:space="preserve"> </w:t>
      </w:r>
      <w:r w:rsidRPr="0063306A">
        <w:t>Prostriedky EÚ prijaté na samostatný účet NIKA prevádza NIKA v sume zodpovedajúcej skutočnému čerpaniu rozpočtu po dohode s MF SR do príjmov štátneho rozpočtu</w:t>
      </w:r>
      <w:r>
        <w:t>, spravidla dvakrát ročne</w:t>
      </w:r>
      <w:r w:rsidRPr="0063306A">
        <w:t xml:space="preserve">. </w:t>
      </w:r>
      <w:r>
        <w:rPr>
          <w:rFonts w:cs="Segoe UI"/>
          <w:szCs w:val="16"/>
        </w:rPr>
        <w:t>[</w:t>
      </w:r>
      <w:hyperlink r:id="rId31" w:history="1">
        <w:r>
          <w:rPr>
            <w:rStyle w:val="Hypertextovprepojenie"/>
            <w:sz w:val="16"/>
          </w:rPr>
          <w:t>online</w:t>
        </w:r>
      </w:hyperlink>
      <w:r>
        <w:rPr>
          <w:rStyle w:val="Hypertextovprepojenie"/>
          <w:rFonts w:cs="Segoe UI"/>
          <w:sz w:val="16"/>
          <w:szCs w:val="16"/>
        </w:rPr>
        <w:t>]</w:t>
      </w:r>
      <w:r>
        <w:t>.</w:t>
      </w:r>
    </w:p>
  </w:footnote>
  <w:footnote w:id="63">
    <w:p w14:paraId="232C022F" w14:textId="54D44F15" w:rsidR="003F23CE" w:rsidRDefault="003F23CE" w:rsidP="00362D45">
      <w:pPr>
        <w:pStyle w:val="Textpoznmkypodiarou"/>
      </w:pPr>
      <w:r>
        <w:rPr>
          <w:rStyle w:val="Odkaznapoznmkupodiarou"/>
        </w:rPr>
        <w:footnoteRef/>
      </w:r>
      <w:r>
        <w:t xml:space="preserve"> </w:t>
      </w:r>
      <w:r w:rsidRPr="00877610">
        <w:t>MIRRI</w:t>
      </w:r>
      <w:r>
        <w:t xml:space="preserve"> SR</w:t>
      </w:r>
      <w:r w:rsidRPr="00877610">
        <w:t>, MV SR, MS SR, MF SR, MŽP SR, MŠVV</w:t>
      </w:r>
      <w:r>
        <w:t>a</w:t>
      </w:r>
      <w:r w:rsidRPr="00877610">
        <w:t>M SR, MZ SR, MPSVR SR, MH SR, MD SR, ÚVO a NIKA</w:t>
      </w:r>
    </w:p>
  </w:footnote>
  <w:footnote w:id="64">
    <w:p w14:paraId="6A5C9A44" w14:textId="77777777" w:rsidR="003F23CE" w:rsidRPr="00AB4817" w:rsidRDefault="003F23CE" w:rsidP="00362D45">
      <w:pPr>
        <w:pStyle w:val="Textpoznmkypodiarou"/>
        <w:rPr>
          <w:rFonts w:cs="Segoe UI"/>
        </w:rPr>
      </w:pPr>
      <w:r w:rsidRPr="00AB4817">
        <w:rPr>
          <w:rStyle w:val="Odkaznapoznmkupodiarou"/>
          <w:rFonts w:cs="Segoe UI"/>
          <w:szCs w:val="16"/>
        </w:rPr>
        <w:footnoteRef/>
      </w:r>
      <w:r>
        <w:rPr>
          <w:rFonts w:cs="Segoe UI"/>
          <w:szCs w:val="16"/>
        </w:rPr>
        <w:t xml:space="preserve"> Piata žiadosť o platbu POO. [</w:t>
      </w:r>
      <w:hyperlink r:id="rId32" w:history="1">
        <w:r w:rsidRPr="00AB4817">
          <w:rPr>
            <w:rStyle w:val="Hypertextovprepojenie"/>
            <w:rFonts w:cs="Segoe UI"/>
            <w:sz w:val="16"/>
            <w:szCs w:val="16"/>
          </w:rPr>
          <w:t>online</w:t>
        </w:r>
      </w:hyperlink>
      <w:r>
        <w:rPr>
          <w:rStyle w:val="Hypertextovprepojenie"/>
          <w:rFonts w:cs="Segoe UI"/>
          <w:sz w:val="16"/>
          <w:szCs w:val="16"/>
        </w:rPr>
        <w:t>]</w:t>
      </w:r>
      <w:r w:rsidRPr="00AB4817">
        <w:rPr>
          <w:rStyle w:val="Hypertextovprepojenie"/>
          <w:rFonts w:cs="Segoe UI"/>
          <w:sz w:val="16"/>
          <w:szCs w:val="16"/>
          <w:u w:val="none"/>
        </w:rPr>
        <w:t>.</w:t>
      </w:r>
    </w:p>
  </w:footnote>
  <w:footnote w:id="65">
    <w:p w14:paraId="7D9710B2" w14:textId="4118CA04" w:rsidR="003F23CE" w:rsidRDefault="003F23CE" w:rsidP="00362D45">
      <w:pPr>
        <w:pStyle w:val="Textpoznmkypodiarou"/>
      </w:pPr>
      <w:r>
        <w:rPr>
          <w:rStyle w:val="Odkaznapoznmkupodiarou"/>
        </w:rPr>
        <w:footnoteRef/>
      </w:r>
      <w:r>
        <w:t xml:space="preserve"> Omeškanie 3 míľnikov: K7R2 - Percentuálny podiel učiteľov vyškolených v novom kurikulu, inkluzívnom vzdelávaní digitálnych zručnostiach (MŠVVaM SR), K11R3 - Zriadenie ústredného orgánu pre správu nemocníc z organizačného, prevádzkového a ekonomického hľadiska (MZ SR) a K13R2 - Zjednotenie posudkovej činnosti (MPSVaR SR). Nezrealizovateľný cieľ: K5I1 - Majetkové vysporiadanie sa so súkromnými vlastníkmi (MŽP SR). </w:t>
      </w:r>
      <w:r>
        <w:rPr>
          <w:rFonts w:cs="Segoe UI"/>
          <w:szCs w:val="16"/>
        </w:rPr>
        <w:t>[</w:t>
      </w:r>
      <w:hyperlink r:id="rId33" w:history="1">
        <w:r w:rsidRPr="00AB4817">
          <w:rPr>
            <w:rStyle w:val="Hypertextovprepojenie"/>
            <w:rFonts w:cs="Segoe UI"/>
            <w:sz w:val="16"/>
            <w:szCs w:val="16"/>
          </w:rPr>
          <w:t>online</w:t>
        </w:r>
      </w:hyperlink>
      <w:r>
        <w:rPr>
          <w:rStyle w:val="Hypertextovprepojenie"/>
          <w:rFonts w:cs="Segoe UI"/>
          <w:sz w:val="16"/>
          <w:szCs w:val="16"/>
        </w:rPr>
        <w:t>]</w:t>
      </w:r>
      <w:r w:rsidRPr="00AB4817">
        <w:rPr>
          <w:rStyle w:val="Hypertextovprepojenie"/>
          <w:rFonts w:cs="Segoe UI"/>
          <w:sz w:val="16"/>
          <w:szCs w:val="16"/>
          <w:u w:val="none"/>
        </w:rPr>
        <w:t>.</w:t>
      </w:r>
    </w:p>
  </w:footnote>
  <w:footnote w:id="66">
    <w:p w14:paraId="27686F62" w14:textId="77777777" w:rsidR="003F23CE" w:rsidRPr="00A760AA" w:rsidRDefault="003F23CE" w:rsidP="00362D45">
      <w:pPr>
        <w:pStyle w:val="Textpoznmkypodiarou"/>
        <w:rPr>
          <w:rFonts w:cs="Segoe UI"/>
          <w:szCs w:val="16"/>
        </w:rPr>
      </w:pPr>
      <w:r w:rsidRPr="00A760AA">
        <w:rPr>
          <w:rStyle w:val="Odkaznapoznmkupodiarou"/>
          <w:rFonts w:cs="Segoe UI"/>
          <w:szCs w:val="16"/>
        </w:rPr>
        <w:footnoteRef/>
      </w:r>
      <w:r w:rsidRPr="00A760AA">
        <w:rPr>
          <w:rFonts w:cs="Segoe UI"/>
          <w:szCs w:val="16"/>
        </w:rPr>
        <w:t xml:space="preserve"> Operačná dohoda medzi SR a</w:t>
      </w:r>
      <w:r>
        <w:rPr>
          <w:rFonts w:cs="Segoe UI"/>
          <w:szCs w:val="16"/>
        </w:rPr>
        <w:t> </w:t>
      </w:r>
      <w:r w:rsidRPr="00A760AA">
        <w:rPr>
          <w:rFonts w:cs="Segoe UI"/>
          <w:szCs w:val="16"/>
        </w:rPr>
        <w:t>EK</w:t>
      </w:r>
      <w:r>
        <w:rPr>
          <w:rFonts w:cs="Segoe UI"/>
          <w:szCs w:val="16"/>
        </w:rPr>
        <w:t>.</w:t>
      </w:r>
      <w:r w:rsidRPr="00A760AA">
        <w:rPr>
          <w:rFonts w:cs="Segoe UI"/>
          <w:szCs w:val="16"/>
        </w:rPr>
        <w:t xml:space="preserve"> </w:t>
      </w:r>
      <w:r>
        <w:rPr>
          <w:rFonts w:cs="Segoe UI"/>
          <w:szCs w:val="16"/>
        </w:rPr>
        <w:t>[</w:t>
      </w:r>
      <w:hyperlink r:id="rId34" w:history="1">
        <w:r w:rsidRPr="00A760AA">
          <w:rPr>
            <w:rStyle w:val="Hypertextovprepojenie"/>
            <w:rFonts w:cs="Segoe UI"/>
            <w:color w:val="auto"/>
            <w:sz w:val="16"/>
            <w:szCs w:val="16"/>
          </w:rPr>
          <w:t>online</w:t>
        </w:r>
      </w:hyperlink>
      <w:r>
        <w:rPr>
          <w:rStyle w:val="Hypertextovprepojenie"/>
          <w:rFonts w:cs="Segoe UI"/>
          <w:color w:val="auto"/>
          <w:sz w:val="16"/>
          <w:szCs w:val="16"/>
        </w:rPr>
        <w:t>]</w:t>
      </w:r>
      <w:r>
        <w:rPr>
          <w:rFonts w:cs="Segoe UI"/>
          <w:szCs w:val="16"/>
        </w:rPr>
        <w:t>.</w:t>
      </w:r>
    </w:p>
  </w:footnote>
  <w:footnote w:id="67">
    <w:p w14:paraId="6C85B9AC" w14:textId="20FE2909" w:rsidR="003F23CE" w:rsidRDefault="003F23CE" w:rsidP="00362D45">
      <w:pPr>
        <w:pStyle w:val="Textpoznmkypodiarou"/>
      </w:pPr>
      <w:r>
        <w:rPr>
          <w:rStyle w:val="Odkaznapoznmkupodiarou"/>
        </w:rPr>
        <w:footnoteRef/>
      </w:r>
      <w:r>
        <w:t xml:space="preserve"> V prípade 6. žiadosti o platbu ide o 29 míľnikov a cieľov a v prípade siedmej žiadosti o platbu o 20 míľnikov a cieľov. </w:t>
      </w:r>
      <w:r>
        <w:rPr>
          <w:rFonts w:cs="Segoe UI"/>
          <w:szCs w:val="16"/>
        </w:rPr>
        <w:t>[</w:t>
      </w:r>
      <w:hyperlink r:id="rId35" w:history="1">
        <w:r w:rsidRPr="001B7401">
          <w:rPr>
            <w:rStyle w:val="Hypertextovprepojenie"/>
            <w:sz w:val="16"/>
          </w:rPr>
          <w:t>online</w:t>
        </w:r>
      </w:hyperlink>
      <w:r>
        <w:rPr>
          <w:rStyle w:val="Hypertextovprepojenie"/>
          <w:rFonts w:cs="Segoe UI"/>
          <w:sz w:val="16"/>
          <w:szCs w:val="16"/>
        </w:rPr>
        <w:t>]</w:t>
      </w:r>
      <w:r>
        <w:t>.</w:t>
      </w:r>
    </w:p>
  </w:footnote>
  <w:footnote w:id="68">
    <w:p w14:paraId="6130E8BA" w14:textId="4E00ACEB" w:rsidR="003F23CE" w:rsidRDefault="003F23CE" w:rsidP="00362D45">
      <w:pPr>
        <w:pStyle w:val="Textpoznmkypodiarou"/>
      </w:pPr>
      <w:r>
        <w:rPr>
          <w:rStyle w:val="Odkaznapoznmkupodiarou"/>
        </w:rPr>
        <w:footnoteRef/>
      </w:r>
      <w:r>
        <w:t xml:space="preserve"> </w:t>
      </w:r>
      <w:r w:rsidRPr="00BA0ABD">
        <w:t>Prostriedky na krytie výdavkov za DPH</w:t>
      </w:r>
      <w:r>
        <w:t xml:space="preserve"> nie sú uhrádzané z EK, t. j.</w:t>
      </w:r>
      <w:r w:rsidRPr="00BA0ABD">
        <w:t xml:space="preserve"> sú </w:t>
      </w:r>
      <w:r>
        <w:t>kryté</w:t>
      </w:r>
      <w:r w:rsidRPr="00BA0ABD">
        <w:t xml:space="preserve"> zo </w:t>
      </w:r>
      <w:r>
        <w:t>ŠR.</w:t>
      </w:r>
    </w:p>
  </w:footnote>
  <w:footnote w:id="69">
    <w:p w14:paraId="7419275E" w14:textId="77777777" w:rsidR="003F23CE" w:rsidRDefault="003F23CE" w:rsidP="00A53D2F">
      <w:pPr>
        <w:pStyle w:val="Textpoznmkypodiarou"/>
      </w:pPr>
      <w:r>
        <w:rPr>
          <w:rStyle w:val="Odkaznapoznmkupodiarou"/>
        </w:rPr>
        <w:footnoteRef/>
      </w:r>
      <w:r>
        <w:t xml:space="preserve"> </w:t>
      </w:r>
      <w:r w:rsidRPr="002E2DE2">
        <w:t xml:space="preserve">Zákon č. 142/2024 Z. z. o mimoriadnych opatreniach pre strategické investície a pre výstavbu transeurópskej dopravnej siete. </w:t>
      </w:r>
      <w:hyperlink r:id="rId36" w:history="1">
        <w:r w:rsidRPr="002E2DE2">
          <w:rPr>
            <w:rStyle w:val="Hypertextovprepojenie"/>
            <w:sz w:val="16"/>
          </w:rPr>
          <w:t>[online].</w:t>
        </w:r>
      </w:hyperlink>
    </w:p>
  </w:footnote>
  <w:footnote w:id="70">
    <w:p w14:paraId="6101AD3A" w14:textId="67FB5073" w:rsidR="003F23CE" w:rsidRPr="00201C89" w:rsidRDefault="003F23CE" w:rsidP="003C4E36">
      <w:pPr>
        <w:pStyle w:val="Textpoznmkypodiarou"/>
        <w:rPr>
          <w:lang w:val="en-US"/>
        </w:rPr>
      </w:pPr>
      <w:r w:rsidRPr="0010689D">
        <w:rPr>
          <w:rStyle w:val="Odkaznapoznmkupodiarou"/>
          <w:szCs w:val="16"/>
        </w:rPr>
        <w:footnoteRef/>
      </w:r>
      <w:r w:rsidRPr="0010689D">
        <w:rPr>
          <w:szCs w:val="16"/>
        </w:rPr>
        <w:t xml:space="preserve"> </w:t>
      </w:r>
      <w:r w:rsidRPr="0087188A">
        <w:rPr>
          <w:rFonts w:cs="Segoe UI"/>
          <w:szCs w:val="16"/>
          <w:shd w:val="clear" w:color="auto" w:fill="FFFFFF"/>
        </w:rPr>
        <w:t>UV-28059/2024</w:t>
      </w:r>
      <w:r>
        <w:rPr>
          <w:rFonts w:cs="Segoe UI"/>
          <w:szCs w:val="16"/>
          <w:shd w:val="clear" w:color="auto" w:fill="FFFFFF"/>
        </w:rPr>
        <w:t>.</w:t>
      </w:r>
      <w:r w:rsidRPr="0010689D">
        <w:rPr>
          <w:rFonts w:cs="Segoe UI"/>
          <w:szCs w:val="16"/>
        </w:rPr>
        <w:t xml:space="preserve"> </w:t>
      </w:r>
      <w:r w:rsidRPr="0087188A">
        <w:rPr>
          <w:rFonts w:cs="Segoe UI"/>
          <w:szCs w:val="16"/>
          <w:shd w:val="clear" w:color="auto" w:fill="FFFFFF"/>
        </w:rPr>
        <w:t>Informácia o plnení odporúčaní z materiálu Priority v obnove a rozvoji železničnej infraštruktúry a progrese v plnení úloh a dosiahnutých výsledkoch a informácia o plnení odporúčaní z materiálu Priority vo výstavbe cestnej infraštruktúry a progrese v plnení úloh a dosiahnutých výsledkoch</w:t>
      </w:r>
      <w:r>
        <w:rPr>
          <w:rFonts w:cs="Segoe UI"/>
          <w:szCs w:val="16"/>
          <w:shd w:val="clear" w:color="auto" w:fill="FFFFFF"/>
        </w:rPr>
        <w:t>.</w:t>
      </w:r>
      <w:r w:rsidRPr="0087188A">
        <w:rPr>
          <w:rFonts w:cs="Segoe UI"/>
          <w:szCs w:val="16"/>
          <w:shd w:val="clear" w:color="auto" w:fill="FFFFFF"/>
        </w:rPr>
        <w:t xml:space="preserve"> </w:t>
      </w:r>
      <w:hyperlink r:id="rId37" w:history="1">
        <w:r w:rsidRPr="0087188A">
          <w:rPr>
            <w:rStyle w:val="Hypertextovprepojenie"/>
            <w:rFonts w:cs="Segoe UI"/>
            <w:sz w:val="16"/>
            <w:szCs w:val="16"/>
          </w:rPr>
          <w:t>[online].</w:t>
        </w:r>
      </w:hyperlink>
    </w:p>
  </w:footnote>
  <w:footnote w:id="71">
    <w:p w14:paraId="2736D17D" w14:textId="77777777" w:rsidR="003F23CE" w:rsidRDefault="003F23CE" w:rsidP="00284D9F">
      <w:pPr>
        <w:pStyle w:val="Textpoznmkypodiarou"/>
      </w:pPr>
      <w:r>
        <w:rPr>
          <w:rStyle w:val="Odkaznapoznmkupodiarou"/>
        </w:rPr>
        <w:footnoteRef/>
      </w:r>
      <w:r>
        <w:t xml:space="preserve"> </w:t>
      </w:r>
      <w:r w:rsidRPr="000C2FFE">
        <w:t>Kancelária verejného ochrancu práv, Rada pre mediálne služby, Úrad na ochranu osobných údajov SR, Úrad na ochr</w:t>
      </w:r>
      <w:r>
        <w:t>anu oznamovateľov, Úrad</w:t>
      </w:r>
      <w:r w:rsidRPr="000C2FFE">
        <w:t xml:space="preserve"> komisára pre deti, Úrad komisára pre osoby so zdravotným postihnutím, Slovenské národné</w:t>
      </w:r>
      <w:r>
        <w:t xml:space="preserve"> stredisko pre ľudské práva a Ústav</w:t>
      </w:r>
      <w:r w:rsidRPr="000C2FFE">
        <w:t xml:space="preserve"> pamäti národa</w:t>
      </w:r>
    </w:p>
  </w:footnote>
  <w:footnote w:id="72">
    <w:p w14:paraId="5CDE81B9" w14:textId="026E7C39" w:rsidR="003F23CE" w:rsidRPr="00290A9E" w:rsidRDefault="003F23CE" w:rsidP="00D36B99">
      <w:pPr>
        <w:pStyle w:val="Textpoznmkypodiarou"/>
        <w:rPr>
          <w:szCs w:val="16"/>
        </w:rPr>
      </w:pPr>
      <w:r w:rsidRPr="00290A9E">
        <w:rPr>
          <w:rStyle w:val="Odkaznapoznmkupodiarou"/>
          <w:szCs w:val="16"/>
        </w:rPr>
        <w:footnoteRef/>
      </w:r>
      <w:r w:rsidRPr="00290A9E">
        <w:rPr>
          <w:szCs w:val="16"/>
        </w:rPr>
        <w:t xml:space="preserve"> Programové vyhlásenie vlády Slovenskej republiky 2023 – 2027. [</w:t>
      </w:r>
      <w:hyperlink r:id="rId38" w:history="1">
        <w:r w:rsidRPr="00290A9E">
          <w:rPr>
            <w:rStyle w:val="Hypertextovprepojenie"/>
            <w:sz w:val="16"/>
            <w:szCs w:val="16"/>
          </w:rPr>
          <w:t>online</w:t>
        </w:r>
      </w:hyperlink>
      <w:r w:rsidRPr="00290A9E">
        <w:rPr>
          <w:szCs w:val="16"/>
        </w:rPr>
        <w:t>].</w:t>
      </w:r>
    </w:p>
  </w:footnote>
  <w:footnote w:id="73">
    <w:p w14:paraId="5F5DD20F" w14:textId="7E2CD284" w:rsidR="003F23CE" w:rsidRDefault="003F23CE" w:rsidP="00DB793A">
      <w:pPr>
        <w:pStyle w:val="Textpoznmkypodiarou"/>
      </w:pPr>
      <w:r>
        <w:rPr>
          <w:rStyle w:val="Odkaznapoznmkupodiarou"/>
        </w:rPr>
        <w:footnoteRef/>
      </w:r>
      <w:r>
        <w:t xml:space="preserve"> PVV. str. 46.</w:t>
      </w:r>
    </w:p>
  </w:footnote>
  <w:footnote w:id="74">
    <w:p w14:paraId="2D5069BC" w14:textId="77777777" w:rsidR="003F23CE" w:rsidRDefault="003F23CE" w:rsidP="00DB793A">
      <w:pPr>
        <w:pStyle w:val="Textpoznmkypodiarou"/>
      </w:pPr>
      <w:r>
        <w:rPr>
          <w:rStyle w:val="Odkaznapoznmkupodiarou"/>
        </w:rPr>
        <w:footnoteRef/>
      </w:r>
      <w:r>
        <w:t xml:space="preserve"> NKÚ SR – Strategické smerovanie zdravotníctva SR. Apríl 2022. [</w:t>
      </w:r>
      <w:hyperlink r:id="rId39" w:history="1">
        <w:r w:rsidRPr="00451C0A">
          <w:rPr>
            <w:rStyle w:val="Hypertextovprepojenie"/>
            <w:sz w:val="16"/>
          </w:rPr>
          <w:t>online</w:t>
        </w:r>
      </w:hyperlink>
      <w:r>
        <w:t xml:space="preserve">]. </w:t>
      </w:r>
    </w:p>
  </w:footnote>
  <w:footnote w:id="75">
    <w:p w14:paraId="00F51470" w14:textId="77777777" w:rsidR="003F23CE" w:rsidRDefault="003F23CE" w:rsidP="00DB793A">
      <w:pPr>
        <w:pStyle w:val="Textpoznmkypodiarou"/>
      </w:pPr>
      <w:r>
        <w:rPr>
          <w:rStyle w:val="Odkaznapoznmkupodiarou"/>
        </w:rPr>
        <w:footnoteRef/>
      </w:r>
      <w:r>
        <w:t xml:space="preserve"> MZ SR – </w:t>
      </w:r>
      <w:r w:rsidRPr="00870B05">
        <w:t>Súhrnná správa o vývoji v Strategickom rámci starostlivosti o zdravie pre roky 2014-2030 za rok 2023</w:t>
      </w:r>
      <w:r>
        <w:t>. [</w:t>
      </w:r>
      <w:hyperlink r:id="rId40" w:history="1">
        <w:r w:rsidRPr="00451C0A">
          <w:rPr>
            <w:rStyle w:val="Hypertextovprepojenie"/>
            <w:sz w:val="16"/>
          </w:rPr>
          <w:t>online</w:t>
        </w:r>
      </w:hyperlink>
      <w:r>
        <w:t>].</w:t>
      </w:r>
    </w:p>
  </w:footnote>
  <w:footnote w:id="76">
    <w:p w14:paraId="70D55BA5" w14:textId="5C9714F7" w:rsidR="003F23CE" w:rsidRDefault="003F23CE" w:rsidP="003E5DEC">
      <w:pPr>
        <w:pStyle w:val="Textpoznmkypodiarou"/>
      </w:pPr>
      <w:r>
        <w:rPr>
          <w:rStyle w:val="Odkaznapoznmkupodiarou"/>
        </w:rPr>
        <w:footnoteRef/>
      </w:r>
      <w:r>
        <w:t xml:space="preserve"> NR SR – V</w:t>
      </w:r>
      <w:r w:rsidRPr="003E5DEC">
        <w:t>ládny návrh zákona, ktorým sa mení a dopĺňa zákon č. 578/2004 Z. z.</w:t>
      </w:r>
      <w:r>
        <w:t xml:space="preserve"> </w:t>
      </w:r>
      <w:r w:rsidRPr="00CA5F54">
        <w:t>[</w:t>
      </w:r>
      <w:hyperlink r:id="rId41" w:history="1">
        <w:r w:rsidRPr="00CA5F54">
          <w:rPr>
            <w:rStyle w:val="Hypertextovprepojenie"/>
            <w:sz w:val="16"/>
          </w:rPr>
          <w:t>online</w:t>
        </w:r>
      </w:hyperlink>
      <w:r w:rsidRPr="00CA5F54">
        <w:t>].</w:t>
      </w:r>
    </w:p>
  </w:footnote>
  <w:footnote w:id="77">
    <w:p w14:paraId="0926CADA" w14:textId="77777777" w:rsidR="003F23CE" w:rsidRDefault="003F23CE" w:rsidP="00AC1187">
      <w:pPr>
        <w:pStyle w:val="Textpoznmkypodiarou"/>
      </w:pPr>
      <w:r>
        <w:rPr>
          <w:rStyle w:val="Odkaznapoznmkupodiarou"/>
        </w:rPr>
        <w:footnoteRef/>
      </w:r>
      <w:r>
        <w:t xml:space="preserve"> Príkladom je analytický komentár z decembra 2020: Prakticky, všeobecne, ... stále málo, [</w:t>
      </w:r>
      <w:hyperlink r:id="rId42" w:history="1">
        <w:r w:rsidRPr="00451C0A">
          <w:rPr>
            <w:rStyle w:val="Hypertextovprepojenie"/>
            <w:sz w:val="16"/>
          </w:rPr>
          <w:t>online</w:t>
        </w:r>
      </w:hyperlink>
      <w:r>
        <w:t xml:space="preserve">] a nadväzujúca kontrola: </w:t>
      </w:r>
      <w:r w:rsidRPr="009A5C0A">
        <w:t>Systém rezidentského štúdia a faktory ovplyňujúce jeho realizáciu</w:t>
      </w:r>
      <w:r>
        <w:t xml:space="preserve"> z roku 2021. [</w:t>
      </w:r>
      <w:hyperlink r:id="rId43" w:history="1">
        <w:r w:rsidRPr="00451C0A">
          <w:rPr>
            <w:rStyle w:val="Hypertextovprepojenie"/>
            <w:sz w:val="16"/>
          </w:rPr>
          <w:t>online</w:t>
        </w:r>
      </w:hyperlink>
      <w:r>
        <w:t>].</w:t>
      </w:r>
    </w:p>
  </w:footnote>
  <w:footnote w:id="78">
    <w:p w14:paraId="3040CF5C" w14:textId="77777777" w:rsidR="003F23CE" w:rsidRDefault="003F23CE" w:rsidP="00AC1187">
      <w:pPr>
        <w:pStyle w:val="Textpoznmkypodiarou"/>
      </w:pPr>
      <w:r>
        <w:rPr>
          <w:rStyle w:val="Odkaznapoznmkupodiarou"/>
        </w:rPr>
        <w:footnoteRef/>
      </w:r>
      <w:r>
        <w:t xml:space="preserve"> ÚDZS – Správa o stave vykonávania verejného zdravotného poistenia za rok 2023. Jún 2024. </w:t>
      </w:r>
      <w:r>
        <w:rPr>
          <w:lang w:val="en-US"/>
        </w:rPr>
        <w:t>[</w:t>
      </w:r>
      <w:hyperlink r:id="rId44" w:history="1">
        <w:r w:rsidRPr="0086123C">
          <w:rPr>
            <w:rStyle w:val="Hypertextovprepojenie"/>
            <w:sz w:val="16"/>
          </w:rPr>
          <w:t>online</w:t>
        </w:r>
      </w:hyperlink>
      <w:r>
        <w:t>].</w:t>
      </w:r>
    </w:p>
  </w:footnote>
  <w:footnote w:id="79">
    <w:p w14:paraId="45FA67EA" w14:textId="77777777" w:rsidR="003F23CE" w:rsidRDefault="003F23CE" w:rsidP="001D3C4E">
      <w:pPr>
        <w:pStyle w:val="Textpoznmkypodiarou"/>
      </w:pPr>
      <w:r>
        <w:rPr>
          <w:rStyle w:val="Odkaznapoznmkupodiarou"/>
        </w:rPr>
        <w:footnoteRef/>
      </w:r>
      <w:r>
        <w:t xml:space="preserve"> Stratégia všeobecnej ambulantnej starostlivosti do roku 2030. [</w:t>
      </w:r>
      <w:hyperlink r:id="rId45" w:history="1">
        <w:r w:rsidRPr="008E16FD">
          <w:rPr>
            <w:rStyle w:val="Hypertextovprepojenie"/>
            <w:sz w:val="16"/>
          </w:rPr>
          <w:t>online</w:t>
        </w:r>
      </w:hyperlink>
      <w:r>
        <w:t>].</w:t>
      </w:r>
    </w:p>
  </w:footnote>
  <w:footnote w:id="80">
    <w:p w14:paraId="3271546D" w14:textId="1389FFDF" w:rsidR="003F23CE" w:rsidRDefault="003F23CE" w:rsidP="001D3C4E">
      <w:pPr>
        <w:pStyle w:val="Textpoznmkypodiarou"/>
      </w:pPr>
      <w:r>
        <w:rPr>
          <w:rStyle w:val="Odkaznapoznmkupodiarou"/>
        </w:rPr>
        <w:footnoteRef/>
      </w:r>
      <w:r>
        <w:t xml:space="preserve"> Všeobecná ambulantná starostlivosť. [</w:t>
      </w:r>
      <w:hyperlink r:id="rId46" w:history="1">
        <w:r w:rsidRPr="00E2270E">
          <w:rPr>
            <w:rStyle w:val="Hypertextovprepojenie"/>
            <w:sz w:val="16"/>
          </w:rPr>
          <w:t>online</w:t>
        </w:r>
      </w:hyperlink>
      <w:r>
        <w:t>].</w:t>
      </w:r>
    </w:p>
  </w:footnote>
  <w:footnote w:id="81">
    <w:p w14:paraId="023EC2FB" w14:textId="099EEDBC" w:rsidR="003F23CE" w:rsidRDefault="003F23CE" w:rsidP="00272470">
      <w:pPr>
        <w:pStyle w:val="Textpoznmkypodiarou"/>
      </w:pPr>
      <w:r>
        <w:rPr>
          <w:rStyle w:val="Odkaznapoznmkupodiarou"/>
        </w:rPr>
        <w:footnoteRef/>
      </w:r>
      <w:r>
        <w:t xml:space="preserve"> Stratégia v podkapitole o financovaní uvádza odporúčanie zvýšiť zdroje na všeobecnú ambulantnú starostlivosť na 0,4 % HDP. Podľa návrhu rozpočtu je očakávaná skutočnosť 2024 výdavkov na všeobecnú ambulantnú starostlivosť na úrovni 469 mil. eur, čo je 0,36 % prognózovaného HDP. Ak má dôjsť k navýšeniu týchto prostriedkov v súlade so stratégiou, trajektória tohto navýšenia by mala byť načrtnutá práve v návrhu RVS. </w:t>
      </w:r>
    </w:p>
  </w:footnote>
  <w:footnote w:id="82">
    <w:p w14:paraId="2F950A2A" w14:textId="5F420799" w:rsidR="003F23CE" w:rsidRPr="0029088E" w:rsidRDefault="003F23CE" w:rsidP="00DF11BE">
      <w:pPr>
        <w:pStyle w:val="Textpoznmkypodiarou"/>
        <w:rPr>
          <w:rFonts w:cs="Segoe UI"/>
          <w:szCs w:val="16"/>
        </w:rPr>
      </w:pPr>
      <w:r w:rsidRPr="0029088E">
        <w:rPr>
          <w:rStyle w:val="Odkaznapoznmkupodiarou"/>
          <w:rFonts w:cs="Segoe UI"/>
          <w:szCs w:val="16"/>
        </w:rPr>
        <w:footnoteRef/>
      </w:r>
      <w:r w:rsidRPr="0029088E">
        <w:rPr>
          <w:rFonts w:cs="Segoe UI"/>
          <w:szCs w:val="16"/>
        </w:rPr>
        <w:t xml:space="preserve"> </w:t>
      </w:r>
      <w:r>
        <w:rPr>
          <w:rFonts w:cs="Segoe UI"/>
          <w:szCs w:val="16"/>
        </w:rPr>
        <w:t xml:space="preserve">NKÚ SR – </w:t>
      </w:r>
      <w:r w:rsidRPr="0029088E">
        <w:rPr>
          <w:rFonts w:cs="Segoe UI"/>
          <w:szCs w:val="16"/>
        </w:rPr>
        <w:t>Stanovisko k návrhu ŠZÚ</w:t>
      </w:r>
      <w:r>
        <w:rPr>
          <w:rFonts w:cs="Segoe UI"/>
          <w:szCs w:val="16"/>
        </w:rPr>
        <w:t xml:space="preserve"> za rok</w:t>
      </w:r>
      <w:r w:rsidRPr="0029088E">
        <w:rPr>
          <w:rFonts w:cs="Segoe UI"/>
          <w:szCs w:val="16"/>
        </w:rPr>
        <w:t xml:space="preserve"> 2023. [</w:t>
      </w:r>
      <w:hyperlink r:id="rId47" w:anchor="page=36&amp;zoom=100,90,706" w:history="1">
        <w:r w:rsidRPr="0029088E">
          <w:rPr>
            <w:rStyle w:val="Hypertextovprepojenie"/>
            <w:rFonts w:cs="Segoe UI"/>
            <w:sz w:val="16"/>
            <w:szCs w:val="16"/>
          </w:rPr>
          <w:t>online</w:t>
        </w:r>
      </w:hyperlink>
      <w:r w:rsidRPr="0029088E">
        <w:rPr>
          <w:rFonts w:cs="Segoe UI"/>
          <w:szCs w:val="16"/>
        </w:rPr>
        <w:t>].</w:t>
      </w:r>
    </w:p>
  </w:footnote>
  <w:footnote w:id="83">
    <w:p w14:paraId="03B3CC92" w14:textId="0180CE21" w:rsidR="003F23CE" w:rsidRPr="0029088E" w:rsidRDefault="003F23CE" w:rsidP="00DF11BE">
      <w:pPr>
        <w:pStyle w:val="Textpoznmkypodiarou"/>
        <w:rPr>
          <w:szCs w:val="16"/>
        </w:rPr>
      </w:pPr>
      <w:r w:rsidRPr="0029088E">
        <w:rPr>
          <w:rStyle w:val="Odkaznapoznmkupodiarou"/>
          <w:szCs w:val="16"/>
        </w:rPr>
        <w:footnoteRef/>
      </w:r>
      <w:r w:rsidRPr="0029088E">
        <w:rPr>
          <w:szCs w:val="16"/>
        </w:rPr>
        <w:t xml:space="preserve"> Úbytok záväzkov po lehote splatnosti zaznamenali U</w:t>
      </w:r>
      <w:r>
        <w:rPr>
          <w:szCs w:val="16"/>
        </w:rPr>
        <w:t>N</w:t>
      </w:r>
      <w:r w:rsidRPr="0029088E">
        <w:rPr>
          <w:szCs w:val="16"/>
        </w:rPr>
        <w:t xml:space="preserve"> BA (5,17 mil. eur), Národný ústav detských chorôb BA (3,87 mil. eur) a F</w:t>
      </w:r>
      <w:r>
        <w:rPr>
          <w:szCs w:val="16"/>
        </w:rPr>
        <w:t>N</w:t>
      </w:r>
      <w:r w:rsidRPr="0029088E">
        <w:rPr>
          <w:szCs w:val="16"/>
        </w:rPr>
        <w:t xml:space="preserve"> F. D. Roosevelta BB (3,35 mil. eur).</w:t>
      </w:r>
    </w:p>
  </w:footnote>
  <w:footnote w:id="84">
    <w:p w14:paraId="23BBB251" w14:textId="77777777" w:rsidR="003F23CE" w:rsidRPr="0029088E" w:rsidRDefault="003F23CE" w:rsidP="00DF11BE">
      <w:pPr>
        <w:pStyle w:val="Textpoznmkypodiarou"/>
        <w:rPr>
          <w:rFonts w:cs="Segoe UI"/>
          <w:szCs w:val="16"/>
        </w:rPr>
      </w:pPr>
      <w:r w:rsidRPr="0029088E">
        <w:rPr>
          <w:rStyle w:val="Odkaznapoznmkupodiarou"/>
          <w:rFonts w:cs="Segoe UI"/>
          <w:szCs w:val="16"/>
        </w:rPr>
        <w:footnoteRef/>
      </w:r>
      <w:r w:rsidRPr="0029088E">
        <w:rPr>
          <w:rFonts w:cs="Segoe UI"/>
          <w:szCs w:val="16"/>
        </w:rPr>
        <w:t xml:space="preserve"> Rozsudok Súdneho dvora EÚ. [</w:t>
      </w:r>
      <w:hyperlink r:id="rId48" w:history="1">
        <w:r w:rsidRPr="0029088E">
          <w:rPr>
            <w:rStyle w:val="Hypertextovprepojenie"/>
            <w:rFonts w:cs="Segoe UI"/>
            <w:sz w:val="16"/>
            <w:szCs w:val="16"/>
          </w:rPr>
          <w:t>online</w:t>
        </w:r>
      </w:hyperlink>
      <w:r w:rsidRPr="0029088E">
        <w:rPr>
          <w:rFonts w:cs="Segoe UI"/>
          <w:szCs w:val="16"/>
        </w:rPr>
        <w:t>].</w:t>
      </w:r>
    </w:p>
  </w:footnote>
  <w:footnote w:id="85">
    <w:p w14:paraId="72B48685" w14:textId="701B3F80" w:rsidR="003F23CE" w:rsidRPr="00A2428D" w:rsidRDefault="003F23CE" w:rsidP="00DF11BE">
      <w:pPr>
        <w:pStyle w:val="Textpoznmkypodiarou"/>
        <w:rPr>
          <w:rFonts w:cs="Segoe UI"/>
          <w:sz w:val="18"/>
          <w:szCs w:val="18"/>
        </w:rPr>
      </w:pPr>
      <w:r w:rsidRPr="0029088E">
        <w:rPr>
          <w:rStyle w:val="Odkaznapoznmkupodiarou"/>
          <w:rFonts w:cs="Segoe UI"/>
          <w:szCs w:val="16"/>
        </w:rPr>
        <w:footnoteRef/>
      </w:r>
      <w:r w:rsidRPr="0029088E">
        <w:rPr>
          <w:rFonts w:cs="Segoe UI"/>
          <w:szCs w:val="16"/>
        </w:rPr>
        <w:t xml:space="preserve"> Smernica 2011/7/EÚ – Boj proti oneskoreným platbám v obchodných transakciách – Článok 4 ods. 4 písm. b) – Obchodné transakcie medzi podnikmi a orgánmi verejnej moci – Možnosť priznaná členským štátom predĺžiť lehotu splatnosti pre verejnoprávne subjekty poskytujúce zdravotnú starostlivosť najviac na 60 kalendárnych dní – Povinnosť členských štátov zabezpečiť, aby tieto verejnoprávne subjekty skutočne neprekročili túto lehotu.</w:t>
      </w:r>
    </w:p>
  </w:footnote>
  <w:footnote w:id="86">
    <w:p w14:paraId="79532C5B" w14:textId="77777777" w:rsidR="003F23CE" w:rsidRPr="00DD57E1" w:rsidRDefault="003F23CE" w:rsidP="00290A9E">
      <w:pPr>
        <w:pStyle w:val="Textpoznmkypodiarou"/>
        <w:rPr>
          <w:rFonts w:cs="Segoe UI"/>
          <w:sz w:val="18"/>
          <w:szCs w:val="18"/>
        </w:rPr>
      </w:pPr>
      <w:r w:rsidRPr="00290A9E">
        <w:rPr>
          <w:rStyle w:val="Odkaznapoznmkupodiarou"/>
          <w:rFonts w:cs="Segoe UI"/>
          <w:szCs w:val="16"/>
        </w:rPr>
        <w:footnoteRef/>
      </w:r>
      <w:r w:rsidRPr="00290A9E">
        <w:rPr>
          <w:rFonts w:cs="Segoe UI"/>
          <w:szCs w:val="16"/>
        </w:rPr>
        <w:t xml:space="preserve"> </w:t>
      </w:r>
      <w:r w:rsidRPr="00290A9E">
        <w:rPr>
          <w:rFonts w:cs="Segoe UI"/>
          <w:color w:val="000000"/>
          <w:szCs w:val="16"/>
          <w:shd w:val="clear" w:color="auto" w:fill="FFFFFF"/>
        </w:rPr>
        <w:t>Informácia o stave investícií v akútnej lôžkovej zdravotnej starostlivosti na Slovensku a zámer realizácie výstavby novej nemocnice v Bratislave. 2013. [</w:t>
      </w:r>
      <w:hyperlink r:id="rId49" w:history="1">
        <w:r w:rsidRPr="00290A9E">
          <w:rPr>
            <w:rStyle w:val="Hypertextovprepojenie"/>
            <w:rFonts w:cs="Segoe UI"/>
            <w:sz w:val="16"/>
            <w:szCs w:val="16"/>
            <w:shd w:val="clear" w:color="auto" w:fill="FFFFFF"/>
          </w:rPr>
          <w:t>online</w:t>
        </w:r>
      </w:hyperlink>
      <w:r w:rsidRPr="00290A9E">
        <w:rPr>
          <w:rFonts w:cs="Segoe UI"/>
          <w:color w:val="000000"/>
          <w:szCs w:val="16"/>
          <w:shd w:val="clear" w:color="auto" w:fill="FFFFFF"/>
        </w:rPr>
        <w:t>].</w:t>
      </w:r>
    </w:p>
  </w:footnote>
  <w:footnote w:id="87">
    <w:p w14:paraId="54E50689" w14:textId="77777777" w:rsidR="003F23CE" w:rsidRDefault="003F23CE" w:rsidP="001E0D59">
      <w:pPr>
        <w:pStyle w:val="Textpoznmkypodiarou"/>
      </w:pPr>
      <w:r w:rsidRPr="00290A9E">
        <w:rPr>
          <w:rStyle w:val="Odkaznapoznmkupodiarou"/>
          <w:rFonts w:cs="Segoe UI"/>
          <w:szCs w:val="18"/>
        </w:rPr>
        <w:footnoteRef/>
      </w:r>
      <w:r w:rsidRPr="00290A9E">
        <w:rPr>
          <w:rFonts w:cs="Segoe UI"/>
          <w:szCs w:val="18"/>
        </w:rPr>
        <w:t xml:space="preserve"> Stav budovy po prvom roku používania, teda po zabehnutí a odstránení prvotných nedostatkov.</w:t>
      </w:r>
    </w:p>
  </w:footnote>
  <w:footnote w:id="88">
    <w:p w14:paraId="27A3DF29" w14:textId="77777777" w:rsidR="003F23CE" w:rsidRPr="00432055" w:rsidRDefault="003F23CE" w:rsidP="00F6689C">
      <w:pPr>
        <w:pStyle w:val="Textpoznmkypodiarou"/>
        <w:rPr>
          <w:rFonts w:cs="Segoe UI"/>
        </w:rPr>
      </w:pPr>
      <w:r w:rsidRPr="00432055">
        <w:rPr>
          <w:rStyle w:val="Odkaznapoznmkupodiarou"/>
          <w:rFonts w:cs="Segoe UI"/>
        </w:rPr>
        <w:footnoteRef/>
      </w:r>
      <w:r w:rsidRPr="00432055">
        <w:rPr>
          <w:rFonts w:cs="Segoe UI"/>
        </w:rPr>
        <w:t xml:space="preserve"> Pred prijatím novely zákona 363/2011 o rozsahu a podmienkach úhrady liekov boli inovatívne a teda aj najdrahšie lieky hradené ZP na výnimky, a teda počet použitia bol regulovaný a obmedzený.</w:t>
      </w:r>
    </w:p>
  </w:footnote>
  <w:footnote w:id="89">
    <w:p w14:paraId="0A5308F9" w14:textId="1E9AC043" w:rsidR="003F23CE" w:rsidRDefault="003F23CE">
      <w:pPr>
        <w:pStyle w:val="Textpoznmkypodiarou"/>
      </w:pPr>
      <w:r>
        <w:rPr>
          <w:rStyle w:val="Odkaznapoznmkupodiarou"/>
        </w:rPr>
        <w:footnoteRef/>
      </w:r>
      <w:r>
        <w:t xml:space="preserve"> Poskytnutej na základe vyžiadania od MZ SR.</w:t>
      </w:r>
    </w:p>
  </w:footnote>
  <w:footnote w:id="90">
    <w:p w14:paraId="6581BF68" w14:textId="77777777" w:rsidR="003F23CE" w:rsidRDefault="003F23CE" w:rsidP="00C338CD">
      <w:pPr>
        <w:pStyle w:val="Textpoznmkypodiarou"/>
      </w:pPr>
      <w:r w:rsidRPr="00432055">
        <w:rPr>
          <w:rStyle w:val="Odkaznapoznmkupodiarou"/>
          <w:rFonts w:cs="Segoe UI"/>
        </w:rPr>
        <w:footnoteRef/>
      </w:r>
      <w:r w:rsidRPr="00432055">
        <w:rPr>
          <w:rFonts w:cs="Segoe UI"/>
        </w:rPr>
        <w:t xml:space="preserve"> Vyhláška 55/2024 o minimálnej celkovej sume v eurách určená pre jednotlivé typy zdravotnej starostlivosti pre jednotlivé zdravotné poisťovne na rok 2024 z celkovej sumy výdavkov zdravotnej poisťovne na zdravotnú starostlivosť určených v rozpočte na rok 2024. [</w:t>
      </w:r>
      <w:hyperlink r:id="rId50" w:history="1">
        <w:r w:rsidRPr="00432055">
          <w:rPr>
            <w:rStyle w:val="Hypertextovprepojenie"/>
            <w:rFonts w:cs="Segoe UI"/>
            <w:sz w:val="16"/>
          </w:rPr>
          <w:t>online</w:t>
        </w:r>
      </w:hyperlink>
      <w:r w:rsidRPr="00432055">
        <w:rPr>
          <w:rFonts w:cs="Segoe UI"/>
        </w:rPr>
        <w:t>].</w:t>
      </w:r>
    </w:p>
  </w:footnote>
  <w:footnote w:id="91">
    <w:p w14:paraId="4F61F80E" w14:textId="77777777" w:rsidR="003F23CE" w:rsidRPr="00432055" w:rsidRDefault="003F23CE" w:rsidP="00C338CD">
      <w:pPr>
        <w:pStyle w:val="Textpoznmkypodiarou"/>
        <w:rPr>
          <w:rFonts w:cs="Segoe UI"/>
        </w:rPr>
      </w:pPr>
      <w:r w:rsidRPr="00432055">
        <w:rPr>
          <w:rStyle w:val="Odkaznapoznmkupodiarou"/>
          <w:rFonts w:cs="Segoe UI"/>
        </w:rPr>
        <w:footnoteRef/>
      </w:r>
      <w:r w:rsidRPr="00432055">
        <w:rPr>
          <w:rFonts w:cs="Segoe UI"/>
        </w:rPr>
        <w:t xml:space="preserve"> Stanovisko k návrhu štátneho záverečného účtu 2023. [</w:t>
      </w:r>
      <w:hyperlink r:id="rId51" w:history="1">
        <w:r w:rsidRPr="00432055">
          <w:rPr>
            <w:rStyle w:val="Hypertextovprepojenie"/>
            <w:rFonts w:cs="Segoe UI"/>
            <w:sz w:val="16"/>
          </w:rPr>
          <w:t>online</w:t>
        </w:r>
      </w:hyperlink>
      <w:r w:rsidRPr="00432055">
        <w:rPr>
          <w:rFonts w:cs="Segoe UI"/>
        </w:rPr>
        <w:t>].</w:t>
      </w:r>
    </w:p>
  </w:footnote>
  <w:footnote w:id="92">
    <w:p w14:paraId="5A7353EA" w14:textId="77777777" w:rsidR="003F23CE" w:rsidRPr="002E5B13" w:rsidRDefault="003F23CE" w:rsidP="005C5249">
      <w:pPr>
        <w:pStyle w:val="Textpoznmkypodiarou"/>
        <w:rPr>
          <w:i/>
          <w:szCs w:val="16"/>
        </w:rPr>
      </w:pPr>
      <w:r w:rsidRPr="002E5B13">
        <w:rPr>
          <w:rStyle w:val="Odkaznapoznmkupodiarou"/>
          <w:szCs w:val="16"/>
        </w:rPr>
        <w:footnoteRef/>
      </w:r>
      <w:r w:rsidRPr="002E5B13">
        <w:rPr>
          <w:szCs w:val="16"/>
        </w:rPr>
        <w:t xml:space="preserve"> Komponent 6, Reforma 1: </w:t>
      </w:r>
      <w:r w:rsidRPr="002E5B13">
        <w:rPr>
          <w:i/>
          <w:szCs w:val="16"/>
        </w:rPr>
        <w:t xml:space="preserve">Vytvoriť „diferencovaný a transparentný systém financovania predprimárneho vzdelávania, </w:t>
      </w:r>
    </w:p>
    <w:p w14:paraId="15672747" w14:textId="77777777" w:rsidR="003F23CE" w:rsidRPr="002E5B13" w:rsidRDefault="003F23CE" w:rsidP="005C5249">
      <w:pPr>
        <w:pStyle w:val="Textpoznmkypodiarou"/>
        <w:rPr>
          <w:szCs w:val="16"/>
        </w:rPr>
      </w:pPr>
      <w:r w:rsidRPr="002E5B13">
        <w:rPr>
          <w:i/>
          <w:szCs w:val="16"/>
        </w:rPr>
        <w:t>aby sa zabezpečila stabilita, odolnosť a účelové viazanie finančných prostriedkov vyčlenených na vzdelávanie</w:t>
      </w:r>
      <w:r w:rsidRPr="002E5B13">
        <w:rPr>
          <w:szCs w:val="16"/>
        </w:rPr>
        <w:t>“.</w:t>
      </w:r>
    </w:p>
  </w:footnote>
  <w:footnote w:id="93">
    <w:p w14:paraId="2DB1CFD5" w14:textId="24AF6766" w:rsidR="003F23CE" w:rsidRDefault="003F23CE" w:rsidP="003A4874">
      <w:pPr>
        <w:pStyle w:val="Textpoznmkypodiarou"/>
      </w:pPr>
      <w:r>
        <w:rPr>
          <w:rStyle w:val="Odkaznapoznmkupodiarou"/>
        </w:rPr>
        <w:footnoteRef/>
      </w:r>
      <w:r>
        <w:t xml:space="preserve"> NIVAM, 2023. Správa o realizácii medzinárodnej štúdie PISA 2022 a prvé výsledky za SR. [</w:t>
      </w:r>
      <w:hyperlink r:id="rId52" w:history="1">
        <w:r w:rsidRPr="003A4874">
          <w:rPr>
            <w:rStyle w:val="Hypertextovprepojenie"/>
            <w:sz w:val="16"/>
          </w:rPr>
          <w:t>online</w:t>
        </w:r>
      </w:hyperlink>
      <w:r>
        <w:t>].</w:t>
      </w:r>
    </w:p>
  </w:footnote>
  <w:footnote w:id="94">
    <w:p w14:paraId="4570F721" w14:textId="77777777" w:rsidR="003F23CE" w:rsidRPr="00CC79E3" w:rsidRDefault="003F23CE" w:rsidP="00BE1E50">
      <w:pPr>
        <w:pStyle w:val="Textpoznmkypodiarou"/>
        <w:rPr>
          <w:szCs w:val="16"/>
        </w:rPr>
      </w:pPr>
      <w:r w:rsidRPr="00CC79E3">
        <w:rPr>
          <w:rStyle w:val="Odkaznapoznmkupodiarou"/>
          <w:szCs w:val="16"/>
        </w:rPr>
        <w:footnoteRef/>
      </w:r>
      <w:r w:rsidRPr="00CC79E3">
        <w:rPr>
          <w:szCs w:val="16"/>
        </w:rPr>
        <w:t xml:space="preserve"> Zákon 597/2003 Z. z. o financovaní základných škôl, stredných škôl a školských zariadení. [</w:t>
      </w:r>
      <w:hyperlink r:id="rId53" w:history="1">
        <w:r w:rsidRPr="00CC79E3">
          <w:rPr>
            <w:rStyle w:val="Hypertextovprepojenie"/>
            <w:sz w:val="16"/>
            <w:szCs w:val="16"/>
          </w:rPr>
          <w:t>online</w:t>
        </w:r>
      </w:hyperlink>
      <w:r w:rsidRPr="00CC79E3">
        <w:rPr>
          <w:szCs w:val="16"/>
        </w:rPr>
        <w:t>].</w:t>
      </w:r>
    </w:p>
  </w:footnote>
  <w:footnote w:id="95">
    <w:p w14:paraId="19C58448" w14:textId="77777777" w:rsidR="003F23CE" w:rsidRPr="00CC79E3" w:rsidRDefault="003F23CE" w:rsidP="00BE1E50">
      <w:pPr>
        <w:pStyle w:val="Textpoznmkypodiarou"/>
        <w:rPr>
          <w:szCs w:val="16"/>
        </w:rPr>
      </w:pPr>
      <w:r w:rsidRPr="00CC79E3">
        <w:rPr>
          <w:rStyle w:val="Odkaznapoznmkupodiarou"/>
          <w:szCs w:val="16"/>
        </w:rPr>
        <w:footnoteRef/>
      </w:r>
      <w:r w:rsidRPr="00CC79E3">
        <w:rPr>
          <w:szCs w:val="16"/>
        </w:rPr>
        <w:t xml:space="preserve"> Návrh vládneho zákona ktorým sa mení a dopĺňa zákon č. 597/2003 Z. z. o financovaní základných škôl, stredných škôl a školských zariadení. [</w:t>
      </w:r>
      <w:hyperlink r:id="rId54" w:history="1">
        <w:r w:rsidRPr="00CC79E3">
          <w:rPr>
            <w:rStyle w:val="Hypertextovprepojenie"/>
            <w:sz w:val="16"/>
            <w:szCs w:val="16"/>
          </w:rPr>
          <w:t>online</w:t>
        </w:r>
      </w:hyperlink>
      <w:r w:rsidRPr="00CC79E3">
        <w:rPr>
          <w:szCs w:val="16"/>
        </w:rPr>
        <w:t>].</w:t>
      </w:r>
    </w:p>
  </w:footnote>
  <w:footnote w:id="96">
    <w:p w14:paraId="7D47DD0A" w14:textId="77777777" w:rsidR="003F23CE" w:rsidRDefault="003F23CE" w:rsidP="00BE1E50">
      <w:pPr>
        <w:pStyle w:val="Textpoznmkypodiarou"/>
      </w:pPr>
      <w:r w:rsidRPr="00CC79E3">
        <w:rPr>
          <w:rStyle w:val="Odkaznapoznmkupodiarou"/>
          <w:szCs w:val="16"/>
        </w:rPr>
        <w:footnoteRef/>
      </w:r>
      <w:r w:rsidRPr="00CC79E3">
        <w:rPr>
          <w:szCs w:val="16"/>
        </w:rPr>
        <w:t>Analýza vplyvov na rozpočet verejnej správy, na zamestnanosť vo verejnej správe a financovanie návrhu. [</w:t>
      </w:r>
      <w:hyperlink r:id="rId55" w:history="1">
        <w:r w:rsidRPr="00CC79E3">
          <w:rPr>
            <w:rStyle w:val="Hypertextovprepojenie"/>
            <w:sz w:val="16"/>
            <w:szCs w:val="16"/>
          </w:rPr>
          <w:t>online</w:t>
        </w:r>
      </w:hyperlink>
      <w:r w:rsidRPr="00CC79E3">
        <w:rPr>
          <w:szCs w:val="16"/>
        </w:rPr>
        <w:t>].</w:t>
      </w:r>
      <w:r>
        <w:t xml:space="preserve"> </w:t>
      </w:r>
    </w:p>
  </w:footnote>
  <w:footnote w:id="97">
    <w:p w14:paraId="24EE5F1C" w14:textId="77777777" w:rsidR="003F23CE" w:rsidRPr="007B01D4" w:rsidRDefault="003F23CE" w:rsidP="00F85AF9">
      <w:pPr>
        <w:pStyle w:val="Textpoznmkypodiarou"/>
        <w:rPr>
          <w:szCs w:val="16"/>
        </w:rPr>
      </w:pPr>
      <w:r w:rsidRPr="007B01D4">
        <w:rPr>
          <w:rStyle w:val="Odkaznapoznmkupodiarou"/>
          <w:szCs w:val="16"/>
        </w:rPr>
        <w:footnoteRef/>
      </w:r>
      <w:r w:rsidRPr="007B01D4">
        <w:rPr>
          <w:szCs w:val="16"/>
        </w:rPr>
        <w:t xml:space="preserve"> NKÚ SR, 2023. Stanovisko NKÚ SR k návrhu štátneho rozpočtu SR na rok 2024. [</w:t>
      </w:r>
      <w:hyperlink r:id="rId56" w:history="1">
        <w:r w:rsidRPr="007B01D4">
          <w:rPr>
            <w:rStyle w:val="Hypertextovprepojenie"/>
            <w:sz w:val="16"/>
            <w:szCs w:val="16"/>
          </w:rPr>
          <w:t>online</w:t>
        </w:r>
      </w:hyperlink>
      <w:r w:rsidRPr="007B01D4">
        <w:rPr>
          <w:szCs w:val="16"/>
        </w:rPr>
        <w:t>].</w:t>
      </w:r>
    </w:p>
  </w:footnote>
  <w:footnote w:id="98">
    <w:p w14:paraId="67C36D97" w14:textId="77777777" w:rsidR="003F23CE" w:rsidRPr="007B01D4" w:rsidRDefault="003F23CE" w:rsidP="00F85AF9">
      <w:pPr>
        <w:pStyle w:val="Textpoznmkypodiarou"/>
        <w:rPr>
          <w:szCs w:val="16"/>
        </w:rPr>
      </w:pPr>
      <w:r w:rsidRPr="007B01D4">
        <w:rPr>
          <w:rStyle w:val="Odkaznapoznmkupodiarou"/>
          <w:szCs w:val="16"/>
        </w:rPr>
        <w:footnoteRef/>
      </w:r>
      <w:r w:rsidRPr="007B01D4">
        <w:rPr>
          <w:szCs w:val="16"/>
        </w:rPr>
        <w:t xml:space="preserve"> V prvých dvoch etapách sa prerozdelilo spolu 39,2 mil. eur, z ktorých sa 38,6 mil. eur týkalo pedagogických zamestnancov a 0,5 mil. eur odborných zamestnancov.</w:t>
      </w:r>
    </w:p>
  </w:footnote>
  <w:footnote w:id="99">
    <w:p w14:paraId="4F503171" w14:textId="2311A500" w:rsidR="003F23CE" w:rsidRPr="007B01D4" w:rsidRDefault="003F23CE" w:rsidP="00F85AF9">
      <w:pPr>
        <w:pStyle w:val="Textpoznmkypodiarou"/>
        <w:rPr>
          <w:szCs w:val="16"/>
        </w:rPr>
      </w:pPr>
      <w:r w:rsidRPr="007B01D4">
        <w:rPr>
          <w:rStyle w:val="Odkaznapoznmkupodiarou"/>
          <w:szCs w:val="16"/>
        </w:rPr>
        <w:footnoteRef/>
      </w:r>
      <w:r w:rsidRPr="007B01D4">
        <w:rPr>
          <w:szCs w:val="16"/>
        </w:rPr>
        <w:t xml:space="preserve"> Prioritné výdavkové tituly Ministerstva školstva, výskumu</w:t>
      </w:r>
      <w:r>
        <w:rPr>
          <w:szCs w:val="16"/>
        </w:rPr>
        <w:t>, vývoja</w:t>
      </w:r>
      <w:r w:rsidRPr="007B01D4">
        <w:rPr>
          <w:szCs w:val="16"/>
        </w:rPr>
        <w:t xml:space="preserve"> a </w:t>
      </w:r>
      <w:r>
        <w:rPr>
          <w:szCs w:val="16"/>
        </w:rPr>
        <w:t>mládeže</w:t>
      </w:r>
      <w:r w:rsidRPr="007B01D4">
        <w:rPr>
          <w:szCs w:val="16"/>
        </w:rPr>
        <w:t xml:space="preserve"> SR na roky 2025 až 2027 </w:t>
      </w:r>
      <w:r>
        <w:rPr>
          <w:szCs w:val="16"/>
        </w:rPr>
        <w:t>(</w:t>
      </w:r>
      <w:r w:rsidRPr="007B01D4">
        <w:rPr>
          <w:szCs w:val="16"/>
        </w:rPr>
        <w:t>jún 2024).</w:t>
      </w:r>
    </w:p>
  </w:footnote>
  <w:footnote w:id="100">
    <w:p w14:paraId="064A96E0" w14:textId="77777777" w:rsidR="003F23CE" w:rsidRPr="007B01D4" w:rsidRDefault="003F23CE" w:rsidP="00591408">
      <w:pPr>
        <w:pStyle w:val="Textpoznmkypodiarou"/>
        <w:rPr>
          <w:szCs w:val="16"/>
        </w:rPr>
      </w:pPr>
      <w:r w:rsidRPr="007B01D4">
        <w:rPr>
          <w:rStyle w:val="Odkaznapoznmkupodiarou"/>
          <w:szCs w:val="16"/>
        </w:rPr>
        <w:footnoteRef/>
      </w:r>
      <w:r w:rsidRPr="007B01D4">
        <w:rPr>
          <w:szCs w:val="16"/>
        </w:rPr>
        <w:t xml:space="preserve"> Dáta za rok 2024 budú k dispozícii až vo februári 2025.</w:t>
      </w:r>
    </w:p>
  </w:footnote>
  <w:footnote w:id="101">
    <w:p w14:paraId="768ABC8E" w14:textId="77777777" w:rsidR="003F23CE" w:rsidRDefault="003F23CE" w:rsidP="00591408">
      <w:pPr>
        <w:pStyle w:val="Textpoznmkypodiarou"/>
      </w:pPr>
      <w:r w:rsidRPr="007B01D4">
        <w:rPr>
          <w:rStyle w:val="Odkaznapoznmkupodiarou"/>
          <w:szCs w:val="16"/>
        </w:rPr>
        <w:footnoteRef/>
      </w:r>
      <w:r w:rsidRPr="007B01D4">
        <w:rPr>
          <w:szCs w:val="16"/>
        </w:rPr>
        <w:t xml:space="preserve"> Externá časť maturitnej skúšky v školskom roku 2023/2024. [</w:t>
      </w:r>
      <w:hyperlink r:id="rId57" w:history="1">
        <w:r w:rsidRPr="007B01D4">
          <w:rPr>
            <w:rStyle w:val="Hypertextovprepojenie"/>
            <w:sz w:val="16"/>
            <w:szCs w:val="16"/>
          </w:rPr>
          <w:t>online</w:t>
        </w:r>
      </w:hyperlink>
      <w:r w:rsidRPr="007B01D4">
        <w:rPr>
          <w:szCs w:val="16"/>
        </w:rPr>
        <w:t>].</w:t>
      </w:r>
    </w:p>
  </w:footnote>
  <w:footnote w:id="102">
    <w:p w14:paraId="117CF37F" w14:textId="77777777" w:rsidR="003F23CE" w:rsidRDefault="003F23CE" w:rsidP="00AE514F">
      <w:pPr>
        <w:pStyle w:val="Textpoznmkypodiarou"/>
      </w:pPr>
      <w:r w:rsidRPr="00530CEB">
        <w:rPr>
          <w:rStyle w:val="Odkaznapoznmkupodiarou"/>
        </w:rPr>
        <w:footnoteRef/>
      </w:r>
      <w:r w:rsidRPr="00530CEB">
        <w:t xml:space="preserve"> Počet študujúcich slovenského štátneho občianstva v dennej forme štúdia v akademickom roku 2023/2024 vyšší ako tisíc.</w:t>
      </w:r>
    </w:p>
  </w:footnote>
  <w:footnote w:id="103">
    <w:p w14:paraId="0C6EA2A0" w14:textId="5D365951" w:rsidR="003F23CE" w:rsidRPr="007B01D4" w:rsidRDefault="003F23CE" w:rsidP="007B01D4">
      <w:pPr>
        <w:pStyle w:val="Textpoznmkypodiarou"/>
        <w:rPr>
          <w:szCs w:val="16"/>
        </w:rPr>
      </w:pPr>
      <w:r w:rsidRPr="007B01D4">
        <w:rPr>
          <w:rStyle w:val="Odkaznapoznmkupodiarou"/>
          <w:szCs w:val="16"/>
        </w:rPr>
        <w:footnoteRef/>
      </w:r>
      <w:r w:rsidRPr="007B01D4">
        <w:rPr>
          <w:szCs w:val="16"/>
        </w:rPr>
        <w:t xml:space="preserve"> IVP, 2019 </w:t>
      </w:r>
      <w:r>
        <w:rPr>
          <w:szCs w:val="16"/>
        </w:rPr>
        <w:t xml:space="preserve">– </w:t>
      </w:r>
      <w:r w:rsidRPr="007B01D4">
        <w:rPr>
          <w:szCs w:val="16"/>
        </w:rPr>
        <w:t>Držím ti miesto: Analýza kapacít materských škôl pre 5-ročné deti. [</w:t>
      </w:r>
      <w:hyperlink r:id="rId58" w:history="1">
        <w:r w:rsidRPr="007B01D4">
          <w:rPr>
            <w:rStyle w:val="Hypertextovprepojenie"/>
            <w:sz w:val="16"/>
            <w:szCs w:val="16"/>
          </w:rPr>
          <w:t>online</w:t>
        </w:r>
      </w:hyperlink>
      <w:r w:rsidRPr="007B01D4">
        <w:rPr>
          <w:szCs w:val="16"/>
        </w:rPr>
        <w:t>].</w:t>
      </w:r>
    </w:p>
  </w:footnote>
  <w:footnote w:id="104">
    <w:p w14:paraId="0B617B17" w14:textId="41958FEC" w:rsidR="003F23CE" w:rsidRPr="007B01D4" w:rsidRDefault="003F23CE" w:rsidP="007B01D4">
      <w:pPr>
        <w:pStyle w:val="Textpoznmkypodiarou"/>
        <w:rPr>
          <w:szCs w:val="16"/>
        </w:rPr>
      </w:pPr>
      <w:r w:rsidRPr="007B01D4">
        <w:rPr>
          <w:rStyle w:val="Odkaznapoznmkupodiarou"/>
          <w:szCs w:val="16"/>
        </w:rPr>
        <w:footnoteRef/>
      </w:r>
      <w:r w:rsidRPr="007B01D4">
        <w:rPr>
          <w:szCs w:val="16"/>
        </w:rPr>
        <w:t xml:space="preserve"> NKÚ SR </w:t>
      </w:r>
      <w:r>
        <w:rPr>
          <w:szCs w:val="16"/>
        </w:rPr>
        <w:t xml:space="preserve">– </w:t>
      </w:r>
      <w:r w:rsidRPr="007B01D4">
        <w:rPr>
          <w:szCs w:val="16"/>
        </w:rPr>
        <w:t>Stanovisko NKÚ SR k návrhu štátneho rozpočtu SR na rok 2024. [</w:t>
      </w:r>
      <w:hyperlink r:id="rId59" w:history="1">
        <w:r w:rsidRPr="007B01D4">
          <w:rPr>
            <w:rStyle w:val="Hypertextovprepojenie"/>
            <w:sz w:val="16"/>
            <w:szCs w:val="16"/>
          </w:rPr>
          <w:t>online</w:t>
        </w:r>
      </w:hyperlink>
      <w:r w:rsidRPr="007B01D4">
        <w:rPr>
          <w:szCs w:val="16"/>
        </w:rPr>
        <w:t>].</w:t>
      </w:r>
    </w:p>
  </w:footnote>
  <w:footnote w:id="105">
    <w:p w14:paraId="35BBE637" w14:textId="77777777" w:rsidR="003F23CE" w:rsidRPr="007B01D4" w:rsidRDefault="003F23CE" w:rsidP="007B01D4">
      <w:pPr>
        <w:pStyle w:val="Textpoznmkypodiarou"/>
        <w:rPr>
          <w:szCs w:val="16"/>
        </w:rPr>
      </w:pPr>
      <w:r w:rsidRPr="007B01D4">
        <w:rPr>
          <w:rStyle w:val="Odkaznapoznmkupodiarou"/>
          <w:szCs w:val="16"/>
        </w:rPr>
        <w:footnoteRef/>
      </w:r>
      <w:r w:rsidRPr="007B01D4">
        <w:rPr>
          <w:szCs w:val="16"/>
        </w:rPr>
        <w:t xml:space="preserve"> Ide o súčet rôznych pracovných úväzkov. MŠ väčšinou dostanú finančné prostriedky len na časť úväzku a nemusia nájsť zdroje na dofinancovanie zvyšku úväzku.</w:t>
      </w:r>
    </w:p>
  </w:footnote>
  <w:footnote w:id="106">
    <w:p w14:paraId="047BA30D" w14:textId="77777777" w:rsidR="003F23CE" w:rsidRPr="007B01D4" w:rsidRDefault="003F23CE" w:rsidP="007B01D4">
      <w:pPr>
        <w:pStyle w:val="Textpoznmkypodiarou"/>
        <w:rPr>
          <w:szCs w:val="16"/>
        </w:rPr>
      </w:pPr>
      <w:r w:rsidRPr="007B01D4">
        <w:rPr>
          <w:rStyle w:val="Odkaznapoznmkupodiarou"/>
          <w:szCs w:val="16"/>
        </w:rPr>
        <w:footnoteRef/>
      </w:r>
      <w:r w:rsidRPr="007B01D4">
        <w:rPr>
          <w:szCs w:val="16"/>
        </w:rPr>
        <w:t xml:space="preserve"> Deti zo sociálne znevýhodneného prostredia, deti so zdravotným znevýhodnením a deti s nadaním. Bez detí v hmotnej núdzi, ktorých počet CVTI SR nezisťuje.</w:t>
      </w:r>
    </w:p>
  </w:footnote>
  <w:footnote w:id="107">
    <w:p w14:paraId="6A142E67" w14:textId="77777777" w:rsidR="003F23CE" w:rsidRDefault="003F23CE" w:rsidP="00BA7DD9">
      <w:pPr>
        <w:pStyle w:val="Textpoznmkypodiarou"/>
      </w:pPr>
      <w:r w:rsidRPr="007B01D4">
        <w:rPr>
          <w:rStyle w:val="Odkaznapoznmkupodiarou"/>
          <w:szCs w:val="16"/>
        </w:rPr>
        <w:footnoteRef/>
      </w:r>
      <w:r w:rsidRPr="007B01D4">
        <w:rPr>
          <w:szCs w:val="16"/>
        </w:rPr>
        <w:t xml:space="preserve"> Predpoklad rovnakého medziročného nárastu počtu znevýhodnených detí ako v roku 2023.</w:t>
      </w:r>
    </w:p>
  </w:footnote>
  <w:footnote w:id="108">
    <w:p w14:paraId="40ADF6C8" w14:textId="37B24A00" w:rsidR="003F23CE" w:rsidRPr="00953E7C" w:rsidRDefault="003F23CE" w:rsidP="007B01D4">
      <w:pPr>
        <w:pStyle w:val="Textpoznmkypodiarou"/>
        <w:rPr>
          <w:szCs w:val="16"/>
        </w:rPr>
      </w:pPr>
      <w:r w:rsidRPr="00953E7C">
        <w:rPr>
          <w:rStyle w:val="Odkaznapoznmkupodiarou"/>
          <w:szCs w:val="16"/>
        </w:rPr>
        <w:footnoteRef/>
      </w:r>
      <w:r w:rsidRPr="00953E7C">
        <w:rPr>
          <w:szCs w:val="16"/>
        </w:rPr>
        <w:t xml:space="preserve"> To dá rozum, 2019 </w:t>
      </w:r>
      <w:r>
        <w:rPr>
          <w:szCs w:val="16"/>
        </w:rPr>
        <w:t xml:space="preserve">– </w:t>
      </w:r>
      <w:r w:rsidRPr="00953E7C">
        <w:rPr>
          <w:szCs w:val="16"/>
        </w:rPr>
        <w:t>Analýza zistení o stave školstva na Slovensku. [</w:t>
      </w:r>
      <w:hyperlink r:id="rId60" w:history="1">
        <w:r w:rsidRPr="00953E7C">
          <w:rPr>
            <w:rStyle w:val="Hypertextovprepojenie"/>
            <w:sz w:val="16"/>
            <w:szCs w:val="16"/>
          </w:rPr>
          <w:t>online</w:t>
        </w:r>
      </w:hyperlink>
      <w:r w:rsidRPr="00953E7C">
        <w:rPr>
          <w:szCs w:val="16"/>
        </w:rPr>
        <w:t>].</w:t>
      </w:r>
    </w:p>
  </w:footnote>
  <w:footnote w:id="109">
    <w:p w14:paraId="06FC68E4" w14:textId="77777777" w:rsidR="003F23CE" w:rsidRDefault="003F23CE" w:rsidP="003D01FD">
      <w:pPr>
        <w:pStyle w:val="Textpoznmkypodiarou"/>
      </w:pPr>
      <w:r>
        <w:rPr>
          <w:rStyle w:val="Odkaznapoznmkupodiarou"/>
        </w:rPr>
        <w:footnoteRef/>
      </w:r>
      <w:r>
        <w:t xml:space="preserve"> Investičný plán MŠVVaM SR na roky 2024 – 2029. [</w:t>
      </w:r>
      <w:hyperlink r:id="rId61" w:history="1">
        <w:r w:rsidRPr="00143890">
          <w:rPr>
            <w:rStyle w:val="Hypertextovprepojenie"/>
            <w:sz w:val="16"/>
          </w:rPr>
          <w:t>online</w:t>
        </w:r>
      </w:hyperlink>
      <w:r>
        <w:t>].</w:t>
      </w:r>
    </w:p>
  </w:footnote>
  <w:footnote w:id="110">
    <w:p w14:paraId="4C082481" w14:textId="2D694190" w:rsidR="003F23CE" w:rsidRDefault="003F23CE" w:rsidP="00705B40">
      <w:pPr>
        <w:pStyle w:val="Textpoznmkypodiarou"/>
      </w:pPr>
      <w:r>
        <w:rPr>
          <w:rStyle w:val="Odkaznapoznmkupodiarou"/>
        </w:rPr>
        <w:footnoteRef/>
      </w:r>
      <w:r>
        <w:t xml:space="preserve"> </w:t>
      </w:r>
      <w:r w:rsidRPr="00AD77A4">
        <w:rPr>
          <w:rFonts w:cs="Segoe UI"/>
          <w:szCs w:val="16"/>
        </w:rPr>
        <w:t>IEP. 2024. Kanalýza, Analýza stavu odkanalizovania Slovenskej republiky</w:t>
      </w:r>
      <w:r>
        <w:rPr>
          <w:rFonts w:cs="Segoe UI"/>
          <w:szCs w:val="16"/>
        </w:rPr>
        <w:t>.</w:t>
      </w:r>
      <w:r w:rsidRPr="00AD77A4">
        <w:rPr>
          <w:rFonts w:cs="Segoe UI"/>
          <w:szCs w:val="16"/>
        </w:rPr>
        <w:t xml:space="preserve"> Bratislava</w:t>
      </w:r>
      <w:r>
        <w:rPr>
          <w:rFonts w:cs="Segoe UI"/>
          <w:szCs w:val="16"/>
        </w:rPr>
        <w:t>.</w:t>
      </w:r>
    </w:p>
  </w:footnote>
  <w:footnote w:id="111">
    <w:p w14:paraId="29E5CD64" w14:textId="77777777" w:rsidR="003F23CE" w:rsidRPr="00953E7C" w:rsidRDefault="003F23CE" w:rsidP="00AB6FD9">
      <w:pPr>
        <w:pStyle w:val="Textpoznmkypodiarou"/>
        <w:rPr>
          <w:rFonts w:cs="Segoe UI"/>
          <w:szCs w:val="16"/>
        </w:rPr>
      </w:pPr>
      <w:r w:rsidRPr="00953E7C">
        <w:rPr>
          <w:rStyle w:val="Odkaznapoznmkupodiarou"/>
          <w:rFonts w:cs="Segoe UI"/>
          <w:szCs w:val="16"/>
        </w:rPr>
        <w:footnoteRef/>
      </w:r>
      <w:r w:rsidRPr="00953E7C">
        <w:rPr>
          <w:rFonts w:cs="Segoe UI"/>
          <w:szCs w:val="16"/>
        </w:rPr>
        <w:t xml:space="preserve"> OECD, 2024. Environmental Performance Reviews, Slovak Republic. </w:t>
      </w:r>
      <w:hyperlink r:id="rId62" w:history="1">
        <w:r w:rsidRPr="00953E7C">
          <w:rPr>
            <w:rStyle w:val="Hypertextovprepojenie"/>
            <w:rFonts w:cs="Segoe UI"/>
            <w:sz w:val="16"/>
            <w:szCs w:val="16"/>
          </w:rPr>
          <w:t>[online]</w:t>
        </w:r>
      </w:hyperlink>
      <w:r w:rsidRPr="00953E7C">
        <w:rPr>
          <w:rFonts w:cs="Segoe UI"/>
          <w:szCs w:val="16"/>
        </w:rPr>
        <w:t>.</w:t>
      </w:r>
    </w:p>
  </w:footnote>
  <w:footnote w:id="112">
    <w:p w14:paraId="256C2981" w14:textId="77777777" w:rsidR="003F23CE" w:rsidRDefault="003F23CE" w:rsidP="00916D76">
      <w:pPr>
        <w:pStyle w:val="Textpoznmkypodiarou"/>
      </w:pPr>
      <w:r>
        <w:rPr>
          <w:rStyle w:val="Odkaznapoznmkupodiarou"/>
        </w:rPr>
        <w:footnoteRef/>
      </w:r>
      <w:r>
        <w:t xml:space="preserve"> </w:t>
      </w:r>
      <w:r w:rsidRPr="00953E7C">
        <w:rPr>
          <w:rFonts w:cs="Segoe UI"/>
          <w:szCs w:val="16"/>
        </w:rPr>
        <w:t xml:space="preserve">OECD, 2024. Environmental Performance Reviews, Slovak Republic. </w:t>
      </w:r>
      <w:hyperlink r:id="rId63" w:history="1">
        <w:r w:rsidRPr="00953E7C">
          <w:rPr>
            <w:rStyle w:val="Hypertextovprepojenie"/>
            <w:rFonts w:cs="Segoe UI"/>
            <w:sz w:val="16"/>
            <w:szCs w:val="16"/>
          </w:rPr>
          <w:t>[online]</w:t>
        </w:r>
      </w:hyperlink>
      <w:r w:rsidRPr="00953E7C">
        <w:rPr>
          <w:rFonts w:cs="Segoe UI"/>
          <w:szCs w:val="16"/>
        </w:rPr>
        <w:t>.</w:t>
      </w:r>
    </w:p>
  </w:footnote>
  <w:footnote w:id="113">
    <w:p w14:paraId="5349F41E" w14:textId="77777777" w:rsidR="003F23CE" w:rsidRPr="002E5B13" w:rsidRDefault="003F23CE" w:rsidP="002E5B13">
      <w:pPr>
        <w:pStyle w:val="Textpoznmkypodiarou"/>
        <w:rPr>
          <w:szCs w:val="16"/>
        </w:rPr>
      </w:pPr>
      <w:r w:rsidRPr="002E5B13">
        <w:rPr>
          <w:rStyle w:val="Odkaznapoznmkupodiarou"/>
          <w:szCs w:val="16"/>
        </w:rPr>
        <w:footnoteRef/>
      </w:r>
      <w:r w:rsidRPr="002E5B13">
        <w:rPr>
          <w:szCs w:val="16"/>
        </w:rPr>
        <w:t xml:space="preserve"> Návrh RVS na roky 2025 až 2027, s. 166. [</w:t>
      </w:r>
      <w:hyperlink r:id="rId64" w:history="1">
        <w:r w:rsidRPr="002E5B13">
          <w:rPr>
            <w:rStyle w:val="Hypertextovprepojenie"/>
            <w:sz w:val="16"/>
            <w:szCs w:val="16"/>
          </w:rPr>
          <w:t>online</w:t>
        </w:r>
      </w:hyperlink>
      <w:r w:rsidRPr="002E5B13">
        <w:rPr>
          <w:szCs w:val="16"/>
        </w:rPr>
        <w:t>].</w:t>
      </w:r>
    </w:p>
  </w:footnote>
  <w:footnote w:id="114">
    <w:p w14:paraId="0223B781" w14:textId="77777777" w:rsidR="003F23CE" w:rsidRPr="002E5B13" w:rsidRDefault="003F23CE" w:rsidP="005C7289">
      <w:pPr>
        <w:pStyle w:val="Textpoznmkypodiarou"/>
        <w:rPr>
          <w:szCs w:val="16"/>
        </w:rPr>
      </w:pPr>
      <w:r w:rsidRPr="002E5B13">
        <w:rPr>
          <w:rStyle w:val="Odkaznapoznmkupodiarou"/>
          <w:szCs w:val="16"/>
        </w:rPr>
        <w:footnoteRef/>
      </w:r>
      <w:r w:rsidRPr="002E5B13">
        <w:rPr>
          <w:szCs w:val="16"/>
        </w:rPr>
        <w:t xml:space="preserve"> Zákon 597/2003 Z. z. o financovaní základných škôl, stredných škôl a školských zariadení. [</w:t>
      </w:r>
      <w:hyperlink r:id="rId65" w:history="1">
        <w:r w:rsidRPr="002E5B13">
          <w:rPr>
            <w:rStyle w:val="Hypertextovprepojenie"/>
            <w:sz w:val="16"/>
            <w:szCs w:val="16"/>
          </w:rPr>
          <w:t>online</w:t>
        </w:r>
      </w:hyperlink>
      <w:r w:rsidRPr="002E5B13">
        <w:rPr>
          <w:szCs w:val="16"/>
        </w:rPr>
        <w:t>].</w:t>
      </w:r>
    </w:p>
  </w:footnote>
  <w:footnote w:id="115">
    <w:p w14:paraId="2F437E78" w14:textId="77777777" w:rsidR="003F23CE" w:rsidRPr="002E5B13" w:rsidRDefault="003F23CE" w:rsidP="005C7289">
      <w:pPr>
        <w:pStyle w:val="Textpoznmkypodiarou"/>
        <w:rPr>
          <w:szCs w:val="16"/>
        </w:rPr>
      </w:pPr>
      <w:r w:rsidRPr="002E5B13">
        <w:rPr>
          <w:rStyle w:val="Odkaznapoznmkupodiarou"/>
          <w:szCs w:val="16"/>
        </w:rPr>
        <w:footnoteRef/>
      </w:r>
      <w:r w:rsidRPr="002E5B13">
        <w:rPr>
          <w:szCs w:val="16"/>
        </w:rPr>
        <w:t xml:space="preserve"> Návrh RVS na roky 2025 až 2027, s. 66. [</w:t>
      </w:r>
      <w:hyperlink r:id="rId66" w:history="1">
        <w:r w:rsidRPr="002E5B13">
          <w:rPr>
            <w:rStyle w:val="Hypertextovprepojenie"/>
            <w:sz w:val="16"/>
            <w:szCs w:val="16"/>
          </w:rPr>
          <w:t>online</w:t>
        </w:r>
      </w:hyperlink>
      <w:r w:rsidRPr="002E5B13">
        <w:rPr>
          <w:szCs w:val="16"/>
        </w:rPr>
        <w:t>].</w:t>
      </w:r>
    </w:p>
  </w:footnote>
  <w:footnote w:id="116">
    <w:p w14:paraId="02E1DF6C" w14:textId="77777777" w:rsidR="003F23CE" w:rsidRPr="002E5B13" w:rsidRDefault="003F23CE" w:rsidP="005C7289">
      <w:pPr>
        <w:pStyle w:val="Textpoznmkypodiarou"/>
        <w:rPr>
          <w:szCs w:val="16"/>
        </w:rPr>
      </w:pPr>
      <w:r w:rsidRPr="002E5B13">
        <w:rPr>
          <w:rStyle w:val="Odkaznapoznmkupodiarou"/>
          <w:szCs w:val="16"/>
        </w:rPr>
        <w:footnoteRef/>
      </w:r>
      <w:r w:rsidRPr="002E5B13">
        <w:rPr>
          <w:szCs w:val="16"/>
        </w:rPr>
        <w:t xml:space="preserve"> Návrh RVS na roky 2025 až 2027, s. 40. [</w:t>
      </w:r>
      <w:hyperlink r:id="rId67" w:history="1">
        <w:r w:rsidRPr="002E5B13">
          <w:rPr>
            <w:rStyle w:val="Hypertextovprepojenie"/>
            <w:sz w:val="16"/>
            <w:szCs w:val="16"/>
          </w:rPr>
          <w:t>online</w:t>
        </w:r>
      </w:hyperlink>
      <w:r w:rsidRPr="002E5B13">
        <w:rPr>
          <w:szCs w:val="16"/>
        </w:rPr>
        <w:t>].</w:t>
      </w:r>
    </w:p>
  </w:footnote>
  <w:footnote w:id="117">
    <w:p w14:paraId="2E44D753" w14:textId="141B3672" w:rsidR="003F23CE" w:rsidRPr="002E5B13" w:rsidRDefault="003F23CE" w:rsidP="005C7289">
      <w:pPr>
        <w:pStyle w:val="Textpoznmkypodiarou"/>
        <w:rPr>
          <w:rFonts w:cs="Segoe UI"/>
          <w:szCs w:val="16"/>
        </w:rPr>
      </w:pPr>
      <w:r w:rsidRPr="002E5B13">
        <w:rPr>
          <w:rStyle w:val="Odkaznapoznmkupodiarou"/>
          <w:szCs w:val="16"/>
        </w:rPr>
        <w:footnoteRef/>
      </w:r>
      <w:r w:rsidRPr="002E5B13">
        <w:rPr>
          <w:szCs w:val="16"/>
        </w:rPr>
        <w:t xml:space="preserve"> Napríklad </w:t>
      </w:r>
      <w:r w:rsidRPr="002E5B13">
        <w:rPr>
          <w:rFonts w:cs="Segoe UI"/>
          <w:szCs w:val="16"/>
        </w:rPr>
        <w:t>bežné výdavky na odchodné, dopravné, príspevok na súčasti výchovno-vzdelávacieho procesu a</w:t>
      </w:r>
      <w:r>
        <w:rPr>
          <w:rFonts w:cs="Segoe UI"/>
          <w:szCs w:val="16"/>
        </w:rPr>
        <w:t>tď.</w:t>
      </w:r>
    </w:p>
  </w:footnote>
  <w:footnote w:id="118">
    <w:p w14:paraId="2C65E153" w14:textId="77777777" w:rsidR="003F23CE" w:rsidRPr="00D6372C" w:rsidRDefault="003F23CE" w:rsidP="00714741">
      <w:pPr>
        <w:pStyle w:val="Textpoznmkypodiarou"/>
        <w:rPr>
          <w:szCs w:val="16"/>
        </w:rPr>
      </w:pPr>
      <w:r>
        <w:rPr>
          <w:rStyle w:val="Odkaznapoznmkupodiarou"/>
        </w:rPr>
        <w:footnoteRef/>
      </w:r>
      <w:r>
        <w:t xml:space="preserve"> </w:t>
      </w:r>
      <w:r w:rsidRPr="008C21AF">
        <w:rPr>
          <w:szCs w:val="16"/>
        </w:rPr>
        <w:t>Zákon č. 564/2004 Z. z. o rozpočtovom určení výnosu dane z príjmov územnej samospráve</w:t>
      </w:r>
      <w:r>
        <w:rPr>
          <w:szCs w:val="16"/>
        </w:rPr>
        <w:t>.</w:t>
      </w:r>
      <w:r w:rsidRPr="008C21AF">
        <w:rPr>
          <w:szCs w:val="16"/>
        </w:rPr>
        <w:t xml:space="preserve"> [</w:t>
      </w:r>
      <w:hyperlink r:id="rId68" w:history="1">
        <w:r w:rsidRPr="008C21AF">
          <w:rPr>
            <w:rStyle w:val="Hypertextovprepojenie"/>
            <w:sz w:val="16"/>
            <w:szCs w:val="16"/>
          </w:rPr>
          <w:t>online</w:t>
        </w:r>
      </w:hyperlink>
      <w:r w:rsidRPr="008C21AF">
        <w:rPr>
          <w:szCs w:val="16"/>
        </w:rPr>
        <w:t>]</w:t>
      </w:r>
      <w:r>
        <w:rPr>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803" w:type="pct"/>
      <w:tblInd w:w="-1418" w:type="dxa"/>
      <w:shd w:val="clear" w:color="auto" w:fill="9CB9EC" w:themeFill="accent2"/>
      <w:tblCellMar>
        <w:top w:w="115" w:type="dxa"/>
        <w:left w:w="115" w:type="dxa"/>
        <w:bottom w:w="115" w:type="dxa"/>
        <w:right w:w="115" w:type="dxa"/>
      </w:tblCellMar>
      <w:tblLook w:val="04A0" w:firstRow="1" w:lastRow="0" w:firstColumn="1" w:lastColumn="0" w:noHBand="0" w:noVBand="1"/>
    </w:tblPr>
    <w:tblGrid>
      <w:gridCol w:w="12341"/>
    </w:tblGrid>
    <w:tr w:rsidR="003F23CE" w14:paraId="6078A1EE" w14:textId="77777777" w:rsidTr="00D368ED">
      <w:trPr>
        <w:trHeight w:val="1911"/>
      </w:trPr>
      <w:tc>
        <w:tcPr>
          <w:tcW w:w="5000" w:type="pct"/>
          <w:shd w:val="clear" w:color="auto" w:fill="314364"/>
          <w:vAlign w:val="center"/>
        </w:tcPr>
        <w:p w14:paraId="0129F68B" w14:textId="77777777" w:rsidR="003F23CE" w:rsidRPr="00D368ED" w:rsidRDefault="003F23CE" w:rsidP="000B6CC9">
          <w:pPr>
            <w:pStyle w:val="Hlavika"/>
            <w:tabs>
              <w:tab w:val="clear" w:pos="9072"/>
              <w:tab w:val="right" w:pos="10239"/>
            </w:tabs>
            <w:spacing w:before="240" w:after="120"/>
            <w:ind w:left="1308"/>
            <w:jc w:val="left"/>
            <w:rPr>
              <w:rFonts w:cs="Segoe UI"/>
              <w:b/>
              <w:caps/>
              <w:color w:val="FFFFFF" w:themeColor="background1"/>
              <w:sz w:val="40"/>
              <w:szCs w:val="40"/>
            </w:rPr>
          </w:pPr>
          <w:r w:rsidRPr="0060315B">
            <w:rPr>
              <w:rFonts w:cs="Segoe UI"/>
              <w:noProof/>
              <w:color w:val="FFFFFF" w:themeColor="background1"/>
              <w:sz w:val="40"/>
              <w:lang w:eastAsia="sk-SK"/>
            </w:rPr>
            <w:drawing>
              <wp:anchor distT="0" distB="0" distL="114300" distR="114300" simplePos="0" relativeHeight="251661312" behindDoc="0" locked="0" layoutInCell="1" allowOverlap="1" wp14:anchorId="375CB54A" wp14:editId="30DC9E20">
                <wp:simplePos x="0" y="0"/>
                <wp:positionH relativeFrom="margin">
                  <wp:posOffset>5177155</wp:posOffset>
                </wp:positionH>
                <wp:positionV relativeFrom="margin">
                  <wp:posOffset>135255</wp:posOffset>
                </wp:positionV>
                <wp:extent cx="1371600" cy="1009650"/>
                <wp:effectExtent l="0" t="0" r="0" b="0"/>
                <wp:wrapSquare wrapText="bothSides"/>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brázok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1009650"/>
                        </a:xfrm>
                        <a:prstGeom prst="rect">
                          <a:avLst/>
                        </a:prstGeom>
                      </pic:spPr>
                    </pic:pic>
                  </a:graphicData>
                </a:graphic>
                <wp14:sizeRelH relativeFrom="margin">
                  <wp14:pctWidth>0</wp14:pctWidth>
                </wp14:sizeRelH>
                <wp14:sizeRelV relativeFrom="margin">
                  <wp14:pctHeight>0</wp14:pctHeight>
                </wp14:sizeRelV>
              </wp:anchor>
            </w:drawing>
          </w:r>
          <w:r w:rsidRPr="00D368ED">
            <w:rPr>
              <w:rFonts w:cs="Segoe UI"/>
              <w:b/>
              <w:caps/>
              <w:color w:val="FFFFFF" w:themeColor="background1"/>
              <w:sz w:val="40"/>
              <w:szCs w:val="40"/>
            </w:rPr>
            <w:t>NAJVYŠŠÍ KONTROLNÝ ÚRAD</w:t>
          </w:r>
          <w:r w:rsidRPr="00D368ED">
            <w:rPr>
              <w:rFonts w:cs="Segoe UI"/>
              <w:b/>
              <w:caps/>
              <w:color w:val="FFFFFF" w:themeColor="background1"/>
              <w:sz w:val="40"/>
              <w:szCs w:val="40"/>
            </w:rPr>
            <w:br/>
            <w:t>SLOVENSKEJ REPUBLIKY</w:t>
          </w:r>
        </w:p>
        <w:p w14:paraId="41E3EFF0" w14:textId="77777777" w:rsidR="003F23CE" w:rsidRPr="00452B4A" w:rsidRDefault="003F23CE" w:rsidP="00D368ED">
          <w:pPr>
            <w:pStyle w:val="Hlavika"/>
            <w:ind w:left="1308"/>
            <w:jc w:val="left"/>
            <w:rPr>
              <w:rFonts w:ascii="Montserrat" w:hAnsi="Montserrat"/>
              <w:caps/>
              <w:color w:val="FFFFFF" w:themeColor="background1"/>
            </w:rPr>
          </w:pPr>
          <w:r>
            <w:rPr>
              <w:rFonts w:cs="Segoe UI"/>
              <w:color w:val="FFFFFF" w:themeColor="background1"/>
              <w:sz w:val="24"/>
            </w:rPr>
            <w:t>www.nku.gov.sk</w:t>
          </w:r>
        </w:p>
      </w:tc>
    </w:tr>
  </w:tbl>
  <w:p w14:paraId="0EE9014E" w14:textId="77777777" w:rsidR="003F23CE" w:rsidRDefault="003F23CE">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600" w:type="pct"/>
      <w:tblInd w:w="-1471" w:type="dxa"/>
      <w:shd w:val="clear" w:color="auto" w:fill="9CB9EC" w:themeFill="accent2"/>
      <w:tblCellMar>
        <w:top w:w="115" w:type="dxa"/>
        <w:left w:w="115" w:type="dxa"/>
        <w:bottom w:w="115" w:type="dxa"/>
        <w:right w:w="115" w:type="dxa"/>
      </w:tblCellMar>
      <w:tblLook w:val="04A0" w:firstRow="1" w:lastRow="0" w:firstColumn="1" w:lastColumn="0" w:noHBand="0" w:noVBand="1"/>
    </w:tblPr>
    <w:tblGrid>
      <w:gridCol w:w="11972"/>
    </w:tblGrid>
    <w:tr w:rsidR="003F23CE" w14:paraId="7A36DCFD" w14:textId="77777777" w:rsidTr="0056118C">
      <w:trPr>
        <w:trHeight w:val="1134"/>
      </w:trPr>
      <w:tc>
        <w:tcPr>
          <w:tcW w:w="5000" w:type="pct"/>
          <w:shd w:val="clear" w:color="auto" w:fill="314364"/>
          <w:vAlign w:val="center"/>
        </w:tcPr>
        <w:p w14:paraId="6D97F8F6" w14:textId="5CC4F8FA" w:rsidR="003F23CE" w:rsidRPr="00962F36" w:rsidRDefault="003F23CE" w:rsidP="00092577">
          <w:pPr>
            <w:pStyle w:val="Hlavika"/>
            <w:tabs>
              <w:tab w:val="clear" w:pos="4536"/>
              <w:tab w:val="center" w:pos="309"/>
            </w:tabs>
            <w:spacing w:before="120"/>
            <w:ind w:left="309" w:right="1296"/>
            <w:jc w:val="right"/>
            <w:rPr>
              <w:rFonts w:cs="Segoe UI"/>
              <w:color w:val="FFFFFF" w:themeColor="background1"/>
              <w:sz w:val="24"/>
            </w:rPr>
          </w:pPr>
          <w:r>
            <w:rPr>
              <w:rFonts w:cs="Segoe UI"/>
              <w:color w:val="FFFFFF" w:themeColor="background1"/>
              <w:sz w:val="24"/>
            </w:rPr>
            <w:br/>
            <w:t>www.nku.gov.sk</w:t>
          </w:r>
        </w:p>
      </w:tc>
    </w:tr>
  </w:tbl>
  <w:p w14:paraId="49FBD093" w14:textId="77777777" w:rsidR="003F23CE" w:rsidRDefault="003F23CE" w:rsidP="00E648E7">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D6674"/>
    <w:multiLevelType w:val="hybridMultilevel"/>
    <w:tmpl w:val="51D0241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95F2392"/>
    <w:multiLevelType w:val="hybridMultilevel"/>
    <w:tmpl w:val="B1768706"/>
    <w:lvl w:ilvl="0" w:tplc="25FA6F3E">
      <w:start w:val="5"/>
      <w:numFmt w:val="bullet"/>
      <w:lvlText w:val="-"/>
      <w:lvlJc w:val="left"/>
      <w:pPr>
        <w:ind w:left="397" w:hanging="37"/>
      </w:pPr>
      <w:rPr>
        <w:rFonts w:ascii="Segoe UI" w:eastAsia="Times New Roman" w:hAnsi="Segoe U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24336343"/>
    <w:multiLevelType w:val="hybridMultilevel"/>
    <w:tmpl w:val="986AA782"/>
    <w:lvl w:ilvl="0" w:tplc="6A4A0704">
      <w:start w:val="5"/>
      <w:numFmt w:val="bullet"/>
      <w:lvlText w:val="-"/>
      <w:lvlJc w:val="left"/>
      <w:pPr>
        <w:ind w:left="720" w:hanging="360"/>
      </w:pPr>
      <w:rPr>
        <w:rFonts w:ascii="Segoe UI" w:eastAsia="Times New Roman" w:hAnsi="Segoe UI" w:cs="Segoe U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2AEF3EBE"/>
    <w:multiLevelType w:val="hybridMultilevel"/>
    <w:tmpl w:val="002A9E3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2CDB03FD"/>
    <w:multiLevelType w:val="hybridMultilevel"/>
    <w:tmpl w:val="5936051C"/>
    <w:lvl w:ilvl="0" w:tplc="985C718A">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356A5830"/>
    <w:multiLevelType w:val="hybridMultilevel"/>
    <w:tmpl w:val="F6E8E8F4"/>
    <w:lvl w:ilvl="0" w:tplc="95DA777C">
      <w:start w:val="5"/>
      <w:numFmt w:val="bullet"/>
      <w:lvlText w:val="-"/>
      <w:lvlJc w:val="left"/>
      <w:pPr>
        <w:ind w:left="510" w:hanging="150"/>
      </w:pPr>
      <w:rPr>
        <w:rFonts w:ascii="Segoe UI" w:eastAsia="Times New Roman" w:hAnsi="Segoe U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380D0937"/>
    <w:multiLevelType w:val="hybridMultilevel"/>
    <w:tmpl w:val="007E402E"/>
    <w:lvl w:ilvl="0" w:tplc="6B1A3022">
      <w:numFmt w:val="bullet"/>
      <w:lvlText w:val=""/>
      <w:lvlJc w:val="left"/>
      <w:pPr>
        <w:ind w:left="720" w:hanging="360"/>
      </w:pPr>
      <w:rPr>
        <w:rFonts w:ascii="Symbol" w:eastAsiaTheme="minorHAnsi" w:hAnsi="Symbol" w:cs="Segoe U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393C6512"/>
    <w:multiLevelType w:val="hybridMultilevel"/>
    <w:tmpl w:val="83A610E6"/>
    <w:lvl w:ilvl="0" w:tplc="24622F06">
      <w:numFmt w:val="bullet"/>
      <w:lvlText w:val="-"/>
      <w:lvlJc w:val="left"/>
      <w:pPr>
        <w:ind w:left="720" w:hanging="360"/>
      </w:pPr>
      <w:rPr>
        <w:rFonts w:ascii="Segoe UI" w:eastAsiaTheme="minorHAnsi" w:hAnsi="Segoe UI" w:cs="Segoe U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3C0547AE"/>
    <w:multiLevelType w:val="hybridMultilevel"/>
    <w:tmpl w:val="564ABB8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3DD149F1"/>
    <w:multiLevelType w:val="hybridMultilevel"/>
    <w:tmpl w:val="B458153C"/>
    <w:lvl w:ilvl="0" w:tplc="305ED3F4">
      <w:start w:val="3"/>
      <w:numFmt w:val="bullet"/>
      <w:lvlText w:val="-"/>
      <w:lvlJc w:val="left"/>
      <w:pPr>
        <w:ind w:left="720" w:hanging="360"/>
      </w:pPr>
      <w:rPr>
        <w:rFonts w:ascii="Segoe UI" w:eastAsia="Times New Roman" w:hAnsi="Segoe UI" w:cs="Segoe UI" w:hint="default"/>
        <w:b/>
        <w:color w:val="00000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434D3469"/>
    <w:multiLevelType w:val="hybridMultilevel"/>
    <w:tmpl w:val="A6CA3566"/>
    <w:lvl w:ilvl="0" w:tplc="E95E71DE">
      <w:numFmt w:val="bullet"/>
      <w:lvlText w:val="-"/>
      <w:lvlJc w:val="left"/>
      <w:pPr>
        <w:ind w:left="720" w:hanging="360"/>
      </w:pPr>
      <w:rPr>
        <w:rFonts w:ascii="Segoe UI" w:eastAsiaTheme="minorHAnsi" w:hAnsi="Segoe UI" w:cs="Segoe U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47973CA4"/>
    <w:multiLevelType w:val="hybridMultilevel"/>
    <w:tmpl w:val="4BA6A2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488E2984"/>
    <w:multiLevelType w:val="hybridMultilevel"/>
    <w:tmpl w:val="A9548BC6"/>
    <w:lvl w:ilvl="0" w:tplc="1EBC9888">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3" w15:restartNumberingAfterBreak="0">
    <w:nsid w:val="48FD66FE"/>
    <w:multiLevelType w:val="hybridMultilevel"/>
    <w:tmpl w:val="DE7A7508"/>
    <w:lvl w:ilvl="0" w:tplc="72BE8764">
      <w:numFmt w:val="bullet"/>
      <w:lvlText w:val="-"/>
      <w:lvlJc w:val="left"/>
      <w:pPr>
        <w:ind w:left="284" w:hanging="114"/>
      </w:pPr>
      <w:rPr>
        <w:rFonts w:ascii="Segoe UI" w:eastAsiaTheme="minorHAnsi" w:hAnsi="Segoe U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4E8215D0"/>
    <w:multiLevelType w:val="hybridMultilevel"/>
    <w:tmpl w:val="09EE44F2"/>
    <w:lvl w:ilvl="0" w:tplc="7E1A2624">
      <w:start w:val="5"/>
      <w:numFmt w:val="bullet"/>
      <w:lvlText w:val="-"/>
      <w:lvlJc w:val="left"/>
      <w:pPr>
        <w:ind w:left="397" w:hanging="113"/>
      </w:pPr>
      <w:rPr>
        <w:rFonts w:ascii="Segoe UI" w:eastAsia="Times New Roman" w:hAnsi="Segoe U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56A666DE"/>
    <w:multiLevelType w:val="hybridMultilevel"/>
    <w:tmpl w:val="E98EA52C"/>
    <w:lvl w:ilvl="0" w:tplc="5B44CBEE">
      <w:numFmt w:val="bullet"/>
      <w:lvlText w:val="-"/>
      <w:lvlJc w:val="left"/>
      <w:pPr>
        <w:ind w:left="720" w:hanging="360"/>
      </w:pPr>
      <w:rPr>
        <w:rFonts w:ascii="Segoe UI" w:eastAsiaTheme="minorHAnsi" w:hAnsi="Segoe UI" w:cs="Segoe U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56EE2F43"/>
    <w:multiLevelType w:val="hybridMultilevel"/>
    <w:tmpl w:val="D7321530"/>
    <w:lvl w:ilvl="0" w:tplc="E70E8DBC">
      <w:start w:val="56"/>
      <w:numFmt w:val="bullet"/>
      <w:lvlText w:val="-"/>
      <w:lvlJc w:val="left"/>
      <w:pPr>
        <w:ind w:left="1077" w:hanging="360"/>
      </w:pPr>
      <w:rPr>
        <w:rFonts w:ascii="Segoe UI" w:eastAsia="Times New Roman" w:hAnsi="Segoe UI" w:cs="Segoe UI"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17" w15:restartNumberingAfterBreak="0">
    <w:nsid w:val="578309D6"/>
    <w:multiLevelType w:val="hybridMultilevel"/>
    <w:tmpl w:val="2C02BDA4"/>
    <w:lvl w:ilvl="0" w:tplc="C260861E">
      <w:numFmt w:val="bullet"/>
      <w:lvlText w:val="-"/>
      <w:lvlJc w:val="left"/>
      <w:pPr>
        <w:ind w:left="170" w:hanging="170"/>
      </w:pPr>
      <w:rPr>
        <w:rFonts w:ascii="Segoe UI" w:eastAsiaTheme="minorHAnsi" w:hAnsi="Segoe U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62907B01"/>
    <w:multiLevelType w:val="hybridMultilevel"/>
    <w:tmpl w:val="D554B83E"/>
    <w:lvl w:ilvl="0" w:tplc="E95E71DE">
      <w:numFmt w:val="bullet"/>
      <w:lvlText w:val="-"/>
      <w:lvlJc w:val="left"/>
      <w:pPr>
        <w:ind w:left="720" w:hanging="360"/>
      </w:pPr>
      <w:rPr>
        <w:rFonts w:ascii="Segoe UI" w:eastAsiaTheme="minorHAnsi" w:hAnsi="Segoe UI" w:cs="Segoe U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660D3C0F"/>
    <w:multiLevelType w:val="hybridMultilevel"/>
    <w:tmpl w:val="7936AE06"/>
    <w:lvl w:ilvl="0" w:tplc="980C73D2">
      <w:start w:val="1"/>
      <w:numFmt w:val="decimal"/>
      <w:pStyle w:val="Pouitliteratra"/>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67E22956"/>
    <w:multiLevelType w:val="hybridMultilevel"/>
    <w:tmpl w:val="14707362"/>
    <w:lvl w:ilvl="0" w:tplc="1EBC9888">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1" w15:restartNumberingAfterBreak="0">
    <w:nsid w:val="69232DF1"/>
    <w:multiLevelType w:val="hybridMultilevel"/>
    <w:tmpl w:val="771A9A0E"/>
    <w:lvl w:ilvl="0" w:tplc="8E585582">
      <w:numFmt w:val="bullet"/>
      <w:lvlText w:val="-"/>
      <w:lvlJc w:val="left"/>
      <w:pPr>
        <w:ind w:left="510" w:hanging="283"/>
      </w:pPr>
      <w:rPr>
        <w:rFonts w:ascii="Segoe UI" w:eastAsiaTheme="minorHAnsi" w:hAnsi="Segoe U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6BBB33CE"/>
    <w:multiLevelType w:val="hybridMultilevel"/>
    <w:tmpl w:val="5ACA614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6DBC1285"/>
    <w:multiLevelType w:val="hybridMultilevel"/>
    <w:tmpl w:val="E6AA9EE2"/>
    <w:lvl w:ilvl="0" w:tplc="F3BE4AE0">
      <w:start w:val="1"/>
      <w:numFmt w:val="decimal"/>
      <w:lvlText w:val="%1."/>
      <w:lvlJc w:val="left"/>
      <w:pPr>
        <w:ind w:left="284" w:hanging="171"/>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7584282E"/>
    <w:multiLevelType w:val="multilevel"/>
    <w:tmpl w:val="9E245DA4"/>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8371" w:hanging="432"/>
      </w:pPr>
      <w:rPr>
        <w:rFonts w:hint="default"/>
      </w:rPr>
    </w:lvl>
    <w:lvl w:ilvl="2">
      <w:start w:val="1"/>
      <w:numFmt w:val="decimal"/>
      <w:pStyle w:val="Nadpis3"/>
      <w:lvlText w:val="%1.%2.%3"/>
      <w:lvlJc w:val="left"/>
      <w:pPr>
        <w:ind w:left="589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9"/>
  </w:num>
  <w:num w:numId="2">
    <w:abstractNumId w:val="24"/>
  </w:num>
  <w:num w:numId="3">
    <w:abstractNumId w:val="12"/>
  </w:num>
  <w:num w:numId="4">
    <w:abstractNumId w:val="24"/>
  </w:num>
  <w:num w:numId="5">
    <w:abstractNumId w:val="24"/>
  </w:num>
  <w:num w:numId="6">
    <w:abstractNumId w:val="24"/>
  </w:num>
  <w:num w:numId="7">
    <w:abstractNumId w:val="24"/>
  </w:num>
  <w:num w:numId="8">
    <w:abstractNumId w:val="24"/>
  </w:num>
  <w:num w:numId="9">
    <w:abstractNumId w:val="24"/>
  </w:num>
  <w:num w:numId="10">
    <w:abstractNumId w:val="24"/>
  </w:num>
  <w:num w:numId="11">
    <w:abstractNumId w:val="24"/>
  </w:num>
  <w:num w:numId="12">
    <w:abstractNumId w:val="24"/>
  </w:num>
  <w:num w:numId="13">
    <w:abstractNumId w:val="8"/>
  </w:num>
  <w:num w:numId="14">
    <w:abstractNumId w:val="0"/>
  </w:num>
  <w:num w:numId="15">
    <w:abstractNumId w:val="24"/>
  </w:num>
  <w:num w:numId="16">
    <w:abstractNumId w:val="7"/>
  </w:num>
  <w:num w:numId="17">
    <w:abstractNumId w:val="20"/>
  </w:num>
  <w:num w:numId="18">
    <w:abstractNumId w:val="24"/>
  </w:num>
  <w:num w:numId="19">
    <w:abstractNumId w:val="22"/>
  </w:num>
  <w:num w:numId="20">
    <w:abstractNumId w:val="24"/>
  </w:num>
  <w:num w:numId="21">
    <w:abstractNumId w:val="24"/>
  </w:num>
  <w:num w:numId="22">
    <w:abstractNumId w:val="24"/>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11"/>
  </w:num>
  <w:num w:numId="26">
    <w:abstractNumId w:val="18"/>
  </w:num>
  <w:num w:numId="27">
    <w:abstractNumId w:val="15"/>
  </w:num>
  <w:num w:numId="28">
    <w:abstractNumId w:val="4"/>
  </w:num>
  <w:num w:numId="29">
    <w:abstractNumId w:val="2"/>
  </w:num>
  <w:num w:numId="30">
    <w:abstractNumId w:val="5"/>
  </w:num>
  <w:num w:numId="31">
    <w:abstractNumId w:val="1"/>
  </w:num>
  <w:num w:numId="32">
    <w:abstractNumId w:val="14"/>
  </w:num>
  <w:num w:numId="33">
    <w:abstractNumId w:val="23"/>
  </w:num>
  <w:num w:numId="34">
    <w:abstractNumId w:val="10"/>
  </w:num>
  <w:num w:numId="35">
    <w:abstractNumId w:val="3"/>
  </w:num>
  <w:num w:numId="36">
    <w:abstractNumId w:val="9"/>
  </w:num>
  <w:num w:numId="37">
    <w:abstractNumId w:val="16"/>
  </w:num>
  <w:num w:numId="38">
    <w:abstractNumId w:val="21"/>
  </w:num>
  <w:num w:numId="39">
    <w:abstractNumId w:val="13"/>
  </w:num>
  <w:num w:numId="40">
    <w:abstractNumId w:val="17"/>
  </w:num>
  <w:num w:numId="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6C2"/>
    <w:rsid w:val="00000294"/>
    <w:rsid w:val="00001C9E"/>
    <w:rsid w:val="00002667"/>
    <w:rsid w:val="00004033"/>
    <w:rsid w:val="00004331"/>
    <w:rsid w:val="000051FA"/>
    <w:rsid w:val="00005263"/>
    <w:rsid w:val="0000554F"/>
    <w:rsid w:val="00005671"/>
    <w:rsid w:val="000059A5"/>
    <w:rsid w:val="00006599"/>
    <w:rsid w:val="00006AA9"/>
    <w:rsid w:val="00006CF3"/>
    <w:rsid w:val="00007064"/>
    <w:rsid w:val="00007F18"/>
    <w:rsid w:val="000106FC"/>
    <w:rsid w:val="0001078D"/>
    <w:rsid w:val="00011187"/>
    <w:rsid w:val="000112C8"/>
    <w:rsid w:val="00011DEB"/>
    <w:rsid w:val="00014557"/>
    <w:rsid w:val="000156D3"/>
    <w:rsid w:val="00015CB4"/>
    <w:rsid w:val="00016629"/>
    <w:rsid w:val="00016D01"/>
    <w:rsid w:val="00017ABC"/>
    <w:rsid w:val="00020042"/>
    <w:rsid w:val="000201F0"/>
    <w:rsid w:val="000201FF"/>
    <w:rsid w:val="00023340"/>
    <w:rsid w:val="00024757"/>
    <w:rsid w:val="000248C3"/>
    <w:rsid w:val="00024931"/>
    <w:rsid w:val="00024E9A"/>
    <w:rsid w:val="00024F2C"/>
    <w:rsid w:val="00025225"/>
    <w:rsid w:val="00025B3A"/>
    <w:rsid w:val="00025C9D"/>
    <w:rsid w:val="00027733"/>
    <w:rsid w:val="00030072"/>
    <w:rsid w:val="00030D77"/>
    <w:rsid w:val="00032CD9"/>
    <w:rsid w:val="0003320C"/>
    <w:rsid w:val="000336F0"/>
    <w:rsid w:val="000347E2"/>
    <w:rsid w:val="00034CF4"/>
    <w:rsid w:val="0003553D"/>
    <w:rsid w:val="00035D8F"/>
    <w:rsid w:val="00036406"/>
    <w:rsid w:val="000366C7"/>
    <w:rsid w:val="00037A18"/>
    <w:rsid w:val="00037DEB"/>
    <w:rsid w:val="00037E23"/>
    <w:rsid w:val="00041751"/>
    <w:rsid w:val="00041ECD"/>
    <w:rsid w:val="00041F52"/>
    <w:rsid w:val="0004335E"/>
    <w:rsid w:val="00045218"/>
    <w:rsid w:val="00046FC0"/>
    <w:rsid w:val="00047A70"/>
    <w:rsid w:val="00050F6E"/>
    <w:rsid w:val="00051709"/>
    <w:rsid w:val="000518F9"/>
    <w:rsid w:val="0005233D"/>
    <w:rsid w:val="00052F8F"/>
    <w:rsid w:val="00053B31"/>
    <w:rsid w:val="000545F8"/>
    <w:rsid w:val="000555E4"/>
    <w:rsid w:val="0005675B"/>
    <w:rsid w:val="000569D3"/>
    <w:rsid w:val="00056B89"/>
    <w:rsid w:val="000601AC"/>
    <w:rsid w:val="00060491"/>
    <w:rsid w:val="00060EFA"/>
    <w:rsid w:val="00061135"/>
    <w:rsid w:val="000615A9"/>
    <w:rsid w:val="0006160A"/>
    <w:rsid w:val="0006179B"/>
    <w:rsid w:val="00061BA7"/>
    <w:rsid w:val="00061F1F"/>
    <w:rsid w:val="00063087"/>
    <w:rsid w:val="0006328F"/>
    <w:rsid w:val="000634F6"/>
    <w:rsid w:val="00064FEC"/>
    <w:rsid w:val="000652F8"/>
    <w:rsid w:val="00065556"/>
    <w:rsid w:val="00066A87"/>
    <w:rsid w:val="00070631"/>
    <w:rsid w:val="00070E2D"/>
    <w:rsid w:val="00071405"/>
    <w:rsid w:val="000726F6"/>
    <w:rsid w:val="00074731"/>
    <w:rsid w:val="00074FD1"/>
    <w:rsid w:val="000766B8"/>
    <w:rsid w:val="00077243"/>
    <w:rsid w:val="00080172"/>
    <w:rsid w:val="000813A5"/>
    <w:rsid w:val="00081734"/>
    <w:rsid w:val="00081DDE"/>
    <w:rsid w:val="00081E92"/>
    <w:rsid w:val="00083097"/>
    <w:rsid w:val="000839FB"/>
    <w:rsid w:val="00083CC1"/>
    <w:rsid w:val="00083E29"/>
    <w:rsid w:val="00084168"/>
    <w:rsid w:val="0008510E"/>
    <w:rsid w:val="0008563F"/>
    <w:rsid w:val="00085D9A"/>
    <w:rsid w:val="00086CFA"/>
    <w:rsid w:val="00087BA2"/>
    <w:rsid w:val="000908D7"/>
    <w:rsid w:val="00091260"/>
    <w:rsid w:val="00091866"/>
    <w:rsid w:val="00091984"/>
    <w:rsid w:val="00092153"/>
    <w:rsid w:val="00092577"/>
    <w:rsid w:val="00092E55"/>
    <w:rsid w:val="00093514"/>
    <w:rsid w:val="000940C2"/>
    <w:rsid w:val="00094707"/>
    <w:rsid w:val="00094982"/>
    <w:rsid w:val="00095320"/>
    <w:rsid w:val="000954B8"/>
    <w:rsid w:val="00095CF4"/>
    <w:rsid w:val="0009606A"/>
    <w:rsid w:val="00096834"/>
    <w:rsid w:val="000A0207"/>
    <w:rsid w:val="000A1B67"/>
    <w:rsid w:val="000A2451"/>
    <w:rsid w:val="000A41F0"/>
    <w:rsid w:val="000A451D"/>
    <w:rsid w:val="000A5967"/>
    <w:rsid w:val="000A597C"/>
    <w:rsid w:val="000A5D4B"/>
    <w:rsid w:val="000B15AD"/>
    <w:rsid w:val="000B17E1"/>
    <w:rsid w:val="000B1C0A"/>
    <w:rsid w:val="000B261C"/>
    <w:rsid w:val="000B2A83"/>
    <w:rsid w:val="000B2D00"/>
    <w:rsid w:val="000B2F0C"/>
    <w:rsid w:val="000B3402"/>
    <w:rsid w:val="000B379D"/>
    <w:rsid w:val="000B638D"/>
    <w:rsid w:val="000B6CC9"/>
    <w:rsid w:val="000B6FE0"/>
    <w:rsid w:val="000B7C4A"/>
    <w:rsid w:val="000C1766"/>
    <w:rsid w:val="000C1B1C"/>
    <w:rsid w:val="000C26C5"/>
    <w:rsid w:val="000C2883"/>
    <w:rsid w:val="000C33D4"/>
    <w:rsid w:val="000C4086"/>
    <w:rsid w:val="000C4C7F"/>
    <w:rsid w:val="000C671E"/>
    <w:rsid w:val="000C724E"/>
    <w:rsid w:val="000C763A"/>
    <w:rsid w:val="000C7809"/>
    <w:rsid w:val="000C7B37"/>
    <w:rsid w:val="000D05F7"/>
    <w:rsid w:val="000D08CC"/>
    <w:rsid w:val="000D099A"/>
    <w:rsid w:val="000D3480"/>
    <w:rsid w:val="000D39CA"/>
    <w:rsid w:val="000D44E2"/>
    <w:rsid w:val="000D556A"/>
    <w:rsid w:val="000D631B"/>
    <w:rsid w:val="000D6535"/>
    <w:rsid w:val="000D6E08"/>
    <w:rsid w:val="000D6E76"/>
    <w:rsid w:val="000D752F"/>
    <w:rsid w:val="000D79F3"/>
    <w:rsid w:val="000E0405"/>
    <w:rsid w:val="000E1798"/>
    <w:rsid w:val="000E1E08"/>
    <w:rsid w:val="000E24D7"/>
    <w:rsid w:val="000E3856"/>
    <w:rsid w:val="000E3CD2"/>
    <w:rsid w:val="000E4268"/>
    <w:rsid w:val="000E431B"/>
    <w:rsid w:val="000E482E"/>
    <w:rsid w:val="000E4ADD"/>
    <w:rsid w:val="000E5B51"/>
    <w:rsid w:val="000E5CB3"/>
    <w:rsid w:val="000F02B5"/>
    <w:rsid w:val="000F0C49"/>
    <w:rsid w:val="000F16E2"/>
    <w:rsid w:val="000F1888"/>
    <w:rsid w:val="000F2AE0"/>
    <w:rsid w:val="000F43AE"/>
    <w:rsid w:val="000F4C77"/>
    <w:rsid w:val="000F5084"/>
    <w:rsid w:val="000F5FAD"/>
    <w:rsid w:val="000F6084"/>
    <w:rsid w:val="000F6789"/>
    <w:rsid w:val="000F6D77"/>
    <w:rsid w:val="000F73C1"/>
    <w:rsid w:val="00100936"/>
    <w:rsid w:val="00100FF0"/>
    <w:rsid w:val="00101E9A"/>
    <w:rsid w:val="00103C21"/>
    <w:rsid w:val="00104F9C"/>
    <w:rsid w:val="00105203"/>
    <w:rsid w:val="00105E47"/>
    <w:rsid w:val="001067DB"/>
    <w:rsid w:val="00106BF8"/>
    <w:rsid w:val="00107DD4"/>
    <w:rsid w:val="00110271"/>
    <w:rsid w:val="00111C26"/>
    <w:rsid w:val="00112147"/>
    <w:rsid w:val="001123B7"/>
    <w:rsid w:val="001136F4"/>
    <w:rsid w:val="00113C5D"/>
    <w:rsid w:val="00114BB2"/>
    <w:rsid w:val="00115461"/>
    <w:rsid w:val="00115BC5"/>
    <w:rsid w:val="00116507"/>
    <w:rsid w:val="00117050"/>
    <w:rsid w:val="0011737A"/>
    <w:rsid w:val="0011791E"/>
    <w:rsid w:val="00117ABE"/>
    <w:rsid w:val="0012014B"/>
    <w:rsid w:val="001208E2"/>
    <w:rsid w:val="00120A92"/>
    <w:rsid w:val="001210F2"/>
    <w:rsid w:val="00122236"/>
    <w:rsid w:val="00122526"/>
    <w:rsid w:val="00123E66"/>
    <w:rsid w:val="001243D8"/>
    <w:rsid w:val="001256A4"/>
    <w:rsid w:val="00127302"/>
    <w:rsid w:val="001273CF"/>
    <w:rsid w:val="0012753F"/>
    <w:rsid w:val="00130002"/>
    <w:rsid w:val="00132205"/>
    <w:rsid w:val="00132622"/>
    <w:rsid w:val="00134158"/>
    <w:rsid w:val="00134FFD"/>
    <w:rsid w:val="001355D0"/>
    <w:rsid w:val="0013594B"/>
    <w:rsid w:val="00135BC5"/>
    <w:rsid w:val="001363E6"/>
    <w:rsid w:val="00136576"/>
    <w:rsid w:val="00136A97"/>
    <w:rsid w:val="0013703B"/>
    <w:rsid w:val="0013799A"/>
    <w:rsid w:val="00137BC8"/>
    <w:rsid w:val="00137CBE"/>
    <w:rsid w:val="00137F1C"/>
    <w:rsid w:val="001401BC"/>
    <w:rsid w:val="00140496"/>
    <w:rsid w:val="0014071A"/>
    <w:rsid w:val="0014156E"/>
    <w:rsid w:val="0014343D"/>
    <w:rsid w:val="0014479C"/>
    <w:rsid w:val="0014533F"/>
    <w:rsid w:val="00145644"/>
    <w:rsid w:val="00145BA9"/>
    <w:rsid w:val="001463D9"/>
    <w:rsid w:val="001469EA"/>
    <w:rsid w:val="001479F0"/>
    <w:rsid w:val="00151147"/>
    <w:rsid w:val="0015153D"/>
    <w:rsid w:val="001528AD"/>
    <w:rsid w:val="00152E06"/>
    <w:rsid w:val="00152FDF"/>
    <w:rsid w:val="00154812"/>
    <w:rsid w:val="001555F8"/>
    <w:rsid w:val="001576E9"/>
    <w:rsid w:val="001578A2"/>
    <w:rsid w:val="00157D03"/>
    <w:rsid w:val="001609D9"/>
    <w:rsid w:val="00160B33"/>
    <w:rsid w:val="00160CCF"/>
    <w:rsid w:val="00162997"/>
    <w:rsid w:val="00162C00"/>
    <w:rsid w:val="00163A8C"/>
    <w:rsid w:val="00164DF3"/>
    <w:rsid w:val="00165412"/>
    <w:rsid w:val="00165813"/>
    <w:rsid w:val="00165B4F"/>
    <w:rsid w:val="00165F25"/>
    <w:rsid w:val="0016767D"/>
    <w:rsid w:val="0017145F"/>
    <w:rsid w:val="0017193D"/>
    <w:rsid w:val="0017296B"/>
    <w:rsid w:val="00172A71"/>
    <w:rsid w:val="00172C8B"/>
    <w:rsid w:val="001736C2"/>
    <w:rsid w:val="00174F97"/>
    <w:rsid w:val="001769EF"/>
    <w:rsid w:val="00176A5D"/>
    <w:rsid w:val="001778A6"/>
    <w:rsid w:val="001813E9"/>
    <w:rsid w:val="00181C89"/>
    <w:rsid w:val="00182145"/>
    <w:rsid w:val="00183E6C"/>
    <w:rsid w:val="00184758"/>
    <w:rsid w:val="0018540D"/>
    <w:rsid w:val="0018541D"/>
    <w:rsid w:val="00185A1F"/>
    <w:rsid w:val="00185FA1"/>
    <w:rsid w:val="00186781"/>
    <w:rsid w:val="00191436"/>
    <w:rsid w:val="00192A7B"/>
    <w:rsid w:val="001931C5"/>
    <w:rsid w:val="001932C8"/>
    <w:rsid w:val="001937DF"/>
    <w:rsid w:val="0019430D"/>
    <w:rsid w:val="00194B34"/>
    <w:rsid w:val="00194C12"/>
    <w:rsid w:val="001951C8"/>
    <w:rsid w:val="001951F6"/>
    <w:rsid w:val="00196D31"/>
    <w:rsid w:val="00197492"/>
    <w:rsid w:val="0019785D"/>
    <w:rsid w:val="001A1A1B"/>
    <w:rsid w:val="001A1C0E"/>
    <w:rsid w:val="001A1FE0"/>
    <w:rsid w:val="001A2FF8"/>
    <w:rsid w:val="001A3D08"/>
    <w:rsid w:val="001A4790"/>
    <w:rsid w:val="001A4B53"/>
    <w:rsid w:val="001A60A2"/>
    <w:rsid w:val="001A6FB8"/>
    <w:rsid w:val="001B03A6"/>
    <w:rsid w:val="001B10CB"/>
    <w:rsid w:val="001B136D"/>
    <w:rsid w:val="001B13FF"/>
    <w:rsid w:val="001B169A"/>
    <w:rsid w:val="001B1D50"/>
    <w:rsid w:val="001B2BA3"/>
    <w:rsid w:val="001B3311"/>
    <w:rsid w:val="001B3E13"/>
    <w:rsid w:val="001B4846"/>
    <w:rsid w:val="001B5440"/>
    <w:rsid w:val="001B54E4"/>
    <w:rsid w:val="001B5A17"/>
    <w:rsid w:val="001B6FC4"/>
    <w:rsid w:val="001B77C9"/>
    <w:rsid w:val="001C051B"/>
    <w:rsid w:val="001C10F5"/>
    <w:rsid w:val="001C1F57"/>
    <w:rsid w:val="001C2034"/>
    <w:rsid w:val="001C2CAE"/>
    <w:rsid w:val="001C47F4"/>
    <w:rsid w:val="001C5FF2"/>
    <w:rsid w:val="001C7157"/>
    <w:rsid w:val="001C732F"/>
    <w:rsid w:val="001C7997"/>
    <w:rsid w:val="001D0581"/>
    <w:rsid w:val="001D0D9A"/>
    <w:rsid w:val="001D1C95"/>
    <w:rsid w:val="001D1DCB"/>
    <w:rsid w:val="001D27B1"/>
    <w:rsid w:val="001D2E77"/>
    <w:rsid w:val="001D3AA6"/>
    <w:rsid w:val="001D3C4E"/>
    <w:rsid w:val="001D4049"/>
    <w:rsid w:val="001D4805"/>
    <w:rsid w:val="001D56CD"/>
    <w:rsid w:val="001D5BF7"/>
    <w:rsid w:val="001D5DFC"/>
    <w:rsid w:val="001D5E57"/>
    <w:rsid w:val="001D7483"/>
    <w:rsid w:val="001E0A12"/>
    <w:rsid w:val="001E0D59"/>
    <w:rsid w:val="001E109F"/>
    <w:rsid w:val="001E3DBD"/>
    <w:rsid w:val="001E4A2A"/>
    <w:rsid w:val="001E5E06"/>
    <w:rsid w:val="001E601E"/>
    <w:rsid w:val="001E6323"/>
    <w:rsid w:val="001E7A80"/>
    <w:rsid w:val="001F0E91"/>
    <w:rsid w:val="001F1B66"/>
    <w:rsid w:val="001F1CBA"/>
    <w:rsid w:val="001F2E40"/>
    <w:rsid w:val="001F3866"/>
    <w:rsid w:val="001F4513"/>
    <w:rsid w:val="001F4AA2"/>
    <w:rsid w:val="001F6E5A"/>
    <w:rsid w:val="001F7057"/>
    <w:rsid w:val="001F78F5"/>
    <w:rsid w:val="001F7D00"/>
    <w:rsid w:val="00200800"/>
    <w:rsid w:val="00201E68"/>
    <w:rsid w:val="00202081"/>
    <w:rsid w:val="002027E3"/>
    <w:rsid w:val="0020314A"/>
    <w:rsid w:val="002038B4"/>
    <w:rsid w:val="00204DCA"/>
    <w:rsid w:val="0020515F"/>
    <w:rsid w:val="00205613"/>
    <w:rsid w:val="00205DCC"/>
    <w:rsid w:val="00207111"/>
    <w:rsid w:val="00207753"/>
    <w:rsid w:val="00210CF0"/>
    <w:rsid w:val="0021342B"/>
    <w:rsid w:val="002149B3"/>
    <w:rsid w:val="00214C3D"/>
    <w:rsid w:val="002158AB"/>
    <w:rsid w:val="00215A2E"/>
    <w:rsid w:val="00216FB6"/>
    <w:rsid w:val="00217674"/>
    <w:rsid w:val="00217CD2"/>
    <w:rsid w:val="00217D25"/>
    <w:rsid w:val="00217DFF"/>
    <w:rsid w:val="00220608"/>
    <w:rsid w:val="00220B89"/>
    <w:rsid w:val="00220F1D"/>
    <w:rsid w:val="00221A4B"/>
    <w:rsid w:val="00221DBC"/>
    <w:rsid w:val="00224A44"/>
    <w:rsid w:val="002260E2"/>
    <w:rsid w:val="0022613F"/>
    <w:rsid w:val="002277AE"/>
    <w:rsid w:val="00227DB9"/>
    <w:rsid w:val="002317A5"/>
    <w:rsid w:val="0023186B"/>
    <w:rsid w:val="0023270F"/>
    <w:rsid w:val="002328DF"/>
    <w:rsid w:val="00233B6C"/>
    <w:rsid w:val="002344E2"/>
    <w:rsid w:val="002353EE"/>
    <w:rsid w:val="00235889"/>
    <w:rsid w:val="00235CFE"/>
    <w:rsid w:val="002360EC"/>
    <w:rsid w:val="00237BC7"/>
    <w:rsid w:val="00237F46"/>
    <w:rsid w:val="002401E8"/>
    <w:rsid w:val="002403A7"/>
    <w:rsid w:val="002407D6"/>
    <w:rsid w:val="0024149A"/>
    <w:rsid w:val="00241FDE"/>
    <w:rsid w:val="00243236"/>
    <w:rsid w:val="00243A51"/>
    <w:rsid w:val="00243D49"/>
    <w:rsid w:val="0024755A"/>
    <w:rsid w:val="00255A35"/>
    <w:rsid w:val="002604A2"/>
    <w:rsid w:val="00261D0B"/>
    <w:rsid w:val="0026323B"/>
    <w:rsid w:val="0026362C"/>
    <w:rsid w:val="0026414E"/>
    <w:rsid w:val="0026439C"/>
    <w:rsid w:val="002649EE"/>
    <w:rsid w:val="002661F7"/>
    <w:rsid w:val="00266A7A"/>
    <w:rsid w:val="00266EF7"/>
    <w:rsid w:val="00271CBA"/>
    <w:rsid w:val="00272470"/>
    <w:rsid w:val="00272915"/>
    <w:rsid w:val="00272DAF"/>
    <w:rsid w:val="0027333D"/>
    <w:rsid w:val="00273440"/>
    <w:rsid w:val="00273B17"/>
    <w:rsid w:val="002741AA"/>
    <w:rsid w:val="00274403"/>
    <w:rsid w:val="00274EED"/>
    <w:rsid w:val="00275387"/>
    <w:rsid w:val="00276436"/>
    <w:rsid w:val="00276F44"/>
    <w:rsid w:val="0027751B"/>
    <w:rsid w:val="00277B68"/>
    <w:rsid w:val="00277C8B"/>
    <w:rsid w:val="00280E3A"/>
    <w:rsid w:val="002814E5"/>
    <w:rsid w:val="00281987"/>
    <w:rsid w:val="00282703"/>
    <w:rsid w:val="00283524"/>
    <w:rsid w:val="002836AF"/>
    <w:rsid w:val="002846CB"/>
    <w:rsid w:val="00284D9F"/>
    <w:rsid w:val="0028558B"/>
    <w:rsid w:val="002858A0"/>
    <w:rsid w:val="00286504"/>
    <w:rsid w:val="00286679"/>
    <w:rsid w:val="0028690D"/>
    <w:rsid w:val="00287025"/>
    <w:rsid w:val="002877E1"/>
    <w:rsid w:val="00290A9E"/>
    <w:rsid w:val="00291CA4"/>
    <w:rsid w:val="002926E5"/>
    <w:rsid w:val="0029286C"/>
    <w:rsid w:val="00292D37"/>
    <w:rsid w:val="00293CF6"/>
    <w:rsid w:val="00294101"/>
    <w:rsid w:val="0029471F"/>
    <w:rsid w:val="00294945"/>
    <w:rsid w:val="00294C28"/>
    <w:rsid w:val="00294F1F"/>
    <w:rsid w:val="00296524"/>
    <w:rsid w:val="00296624"/>
    <w:rsid w:val="00297B44"/>
    <w:rsid w:val="00297F78"/>
    <w:rsid w:val="002A0326"/>
    <w:rsid w:val="002A1496"/>
    <w:rsid w:val="002A20BC"/>
    <w:rsid w:val="002A24A1"/>
    <w:rsid w:val="002A2BE3"/>
    <w:rsid w:val="002A2DEC"/>
    <w:rsid w:val="002A3132"/>
    <w:rsid w:val="002A31B8"/>
    <w:rsid w:val="002A32E5"/>
    <w:rsid w:val="002A367E"/>
    <w:rsid w:val="002A3A7F"/>
    <w:rsid w:val="002A46C1"/>
    <w:rsid w:val="002A51E3"/>
    <w:rsid w:val="002A5217"/>
    <w:rsid w:val="002A55CE"/>
    <w:rsid w:val="002A58E5"/>
    <w:rsid w:val="002A599C"/>
    <w:rsid w:val="002A62E0"/>
    <w:rsid w:val="002A73DA"/>
    <w:rsid w:val="002B01FC"/>
    <w:rsid w:val="002B0AFD"/>
    <w:rsid w:val="002B1C1E"/>
    <w:rsid w:val="002B2A28"/>
    <w:rsid w:val="002B2E82"/>
    <w:rsid w:val="002B3CFA"/>
    <w:rsid w:val="002B6671"/>
    <w:rsid w:val="002B70F2"/>
    <w:rsid w:val="002B7F25"/>
    <w:rsid w:val="002C14FD"/>
    <w:rsid w:val="002C16C4"/>
    <w:rsid w:val="002C28FB"/>
    <w:rsid w:val="002C2BAB"/>
    <w:rsid w:val="002C3DA0"/>
    <w:rsid w:val="002C55AB"/>
    <w:rsid w:val="002C61B7"/>
    <w:rsid w:val="002C7A6A"/>
    <w:rsid w:val="002C7DEF"/>
    <w:rsid w:val="002D14C1"/>
    <w:rsid w:val="002D1720"/>
    <w:rsid w:val="002D21FE"/>
    <w:rsid w:val="002D2AEA"/>
    <w:rsid w:val="002D2F4B"/>
    <w:rsid w:val="002D3110"/>
    <w:rsid w:val="002D3343"/>
    <w:rsid w:val="002D389F"/>
    <w:rsid w:val="002D3CCA"/>
    <w:rsid w:val="002D4645"/>
    <w:rsid w:val="002D4ED0"/>
    <w:rsid w:val="002D4FA6"/>
    <w:rsid w:val="002D50F1"/>
    <w:rsid w:val="002D54D7"/>
    <w:rsid w:val="002D54E5"/>
    <w:rsid w:val="002D65A5"/>
    <w:rsid w:val="002D6F02"/>
    <w:rsid w:val="002E0AA8"/>
    <w:rsid w:val="002E130C"/>
    <w:rsid w:val="002E16B1"/>
    <w:rsid w:val="002E2742"/>
    <w:rsid w:val="002E38E2"/>
    <w:rsid w:val="002E3AB9"/>
    <w:rsid w:val="002E415E"/>
    <w:rsid w:val="002E47E5"/>
    <w:rsid w:val="002E4B8B"/>
    <w:rsid w:val="002E4C15"/>
    <w:rsid w:val="002E4CC5"/>
    <w:rsid w:val="002E4FF4"/>
    <w:rsid w:val="002E54C0"/>
    <w:rsid w:val="002E5B13"/>
    <w:rsid w:val="002E77FC"/>
    <w:rsid w:val="002F09E3"/>
    <w:rsid w:val="002F0DBC"/>
    <w:rsid w:val="002F0E72"/>
    <w:rsid w:val="002F199C"/>
    <w:rsid w:val="002F30A4"/>
    <w:rsid w:val="002F401A"/>
    <w:rsid w:val="002F626E"/>
    <w:rsid w:val="002F69BE"/>
    <w:rsid w:val="002F731B"/>
    <w:rsid w:val="002F7706"/>
    <w:rsid w:val="00300709"/>
    <w:rsid w:val="00301E7D"/>
    <w:rsid w:val="003044AE"/>
    <w:rsid w:val="0030544E"/>
    <w:rsid w:val="00305B42"/>
    <w:rsid w:val="00305D3C"/>
    <w:rsid w:val="003064D9"/>
    <w:rsid w:val="00306EFE"/>
    <w:rsid w:val="00306F84"/>
    <w:rsid w:val="0031008D"/>
    <w:rsid w:val="00311600"/>
    <w:rsid w:val="00311DA9"/>
    <w:rsid w:val="00312033"/>
    <w:rsid w:val="003131B6"/>
    <w:rsid w:val="00313BE3"/>
    <w:rsid w:val="003141CA"/>
    <w:rsid w:val="003149DB"/>
    <w:rsid w:val="00315F34"/>
    <w:rsid w:val="003161B2"/>
    <w:rsid w:val="00317C82"/>
    <w:rsid w:val="00320202"/>
    <w:rsid w:val="0032280E"/>
    <w:rsid w:val="00322F02"/>
    <w:rsid w:val="00324428"/>
    <w:rsid w:val="003244B5"/>
    <w:rsid w:val="00324BC4"/>
    <w:rsid w:val="003250F7"/>
    <w:rsid w:val="00326C51"/>
    <w:rsid w:val="00327CDE"/>
    <w:rsid w:val="00330871"/>
    <w:rsid w:val="00330D39"/>
    <w:rsid w:val="00331365"/>
    <w:rsid w:val="003314A4"/>
    <w:rsid w:val="00333744"/>
    <w:rsid w:val="00333A08"/>
    <w:rsid w:val="003356A6"/>
    <w:rsid w:val="0033663A"/>
    <w:rsid w:val="00337BD2"/>
    <w:rsid w:val="00340840"/>
    <w:rsid w:val="00342619"/>
    <w:rsid w:val="003426F3"/>
    <w:rsid w:val="003445E1"/>
    <w:rsid w:val="003461D3"/>
    <w:rsid w:val="003465F3"/>
    <w:rsid w:val="00346601"/>
    <w:rsid w:val="00346E23"/>
    <w:rsid w:val="00347074"/>
    <w:rsid w:val="003470FF"/>
    <w:rsid w:val="00347D8F"/>
    <w:rsid w:val="0035040C"/>
    <w:rsid w:val="003514B9"/>
    <w:rsid w:val="0035167C"/>
    <w:rsid w:val="00351819"/>
    <w:rsid w:val="003518F7"/>
    <w:rsid w:val="00353534"/>
    <w:rsid w:val="00354C50"/>
    <w:rsid w:val="00354F33"/>
    <w:rsid w:val="0035673A"/>
    <w:rsid w:val="003567A1"/>
    <w:rsid w:val="00356CEA"/>
    <w:rsid w:val="00357153"/>
    <w:rsid w:val="003602A4"/>
    <w:rsid w:val="00361E85"/>
    <w:rsid w:val="00362015"/>
    <w:rsid w:val="00362865"/>
    <w:rsid w:val="00362C0F"/>
    <w:rsid w:val="00362D45"/>
    <w:rsid w:val="00363203"/>
    <w:rsid w:val="00364D19"/>
    <w:rsid w:val="003659F2"/>
    <w:rsid w:val="00365E11"/>
    <w:rsid w:val="003667A6"/>
    <w:rsid w:val="003671FA"/>
    <w:rsid w:val="0036746B"/>
    <w:rsid w:val="003709F8"/>
    <w:rsid w:val="00370BB5"/>
    <w:rsid w:val="003712F4"/>
    <w:rsid w:val="00371DE1"/>
    <w:rsid w:val="003731BB"/>
    <w:rsid w:val="003733BE"/>
    <w:rsid w:val="00374E07"/>
    <w:rsid w:val="0037525E"/>
    <w:rsid w:val="0037558E"/>
    <w:rsid w:val="00375593"/>
    <w:rsid w:val="00375629"/>
    <w:rsid w:val="0037567D"/>
    <w:rsid w:val="0037637D"/>
    <w:rsid w:val="003769F2"/>
    <w:rsid w:val="00376D38"/>
    <w:rsid w:val="00377255"/>
    <w:rsid w:val="00377BD2"/>
    <w:rsid w:val="0038031E"/>
    <w:rsid w:val="00380732"/>
    <w:rsid w:val="00380979"/>
    <w:rsid w:val="00381348"/>
    <w:rsid w:val="00381698"/>
    <w:rsid w:val="00381C1B"/>
    <w:rsid w:val="0038223F"/>
    <w:rsid w:val="00382E23"/>
    <w:rsid w:val="00387EF3"/>
    <w:rsid w:val="00391329"/>
    <w:rsid w:val="003914D9"/>
    <w:rsid w:val="00391708"/>
    <w:rsid w:val="00391D7C"/>
    <w:rsid w:val="00392952"/>
    <w:rsid w:val="00392B0F"/>
    <w:rsid w:val="00392CE4"/>
    <w:rsid w:val="00393658"/>
    <w:rsid w:val="00393A4D"/>
    <w:rsid w:val="00393AFD"/>
    <w:rsid w:val="00393F57"/>
    <w:rsid w:val="003955D6"/>
    <w:rsid w:val="00395E3E"/>
    <w:rsid w:val="00397688"/>
    <w:rsid w:val="00397B49"/>
    <w:rsid w:val="00397F0A"/>
    <w:rsid w:val="003A14C2"/>
    <w:rsid w:val="003A151A"/>
    <w:rsid w:val="003A15C9"/>
    <w:rsid w:val="003A1E8A"/>
    <w:rsid w:val="003A21CD"/>
    <w:rsid w:val="003A375E"/>
    <w:rsid w:val="003A44A0"/>
    <w:rsid w:val="003A4874"/>
    <w:rsid w:val="003A48F9"/>
    <w:rsid w:val="003A4E42"/>
    <w:rsid w:val="003A52E2"/>
    <w:rsid w:val="003A5A60"/>
    <w:rsid w:val="003A6C19"/>
    <w:rsid w:val="003A74A2"/>
    <w:rsid w:val="003A7B32"/>
    <w:rsid w:val="003A7D54"/>
    <w:rsid w:val="003B0361"/>
    <w:rsid w:val="003B1E6E"/>
    <w:rsid w:val="003B2906"/>
    <w:rsid w:val="003B321A"/>
    <w:rsid w:val="003B4011"/>
    <w:rsid w:val="003B4F2A"/>
    <w:rsid w:val="003B5630"/>
    <w:rsid w:val="003B7F8F"/>
    <w:rsid w:val="003C04E6"/>
    <w:rsid w:val="003C0B57"/>
    <w:rsid w:val="003C1974"/>
    <w:rsid w:val="003C1F82"/>
    <w:rsid w:val="003C3FA9"/>
    <w:rsid w:val="003C479D"/>
    <w:rsid w:val="003C4E36"/>
    <w:rsid w:val="003C5000"/>
    <w:rsid w:val="003C661F"/>
    <w:rsid w:val="003C7C36"/>
    <w:rsid w:val="003D01FD"/>
    <w:rsid w:val="003D04DA"/>
    <w:rsid w:val="003D05CC"/>
    <w:rsid w:val="003D0D23"/>
    <w:rsid w:val="003D1B82"/>
    <w:rsid w:val="003D315C"/>
    <w:rsid w:val="003D32FF"/>
    <w:rsid w:val="003D4429"/>
    <w:rsid w:val="003D4D45"/>
    <w:rsid w:val="003D4F20"/>
    <w:rsid w:val="003D6146"/>
    <w:rsid w:val="003D6267"/>
    <w:rsid w:val="003D6E9F"/>
    <w:rsid w:val="003D7A71"/>
    <w:rsid w:val="003E012B"/>
    <w:rsid w:val="003E0E2F"/>
    <w:rsid w:val="003E0F4E"/>
    <w:rsid w:val="003E1DDD"/>
    <w:rsid w:val="003E24BE"/>
    <w:rsid w:val="003E257A"/>
    <w:rsid w:val="003E4641"/>
    <w:rsid w:val="003E4F88"/>
    <w:rsid w:val="003E5DEC"/>
    <w:rsid w:val="003E5ED7"/>
    <w:rsid w:val="003F0124"/>
    <w:rsid w:val="003F038F"/>
    <w:rsid w:val="003F19FB"/>
    <w:rsid w:val="003F1A2E"/>
    <w:rsid w:val="003F23CE"/>
    <w:rsid w:val="003F248C"/>
    <w:rsid w:val="003F28BE"/>
    <w:rsid w:val="003F31E2"/>
    <w:rsid w:val="003F36D0"/>
    <w:rsid w:val="003F491F"/>
    <w:rsid w:val="003F497D"/>
    <w:rsid w:val="003F59A6"/>
    <w:rsid w:val="003F5C82"/>
    <w:rsid w:val="003F69EA"/>
    <w:rsid w:val="003F6A48"/>
    <w:rsid w:val="003F7659"/>
    <w:rsid w:val="003F7B4F"/>
    <w:rsid w:val="00400A50"/>
    <w:rsid w:val="00401E43"/>
    <w:rsid w:val="0040246D"/>
    <w:rsid w:val="00402AD5"/>
    <w:rsid w:val="00402C95"/>
    <w:rsid w:val="004041DF"/>
    <w:rsid w:val="0041054D"/>
    <w:rsid w:val="00410D7C"/>
    <w:rsid w:val="004117E6"/>
    <w:rsid w:val="00411A4C"/>
    <w:rsid w:val="00411DDA"/>
    <w:rsid w:val="00412486"/>
    <w:rsid w:val="00413AF0"/>
    <w:rsid w:val="00413DDE"/>
    <w:rsid w:val="004147D7"/>
    <w:rsid w:val="00416D0A"/>
    <w:rsid w:val="004207C0"/>
    <w:rsid w:val="00420BF2"/>
    <w:rsid w:val="00420E3D"/>
    <w:rsid w:val="00421462"/>
    <w:rsid w:val="00422249"/>
    <w:rsid w:val="004225A7"/>
    <w:rsid w:val="00423642"/>
    <w:rsid w:val="00424B2A"/>
    <w:rsid w:val="00426946"/>
    <w:rsid w:val="004271ED"/>
    <w:rsid w:val="004272B6"/>
    <w:rsid w:val="00427568"/>
    <w:rsid w:val="00427916"/>
    <w:rsid w:val="00432AD8"/>
    <w:rsid w:val="00433225"/>
    <w:rsid w:val="00435210"/>
    <w:rsid w:val="0043565C"/>
    <w:rsid w:val="0043575B"/>
    <w:rsid w:val="00436A49"/>
    <w:rsid w:val="00437345"/>
    <w:rsid w:val="00440A40"/>
    <w:rsid w:val="00441315"/>
    <w:rsid w:val="00441AF4"/>
    <w:rsid w:val="00442538"/>
    <w:rsid w:val="00442CE6"/>
    <w:rsid w:val="00442F3D"/>
    <w:rsid w:val="00444649"/>
    <w:rsid w:val="00446505"/>
    <w:rsid w:val="0044663F"/>
    <w:rsid w:val="00446D73"/>
    <w:rsid w:val="00447295"/>
    <w:rsid w:val="004472CA"/>
    <w:rsid w:val="00447A0D"/>
    <w:rsid w:val="00447F9D"/>
    <w:rsid w:val="0045176B"/>
    <w:rsid w:val="00451D11"/>
    <w:rsid w:val="00451E2D"/>
    <w:rsid w:val="00452609"/>
    <w:rsid w:val="004527DD"/>
    <w:rsid w:val="00452FAE"/>
    <w:rsid w:val="0045441E"/>
    <w:rsid w:val="00454845"/>
    <w:rsid w:val="00454AE6"/>
    <w:rsid w:val="00455267"/>
    <w:rsid w:val="00456F13"/>
    <w:rsid w:val="00460FEE"/>
    <w:rsid w:val="00462C0B"/>
    <w:rsid w:val="0046587D"/>
    <w:rsid w:val="00466B0F"/>
    <w:rsid w:val="0046711E"/>
    <w:rsid w:val="004673B5"/>
    <w:rsid w:val="004702D4"/>
    <w:rsid w:val="004708FE"/>
    <w:rsid w:val="00472E4A"/>
    <w:rsid w:val="004746DD"/>
    <w:rsid w:val="004754C7"/>
    <w:rsid w:val="004757FB"/>
    <w:rsid w:val="00477D49"/>
    <w:rsid w:val="00481F5B"/>
    <w:rsid w:val="0048224B"/>
    <w:rsid w:val="0048256A"/>
    <w:rsid w:val="00482C38"/>
    <w:rsid w:val="00482FDD"/>
    <w:rsid w:val="004848BF"/>
    <w:rsid w:val="004851A3"/>
    <w:rsid w:val="00486E7C"/>
    <w:rsid w:val="00486EEC"/>
    <w:rsid w:val="004903B6"/>
    <w:rsid w:val="004911D6"/>
    <w:rsid w:val="0049128E"/>
    <w:rsid w:val="004923FD"/>
    <w:rsid w:val="00493BE3"/>
    <w:rsid w:val="00494DDB"/>
    <w:rsid w:val="00495F3C"/>
    <w:rsid w:val="0049640C"/>
    <w:rsid w:val="00497CAB"/>
    <w:rsid w:val="004A05BA"/>
    <w:rsid w:val="004A0C53"/>
    <w:rsid w:val="004A1372"/>
    <w:rsid w:val="004A147A"/>
    <w:rsid w:val="004A29A5"/>
    <w:rsid w:val="004A3F2C"/>
    <w:rsid w:val="004A4470"/>
    <w:rsid w:val="004A5262"/>
    <w:rsid w:val="004A5459"/>
    <w:rsid w:val="004A5989"/>
    <w:rsid w:val="004A7603"/>
    <w:rsid w:val="004A7AEC"/>
    <w:rsid w:val="004B0E21"/>
    <w:rsid w:val="004B1DD1"/>
    <w:rsid w:val="004B2632"/>
    <w:rsid w:val="004B4656"/>
    <w:rsid w:val="004B4BAD"/>
    <w:rsid w:val="004B62D6"/>
    <w:rsid w:val="004B6804"/>
    <w:rsid w:val="004B7A63"/>
    <w:rsid w:val="004C004F"/>
    <w:rsid w:val="004C00A0"/>
    <w:rsid w:val="004C0FDC"/>
    <w:rsid w:val="004C1252"/>
    <w:rsid w:val="004C1914"/>
    <w:rsid w:val="004C1CC1"/>
    <w:rsid w:val="004C2056"/>
    <w:rsid w:val="004C3AFC"/>
    <w:rsid w:val="004C4E08"/>
    <w:rsid w:val="004C4EB7"/>
    <w:rsid w:val="004C501B"/>
    <w:rsid w:val="004C535B"/>
    <w:rsid w:val="004C5C0F"/>
    <w:rsid w:val="004C5DEA"/>
    <w:rsid w:val="004C691A"/>
    <w:rsid w:val="004C6D1F"/>
    <w:rsid w:val="004C7A3E"/>
    <w:rsid w:val="004D09C6"/>
    <w:rsid w:val="004D118B"/>
    <w:rsid w:val="004D139E"/>
    <w:rsid w:val="004D1A47"/>
    <w:rsid w:val="004D2725"/>
    <w:rsid w:val="004D29D9"/>
    <w:rsid w:val="004D3016"/>
    <w:rsid w:val="004D414A"/>
    <w:rsid w:val="004D6BE5"/>
    <w:rsid w:val="004E051A"/>
    <w:rsid w:val="004E415F"/>
    <w:rsid w:val="004E64AB"/>
    <w:rsid w:val="004E6991"/>
    <w:rsid w:val="004E6F9A"/>
    <w:rsid w:val="004E70E3"/>
    <w:rsid w:val="004E7415"/>
    <w:rsid w:val="004E7DA3"/>
    <w:rsid w:val="004F018B"/>
    <w:rsid w:val="004F04E6"/>
    <w:rsid w:val="004F0587"/>
    <w:rsid w:val="004F10D0"/>
    <w:rsid w:val="004F207A"/>
    <w:rsid w:val="004F28FF"/>
    <w:rsid w:val="004F2D47"/>
    <w:rsid w:val="004F2DF8"/>
    <w:rsid w:val="004F2E30"/>
    <w:rsid w:val="004F324F"/>
    <w:rsid w:val="004F4118"/>
    <w:rsid w:val="004F42CD"/>
    <w:rsid w:val="004F4764"/>
    <w:rsid w:val="004F6A96"/>
    <w:rsid w:val="004F6F21"/>
    <w:rsid w:val="004F6F52"/>
    <w:rsid w:val="00500947"/>
    <w:rsid w:val="00502CCC"/>
    <w:rsid w:val="00503DB6"/>
    <w:rsid w:val="00504005"/>
    <w:rsid w:val="005051D4"/>
    <w:rsid w:val="0050599E"/>
    <w:rsid w:val="005064DD"/>
    <w:rsid w:val="0050756F"/>
    <w:rsid w:val="00510257"/>
    <w:rsid w:val="00512AA9"/>
    <w:rsid w:val="00513E0C"/>
    <w:rsid w:val="00514710"/>
    <w:rsid w:val="00514E3F"/>
    <w:rsid w:val="0051510D"/>
    <w:rsid w:val="005158D2"/>
    <w:rsid w:val="00516B8C"/>
    <w:rsid w:val="005174E3"/>
    <w:rsid w:val="005178B0"/>
    <w:rsid w:val="005217B4"/>
    <w:rsid w:val="005224B6"/>
    <w:rsid w:val="00523B52"/>
    <w:rsid w:val="00524B6B"/>
    <w:rsid w:val="00525675"/>
    <w:rsid w:val="0052700B"/>
    <w:rsid w:val="0052787E"/>
    <w:rsid w:val="005278FE"/>
    <w:rsid w:val="005302BF"/>
    <w:rsid w:val="0053105A"/>
    <w:rsid w:val="0053108E"/>
    <w:rsid w:val="00532D3A"/>
    <w:rsid w:val="00532F40"/>
    <w:rsid w:val="00534688"/>
    <w:rsid w:val="00534BDB"/>
    <w:rsid w:val="0053531F"/>
    <w:rsid w:val="00535DC5"/>
    <w:rsid w:val="00537277"/>
    <w:rsid w:val="0053790A"/>
    <w:rsid w:val="00537C29"/>
    <w:rsid w:val="00537E37"/>
    <w:rsid w:val="00537E9B"/>
    <w:rsid w:val="0054041D"/>
    <w:rsid w:val="005406A8"/>
    <w:rsid w:val="00541E71"/>
    <w:rsid w:val="005445C4"/>
    <w:rsid w:val="00544EBD"/>
    <w:rsid w:val="00545C9F"/>
    <w:rsid w:val="00547395"/>
    <w:rsid w:val="005476C3"/>
    <w:rsid w:val="00547F89"/>
    <w:rsid w:val="0055004D"/>
    <w:rsid w:val="00550132"/>
    <w:rsid w:val="00550DAB"/>
    <w:rsid w:val="00550DEB"/>
    <w:rsid w:val="0055104C"/>
    <w:rsid w:val="0055168A"/>
    <w:rsid w:val="00552BE4"/>
    <w:rsid w:val="00552FA4"/>
    <w:rsid w:val="00553554"/>
    <w:rsid w:val="0056096B"/>
    <w:rsid w:val="00560B1D"/>
    <w:rsid w:val="00560E93"/>
    <w:rsid w:val="0056104D"/>
    <w:rsid w:val="0056118C"/>
    <w:rsid w:val="00562332"/>
    <w:rsid w:val="005634D1"/>
    <w:rsid w:val="00565C1B"/>
    <w:rsid w:val="005664A5"/>
    <w:rsid w:val="005665A8"/>
    <w:rsid w:val="005665BF"/>
    <w:rsid w:val="00566E45"/>
    <w:rsid w:val="00567491"/>
    <w:rsid w:val="00567CCE"/>
    <w:rsid w:val="00567D83"/>
    <w:rsid w:val="005709CC"/>
    <w:rsid w:val="00570AB0"/>
    <w:rsid w:val="005718D5"/>
    <w:rsid w:val="005718FE"/>
    <w:rsid w:val="0057191D"/>
    <w:rsid w:val="00571A80"/>
    <w:rsid w:val="0057351D"/>
    <w:rsid w:val="00573DFA"/>
    <w:rsid w:val="005752DC"/>
    <w:rsid w:val="00580018"/>
    <w:rsid w:val="00582A6C"/>
    <w:rsid w:val="00582CD7"/>
    <w:rsid w:val="0058481E"/>
    <w:rsid w:val="00584854"/>
    <w:rsid w:val="005852A6"/>
    <w:rsid w:val="00585A84"/>
    <w:rsid w:val="00585F1C"/>
    <w:rsid w:val="0058652C"/>
    <w:rsid w:val="005870DD"/>
    <w:rsid w:val="00587DF9"/>
    <w:rsid w:val="00590B0F"/>
    <w:rsid w:val="00590EDF"/>
    <w:rsid w:val="00591083"/>
    <w:rsid w:val="0059120A"/>
    <w:rsid w:val="00591408"/>
    <w:rsid w:val="0059169C"/>
    <w:rsid w:val="00592162"/>
    <w:rsid w:val="00592C4B"/>
    <w:rsid w:val="00593B17"/>
    <w:rsid w:val="00593D0A"/>
    <w:rsid w:val="0059495F"/>
    <w:rsid w:val="00595289"/>
    <w:rsid w:val="005961A9"/>
    <w:rsid w:val="005A0044"/>
    <w:rsid w:val="005A0304"/>
    <w:rsid w:val="005A09F3"/>
    <w:rsid w:val="005A0CC1"/>
    <w:rsid w:val="005A1B77"/>
    <w:rsid w:val="005A2EF4"/>
    <w:rsid w:val="005A4C1A"/>
    <w:rsid w:val="005A5364"/>
    <w:rsid w:val="005A6AB0"/>
    <w:rsid w:val="005A7563"/>
    <w:rsid w:val="005B0A15"/>
    <w:rsid w:val="005B144E"/>
    <w:rsid w:val="005B1FEF"/>
    <w:rsid w:val="005B214C"/>
    <w:rsid w:val="005B253E"/>
    <w:rsid w:val="005B257E"/>
    <w:rsid w:val="005B3CF9"/>
    <w:rsid w:val="005B47CF"/>
    <w:rsid w:val="005B513E"/>
    <w:rsid w:val="005B56E7"/>
    <w:rsid w:val="005B7CF2"/>
    <w:rsid w:val="005C008D"/>
    <w:rsid w:val="005C0F36"/>
    <w:rsid w:val="005C1FD3"/>
    <w:rsid w:val="005C21AB"/>
    <w:rsid w:val="005C21B6"/>
    <w:rsid w:val="005C28F3"/>
    <w:rsid w:val="005C3B91"/>
    <w:rsid w:val="005C4E49"/>
    <w:rsid w:val="005C5249"/>
    <w:rsid w:val="005C557C"/>
    <w:rsid w:val="005C55A0"/>
    <w:rsid w:val="005C61DD"/>
    <w:rsid w:val="005C7289"/>
    <w:rsid w:val="005D0892"/>
    <w:rsid w:val="005D090C"/>
    <w:rsid w:val="005D0B91"/>
    <w:rsid w:val="005D0DAE"/>
    <w:rsid w:val="005D1FF1"/>
    <w:rsid w:val="005D2701"/>
    <w:rsid w:val="005D2F17"/>
    <w:rsid w:val="005D3AAF"/>
    <w:rsid w:val="005D3DC8"/>
    <w:rsid w:val="005D4BF2"/>
    <w:rsid w:val="005D5D96"/>
    <w:rsid w:val="005D5F55"/>
    <w:rsid w:val="005D7C5F"/>
    <w:rsid w:val="005E114C"/>
    <w:rsid w:val="005E1FFA"/>
    <w:rsid w:val="005E276B"/>
    <w:rsid w:val="005E2D27"/>
    <w:rsid w:val="005E312A"/>
    <w:rsid w:val="005E35D9"/>
    <w:rsid w:val="005E3614"/>
    <w:rsid w:val="005E3AEA"/>
    <w:rsid w:val="005E3E18"/>
    <w:rsid w:val="005E582F"/>
    <w:rsid w:val="005E58BC"/>
    <w:rsid w:val="005E5EBA"/>
    <w:rsid w:val="005E6A4E"/>
    <w:rsid w:val="005E7D60"/>
    <w:rsid w:val="005F000B"/>
    <w:rsid w:val="005F03C1"/>
    <w:rsid w:val="005F0F5B"/>
    <w:rsid w:val="005F1C3A"/>
    <w:rsid w:val="005F20E3"/>
    <w:rsid w:val="005F2380"/>
    <w:rsid w:val="005F2AE9"/>
    <w:rsid w:val="005F2BDE"/>
    <w:rsid w:val="005F3517"/>
    <w:rsid w:val="005F383C"/>
    <w:rsid w:val="005F5E3D"/>
    <w:rsid w:val="005F64E6"/>
    <w:rsid w:val="00600AD2"/>
    <w:rsid w:val="006018EF"/>
    <w:rsid w:val="00601C5B"/>
    <w:rsid w:val="006023A2"/>
    <w:rsid w:val="00604AA9"/>
    <w:rsid w:val="00604F76"/>
    <w:rsid w:val="006052DE"/>
    <w:rsid w:val="006056E7"/>
    <w:rsid w:val="00606B1C"/>
    <w:rsid w:val="00606C83"/>
    <w:rsid w:val="00607CF9"/>
    <w:rsid w:val="00607D51"/>
    <w:rsid w:val="00607ED0"/>
    <w:rsid w:val="00610070"/>
    <w:rsid w:val="00611403"/>
    <w:rsid w:val="0061190B"/>
    <w:rsid w:val="006119C0"/>
    <w:rsid w:val="006119CF"/>
    <w:rsid w:val="00612131"/>
    <w:rsid w:val="006125F4"/>
    <w:rsid w:val="00612D23"/>
    <w:rsid w:val="00613118"/>
    <w:rsid w:val="006139F5"/>
    <w:rsid w:val="00613D4B"/>
    <w:rsid w:val="00614192"/>
    <w:rsid w:val="00614590"/>
    <w:rsid w:val="006147D5"/>
    <w:rsid w:val="006153F7"/>
    <w:rsid w:val="0061744A"/>
    <w:rsid w:val="006176FF"/>
    <w:rsid w:val="00621100"/>
    <w:rsid w:val="006242E6"/>
    <w:rsid w:val="00624D25"/>
    <w:rsid w:val="00624D44"/>
    <w:rsid w:val="006257C9"/>
    <w:rsid w:val="00626C5D"/>
    <w:rsid w:val="00626D05"/>
    <w:rsid w:val="00627604"/>
    <w:rsid w:val="00627AE8"/>
    <w:rsid w:val="00630BD8"/>
    <w:rsid w:val="00631C44"/>
    <w:rsid w:val="00631CEE"/>
    <w:rsid w:val="006323F2"/>
    <w:rsid w:val="00633464"/>
    <w:rsid w:val="00633D92"/>
    <w:rsid w:val="00633EEC"/>
    <w:rsid w:val="006343B6"/>
    <w:rsid w:val="00634A7F"/>
    <w:rsid w:val="00635F0B"/>
    <w:rsid w:val="00635FF4"/>
    <w:rsid w:val="00640000"/>
    <w:rsid w:val="00640152"/>
    <w:rsid w:val="00640ABF"/>
    <w:rsid w:val="006410B6"/>
    <w:rsid w:val="0064125B"/>
    <w:rsid w:val="006422DB"/>
    <w:rsid w:val="00644022"/>
    <w:rsid w:val="006443FB"/>
    <w:rsid w:val="00645469"/>
    <w:rsid w:val="00645557"/>
    <w:rsid w:val="006458B4"/>
    <w:rsid w:val="00645D2D"/>
    <w:rsid w:val="006509D9"/>
    <w:rsid w:val="00650EAB"/>
    <w:rsid w:val="0065185F"/>
    <w:rsid w:val="00651A11"/>
    <w:rsid w:val="00651C67"/>
    <w:rsid w:val="00654191"/>
    <w:rsid w:val="006541BE"/>
    <w:rsid w:val="00654270"/>
    <w:rsid w:val="00654A4C"/>
    <w:rsid w:val="006557A3"/>
    <w:rsid w:val="006559F8"/>
    <w:rsid w:val="00655B10"/>
    <w:rsid w:val="00655B94"/>
    <w:rsid w:val="00656788"/>
    <w:rsid w:val="00656939"/>
    <w:rsid w:val="006637A8"/>
    <w:rsid w:val="00664675"/>
    <w:rsid w:val="00664B90"/>
    <w:rsid w:val="00664F43"/>
    <w:rsid w:val="00664F4D"/>
    <w:rsid w:val="0066520B"/>
    <w:rsid w:val="006665B6"/>
    <w:rsid w:val="00666EFE"/>
    <w:rsid w:val="00670DBE"/>
    <w:rsid w:val="00671411"/>
    <w:rsid w:val="00672640"/>
    <w:rsid w:val="00672C38"/>
    <w:rsid w:val="00673170"/>
    <w:rsid w:val="00673E85"/>
    <w:rsid w:val="006749BB"/>
    <w:rsid w:val="006766B6"/>
    <w:rsid w:val="00677008"/>
    <w:rsid w:val="006800A5"/>
    <w:rsid w:val="00680454"/>
    <w:rsid w:val="006804E0"/>
    <w:rsid w:val="0068192D"/>
    <w:rsid w:val="006827E6"/>
    <w:rsid w:val="00684647"/>
    <w:rsid w:val="00684F50"/>
    <w:rsid w:val="00686D80"/>
    <w:rsid w:val="00687394"/>
    <w:rsid w:val="00691C61"/>
    <w:rsid w:val="00691E3F"/>
    <w:rsid w:val="00693499"/>
    <w:rsid w:val="00694846"/>
    <w:rsid w:val="00694E0B"/>
    <w:rsid w:val="00694F30"/>
    <w:rsid w:val="0069544E"/>
    <w:rsid w:val="00695476"/>
    <w:rsid w:val="00696621"/>
    <w:rsid w:val="00697049"/>
    <w:rsid w:val="0069712F"/>
    <w:rsid w:val="006971B4"/>
    <w:rsid w:val="006A1006"/>
    <w:rsid w:val="006A1463"/>
    <w:rsid w:val="006A2BFC"/>
    <w:rsid w:val="006A6CD1"/>
    <w:rsid w:val="006B0082"/>
    <w:rsid w:val="006B077E"/>
    <w:rsid w:val="006B12CD"/>
    <w:rsid w:val="006B152B"/>
    <w:rsid w:val="006B1E23"/>
    <w:rsid w:val="006B1F61"/>
    <w:rsid w:val="006B1F90"/>
    <w:rsid w:val="006B262B"/>
    <w:rsid w:val="006B2B93"/>
    <w:rsid w:val="006B2BB0"/>
    <w:rsid w:val="006B3A80"/>
    <w:rsid w:val="006B62C1"/>
    <w:rsid w:val="006B6959"/>
    <w:rsid w:val="006B7F0D"/>
    <w:rsid w:val="006C0A47"/>
    <w:rsid w:val="006C0C30"/>
    <w:rsid w:val="006C0F36"/>
    <w:rsid w:val="006C125B"/>
    <w:rsid w:val="006C2234"/>
    <w:rsid w:val="006C2FCA"/>
    <w:rsid w:val="006C42EB"/>
    <w:rsid w:val="006C47F4"/>
    <w:rsid w:val="006C54B2"/>
    <w:rsid w:val="006C557F"/>
    <w:rsid w:val="006C6266"/>
    <w:rsid w:val="006C78E6"/>
    <w:rsid w:val="006D0283"/>
    <w:rsid w:val="006D02DE"/>
    <w:rsid w:val="006D053A"/>
    <w:rsid w:val="006D094C"/>
    <w:rsid w:val="006D0FAD"/>
    <w:rsid w:val="006D16ED"/>
    <w:rsid w:val="006D19B9"/>
    <w:rsid w:val="006D2563"/>
    <w:rsid w:val="006D2B49"/>
    <w:rsid w:val="006D40BF"/>
    <w:rsid w:val="006D5BCC"/>
    <w:rsid w:val="006D5E21"/>
    <w:rsid w:val="006D5ECF"/>
    <w:rsid w:val="006D6F6D"/>
    <w:rsid w:val="006D7DF9"/>
    <w:rsid w:val="006E064F"/>
    <w:rsid w:val="006E077F"/>
    <w:rsid w:val="006E0B99"/>
    <w:rsid w:val="006E0FA9"/>
    <w:rsid w:val="006E1936"/>
    <w:rsid w:val="006E1CA2"/>
    <w:rsid w:val="006E4D9B"/>
    <w:rsid w:val="006E4E45"/>
    <w:rsid w:val="006E5253"/>
    <w:rsid w:val="006E7072"/>
    <w:rsid w:val="006E7157"/>
    <w:rsid w:val="006F27D7"/>
    <w:rsid w:val="006F2B5B"/>
    <w:rsid w:val="006F2F8A"/>
    <w:rsid w:val="006F3595"/>
    <w:rsid w:val="006F3C69"/>
    <w:rsid w:val="006F418A"/>
    <w:rsid w:val="006F50B6"/>
    <w:rsid w:val="006F529C"/>
    <w:rsid w:val="006F7254"/>
    <w:rsid w:val="006F7935"/>
    <w:rsid w:val="00700055"/>
    <w:rsid w:val="0070009E"/>
    <w:rsid w:val="0070093B"/>
    <w:rsid w:val="00700E5A"/>
    <w:rsid w:val="00701274"/>
    <w:rsid w:val="007019E2"/>
    <w:rsid w:val="00701ECE"/>
    <w:rsid w:val="007033E5"/>
    <w:rsid w:val="0070456C"/>
    <w:rsid w:val="007045DF"/>
    <w:rsid w:val="0070595E"/>
    <w:rsid w:val="00705B40"/>
    <w:rsid w:val="007077C6"/>
    <w:rsid w:val="00707D97"/>
    <w:rsid w:val="00710648"/>
    <w:rsid w:val="00711042"/>
    <w:rsid w:val="00711374"/>
    <w:rsid w:val="00711BAD"/>
    <w:rsid w:val="00711C19"/>
    <w:rsid w:val="00711C4E"/>
    <w:rsid w:val="00712A2B"/>
    <w:rsid w:val="00712B22"/>
    <w:rsid w:val="00714465"/>
    <w:rsid w:val="00714741"/>
    <w:rsid w:val="00714AE1"/>
    <w:rsid w:val="00715454"/>
    <w:rsid w:val="007178AD"/>
    <w:rsid w:val="00721698"/>
    <w:rsid w:val="00722849"/>
    <w:rsid w:val="007254BB"/>
    <w:rsid w:val="00725BC0"/>
    <w:rsid w:val="00726CEA"/>
    <w:rsid w:val="00731839"/>
    <w:rsid w:val="0073304A"/>
    <w:rsid w:val="00733AFC"/>
    <w:rsid w:val="00733B01"/>
    <w:rsid w:val="00733BFD"/>
    <w:rsid w:val="00733EC0"/>
    <w:rsid w:val="00735C7A"/>
    <w:rsid w:val="00736DD3"/>
    <w:rsid w:val="007370E9"/>
    <w:rsid w:val="0074064C"/>
    <w:rsid w:val="0074093B"/>
    <w:rsid w:val="00741B19"/>
    <w:rsid w:val="00742360"/>
    <w:rsid w:val="007428CF"/>
    <w:rsid w:val="00743F57"/>
    <w:rsid w:val="00744BBA"/>
    <w:rsid w:val="00744E13"/>
    <w:rsid w:val="00744FAC"/>
    <w:rsid w:val="00745B03"/>
    <w:rsid w:val="00747364"/>
    <w:rsid w:val="007475AC"/>
    <w:rsid w:val="00747710"/>
    <w:rsid w:val="0074779A"/>
    <w:rsid w:val="00752628"/>
    <w:rsid w:val="007526B4"/>
    <w:rsid w:val="00752C16"/>
    <w:rsid w:val="007531A1"/>
    <w:rsid w:val="00753778"/>
    <w:rsid w:val="00753F30"/>
    <w:rsid w:val="00754BE1"/>
    <w:rsid w:val="00754FE3"/>
    <w:rsid w:val="007550B4"/>
    <w:rsid w:val="00757117"/>
    <w:rsid w:val="00760850"/>
    <w:rsid w:val="0076187E"/>
    <w:rsid w:val="0076259D"/>
    <w:rsid w:val="00764881"/>
    <w:rsid w:val="007653C3"/>
    <w:rsid w:val="00771BA7"/>
    <w:rsid w:val="0077201B"/>
    <w:rsid w:val="00772CF4"/>
    <w:rsid w:val="00773459"/>
    <w:rsid w:val="00773D17"/>
    <w:rsid w:val="00773FB8"/>
    <w:rsid w:val="00775C02"/>
    <w:rsid w:val="00776050"/>
    <w:rsid w:val="0077629D"/>
    <w:rsid w:val="00776847"/>
    <w:rsid w:val="007769A0"/>
    <w:rsid w:val="00776B34"/>
    <w:rsid w:val="00777F73"/>
    <w:rsid w:val="00781997"/>
    <w:rsid w:val="00781A79"/>
    <w:rsid w:val="00781EE3"/>
    <w:rsid w:val="00782207"/>
    <w:rsid w:val="00782251"/>
    <w:rsid w:val="00782636"/>
    <w:rsid w:val="00783E97"/>
    <w:rsid w:val="0078469F"/>
    <w:rsid w:val="0078751F"/>
    <w:rsid w:val="00787720"/>
    <w:rsid w:val="00787EEF"/>
    <w:rsid w:val="00790590"/>
    <w:rsid w:val="00790C32"/>
    <w:rsid w:val="00791C71"/>
    <w:rsid w:val="00792174"/>
    <w:rsid w:val="0079289C"/>
    <w:rsid w:val="00792AE6"/>
    <w:rsid w:val="00792BFF"/>
    <w:rsid w:val="00792C08"/>
    <w:rsid w:val="00793A21"/>
    <w:rsid w:val="00794092"/>
    <w:rsid w:val="00794792"/>
    <w:rsid w:val="00794A50"/>
    <w:rsid w:val="00795A4C"/>
    <w:rsid w:val="00795EEC"/>
    <w:rsid w:val="00796113"/>
    <w:rsid w:val="00797376"/>
    <w:rsid w:val="007A031A"/>
    <w:rsid w:val="007A0C9E"/>
    <w:rsid w:val="007A35C9"/>
    <w:rsid w:val="007A3A37"/>
    <w:rsid w:val="007A3FEB"/>
    <w:rsid w:val="007A4609"/>
    <w:rsid w:val="007A512A"/>
    <w:rsid w:val="007A52B2"/>
    <w:rsid w:val="007A7169"/>
    <w:rsid w:val="007A7B30"/>
    <w:rsid w:val="007A7D70"/>
    <w:rsid w:val="007B003F"/>
    <w:rsid w:val="007B01D4"/>
    <w:rsid w:val="007B045C"/>
    <w:rsid w:val="007B1BC7"/>
    <w:rsid w:val="007B1C9F"/>
    <w:rsid w:val="007B2491"/>
    <w:rsid w:val="007B596A"/>
    <w:rsid w:val="007B6665"/>
    <w:rsid w:val="007B6C86"/>
    <w:rsid w:val="007B7996"/>
    <w:rsid w:val="007B7DCB"/>
    <w:rsid w:val="007C0EB6"/>
    <w:rsid w:val="007C165D"/>
    <w:rsid w:val="007C219E"/>
    <w:rsid w:val="007C274A"/>
    <w:rsid w:val="007C2DB1"/>
    <w:rsid w:val="007C3C74"/>
    <w:rsid w:val="007C4702"/>
    <w:rsid w:val="007C4E07"/>
    <w:rsid w:val="007C536C"/>
    <w:rsid w:val="007C5FEF"/>
    <w:rsid w:val="007C79EE"/>
    <w:rsid w:val="007C7C30"/>
    <w:rsid w:val="007D1156"/>
    <w:rsid w:val="007D1251"/>
    <w:rsid w:val="007D18C8"/>
    <w:rsid w:val="007D2232"/>
    <w:rsid w:val="007D2809"/>
    <w:rsid w:val="007D2C59"/>
    <w:rsid w:val="007D2CB8"/>
    <w:rsid w:val="007D4A41"/>
    <w:rsid w:val="007D4E66"/>
    <w:rsid w:val="007D50A9"/>
    <w:rsid w:val="007D53EF"/>
    <w:rsid w:val="007D6309"/>
    <w:rsid w:val="007D69D4"/>
    <w:rsid w:val="007E0146"/>
    <w:rsid w:val="007E10B2"/>
    <w:rsid w:val="007E17E1"/>
    <w:rsid w:val="007E1F23"/>
    <w:rsid w:val="007E234C"/>
    <w:rsid w:val="007E40DE"/>
    <w:rsid w:val="007E485B"/>
    <w:rsid w:val="007E51E3"/>
    <w:rsid w:val="007E52BF"/>
    <w:rsid w:val="007E597A"/>
    <w:rsid w:val="007E626D"/>
    <w:rsid w:val="007E630A"/>
    <w:rsid w:val="007E7567"/>
    <w:rsid w:val="007F0B66"/>
    <w:rsid w:val="007F0D96"/>
    <w:rsid w:val="007F13D4"/>
    <w:rsid w:val="007F213E"/>
    <w:rsid w:val="007F21CD"/>
    <w:rsid w:val="007F267B"/>
    <w:rsid w:val="007F3C5A"/>
    <w:rsid w:val="007F4ACB"/>
    <w:rsid w:val="007F4C04"/>
    <w:rsid w:val="007F50B2"/>
    <w:rsid w:val="007F5310"/>
    <w:rsid w:val="007F5482"/>
    <w:rsid w:val="007F5B8E"/>
    <w:rsid w:val="007F704A"/>
    <w:rsid w:val="007F7294"/>
    <w:rsid w:val="00800226"/>
    <w:rsid w:val="00800895"/>
    <w:rsid w:val="00800CD1"/>
    <w:rsid w:val="00800E63"/>
    <w:rsid w:val="008012FB"/>
    <w:rsid w:val="008044E9"/>
    <w:rsid w:val="0080486C"/>
    <w:rsid w:val="00804E2E"/>
    <w:rsid w:val="00804EE7"/>
    <w:rsid w:val="008055E4"/>
    <w:rsid w:val="008059CB"/>
    <w:rsid w:val="0080666B"/>
    <w:rsid w:val="00806701"/>
    <w:rsid w:val="0081000B"/>
    <w:rsid w:val="00810083"/>
    <w:rsid w:val="00810195"/>
    <w:rsid w:val="00810E79"/>
    <w:rsid w:val="008122BD"/>
    <w:rsid w:val="00812F37"/>
    <w:rsid w:val="008139BC"/>
    <w:rsid w:val="00813E8F"/>
    <w:rsid w:val="008148FD"/>
    <w:rsid w:val="00814EA5"/>
    <w:rsid w:val="00814EC4"/>
    <w:rsid w:val="008150DC"/>
    <w:rsid w:val="0081600D"/>
    <w:rsid w:val="00816F82"/>
    <w:rsid w:val="00817039"/>
    <w:rsid w:val="008203E1"/>
    <w:rsid w:val="008203E3"/>
    <w:rsid w:val="00821497"/>
    <w:rsid w:val="00821822"/>
    <w:rsid w:val="00821911"/>
    <w:rsid w:val="00821C6A"/>
    <w:rsid w:val="00821FBA"/>
    <w:rsid w:val="00823184"/>
    <w:rsid w:val="008235CA"/>
    <w:rsid w:val="00825872"/>
    <w:rsid w:val="00831EA0"/>
    <w:rsid w:val="008323C1"/>
    <w:rsid w:val="00832A16"/>
    <w:rsid w:val="00832FC1"/>
    <w:rsid w:val="0083302A"/>
    <w:rsid w:val="0083385B"/>
    <w:rsid w:val="00833CD5"/>
    <w:rsid w:val="00834E54"/>
    <w:rsid w:val="00835DF6"/>
    <w:rsid w:val="00836590"/>
    <w:rsid w:val="0083748A"/>
    <w:rsid w:val="0083753F"/>
    <w:rsid w:val="00841610"/>
    <w:rsid w:val="0084186B"/>
    <w:rsid w:val="00841E06"/>
    <w:rsid w:val="00843078"/>
    <w:rsid w:val="00843815"/>
    <w:rsid w:val="00843A10"/>
    <w:rsid w:val="00843A1C"/>
    <w:rsid w:val="0084722A"/>
    <w:rsid w:val="00854747"/>
    <w:rsid w:val="00854E51"/>
    <w:rsid w:val="008551B6"/>
    <w:rsid w:val="00856AB5"/>
    <w:rsid w:val="00857CB1"/>
    <w:rsid w:val="00857E67"/>
    <w:rsid w:val="00857EDE"/>
    <w:rsid w:val="00860420"/>
    <w:rsid w:val="00861C37"/>
    <w:rsid w:val="00862D4B"/>
    <w:rsid w:val="00863154"/>
    <w:rsid w:val="0086387D"/>
    <w:rsid w:val="008640B0"/>
    <w:rsid w:val="008647C7"/>
    <w:rsid w:val="00864EAB"/>
    <w:rsid w:val="00865D0E"/>
    <w:rsid w:val="0086676A"/>
    <w:rsid w:val="00866E83"/>
    <w:rsid w:val="008700C7"/>
    <w:rsid w:val="008713BA"/>
    <w:rsid w:val="00872A92"/>
    <w:rsid w:val="00872DFD"/>
    <w:rsid w:val="008749D2"/>
    <w:rsid w:val="00874A9B"/>
    <w:rsid w:val="008753ED"/>
    <w:rsid w:val="00875512"/>
    <w:rsid w:val="008755BA"/>
    <w:rsid w:val="008757F2"/>
    <w:rsid w:val="008764FC"/>
    <w:rsid w:val="0087651D"/>
    <w:rsid w:val="0087652F"/>
    <w:rsid w:val="00877720"/>
    <w:rsid w:val="00877B40"/>
    <w:rsid w:val="008801B5"/>
    <w:rsid w:val="00880466"/>
    <w:rsid w:val="00880694"/>
    <w:rsid w:val="008807A4"/>
    <w:rsid w:val="00881650"/>
    <w:rsid w:val="00881A3E"/>
    <w:rsid w:val="00882721"/>
    <w:rsid w:val="00883792"/>
    <w:rsid w:val="00883C7D"/>
    <w:rsid w:val="00884FB4"/>
    <w:rsid w:val="00885631"/>
    <w:rsid w:val="00885BA3"/>
    <w:rsid w:val="00886A48"/>
    <w:rsid w:val="008873C7"/>
    <w:rsid w:val="008876BA"/>
    <w:rsid w:val="00887AA2"/>
    <w:rsid w:val="00887C94"/>
    <w:rsid w:val="00890E78"/>
    <w:rsid w:val="0089102A"/>
    <w:rsid w:val="00891069"/>
    <w:rsid w:val="00891D90"/>
    <w:rsid w:val="00891DC2"/>
    <w:rsid w:val="008924D3"/>
    <w:rsid w:val="00892C57"/>
    <w:rsid w:val="008938B3"/>
    <w:rsid w:val="00893902"/>
    <w:rsid w:val="00893A9B"/>
    <w:rsid w:val="00893D44"/>
    <w:rsid w:val="00893E45"/>
    <w:rsid w:val="00893E88"/>
    <w:rsid w:val="0089430D"/>
    <w:rsid w:val="00894E07"/>
    <w:rsid w:val="00895007"/>
    <w:rsid w:val="00895A30"/>
    <w:rsid w:val="0089621C"/>
    <w:rsid w:val="0089676B"/>
    <w:rsid w:val="00896C07"/>
    <w:rsid w:val="00897AFC"/>
    <w:rsid w:val="00897EA6"/>
    <w:rsid w:val="008A116D"/>
    <w:rsid w:val="008A27DD"/>
    <w:rsid w:val="008A4882"/>
    <w:rsid w:val="008A4CE4"/>
    <w:rsid w:val="008A506A"/>
    <w:rsid w:val="008A6DDA"/>
    <w:rsid w:val="008B0167"/>
    <w:rsid w:val="008B18F4"/>
    <w:rsid w:val="008B1906"/>
    <w:rsid w:val="008B1AB7"/>
    <w:rsid w:val="008B1C9A"/>
    <w:rsid w:val="008B24E4"/>
    <w:rsid w:val="008B304A"/>
    <w:rsid w:val="008B3C14"/>
    <w:rsid w:val="008B3C58"/>
    <w:rsid w:val="008B3F92"/>
    <w:rsid w:val="008B487F"/>
    <w:rsid w:val="008B71C1"/>
    <w:rsid w:val="008C06AD"/>
    <w:rsid w:val="008C1BD5"/>
    <w:rsid w:val="008C1C1E"/>
    <w:rsid w:val="008C2695"/>
    <w:rsid w:val="008C27A1"/>
    <w:rsid w:val="008C2BDF"/>
    <w:rsid w:val="008C3570"/>
    <w:rsid w:val="008C38C1"/>
    <w:rsid w:val="008C3B43"/>
    <w:rsid w:val="008C54F9"/>
    <w:rsid w:val="008C6D0D"/>
    <w:rsid w:val="008C738B"/>
    <w:rsid w:val="008C76F7"/>
    <w:rsid w:val="008D0B8F"/>
    <w:rsid w:val="008D1B17"/>
    <w:rsid w:val="008D1FDD"/>
    <w:rsid w:val="008D4A7B"/>
    <w:rsid w:val="008D4E5A"/>
    <w:rsid w:val="008D5146"/>
    <w:rsid w:val="008E0CEC"/>
    <w:rsid w:val="008E22D6"/>
    <w:rsid w:val="008E22DB"/>
    <w:rsid w:val="008E3125"/>
    <w:rsid w:val="008E3920"/>
    <w:rsid w:val="008E5EE3"/>
    <w:rsid w:val="008E5FC6"/>
    <w:rsid w:val="008E65AC"/>
    <w:rsid w:val="008E6998"/>
    <w:rsid w:val="008F011D"/>
    <w:rsid w:val="008F0416"/>
    <w:rsid w:val="008F0A84"/>
    <w:rsid w:val="008F0BDB"/>
    <w:rsid w:val="008F10EE"/>
    <w:rsid w:val="008F1659"/>
    <w:rsid w:val="008F2232"/>
    <w:rsid w:val="008F2824"/>
    <w:rsid w:val="008F2E45"/>
    <w:rsid w:val="008F35B4"/>
    <w:rsid w:val="008F4D2D"/>
    <w:rsid w:val="008F4E7C"/>
    <w:rsid w:val="008F527D"/>
    <w:rsid w:val="008F5D28"/>
    <w:rsid w:val="008F6668"/>
    <w:rsid w:val="008F6B2B"/>
    <w:rsid w:val="008F6CAB"/>
    <w:rsid w:val="008F7084"/>
    <w:rsid w:val="008F7241"/>
    <w:rsid w:val="008F7413"/>
    <w:rsid w:val="008F7902"/>
    <w:rsid w:val="008F7A52"/>
    <w:rsid w:val="008F7CA4"/>
    <w:rsid w:val="0090003A"/>
    <w:rsid w:val="00900E47"/>
    <w:rsid w:val="00901F08"/>
    <w:rsid w:val="00902062"/>
    <w:rsid w:val="009021B1"/>
    <w:rsid w:val="009048B9"/>
    <w:rsid w:val="00904C41"/>
    <w:rsid w:val="00905423"/>
    <w:rsid w:val="0090686A"/>
    <w:rsid w:val="00906A59"/>
    <w:rsid w:val="0090760F"/>
    <w:rsid w:val="00907A54"/>
    <w:rsid w:val="009104BE"/>
    <w:rsid w:val="00911056"/>
    <w:rsid w:val="0091328B"/>
    <w:rsid w:val="00913EB0"/>
    <w:rsid w:val="00913F84"/>
    <w:rsid w:val="00914FB9"/>
    <w:rsid w:val="00915019"/>
    <w:rsid w:val="0091611C"/>
    <w:rsid w:val="0091614C"/>
    <w:rsid w:val="009165B2"/>
    <w:rsid w:val="009169C3"/>
    <w:rsid w:val="009169F2"/>
    <w:rsid w:val="00916D76"/>
    <w:rsid w:val="009175A7"/>
    <w:rsid w:val="009178E0"/>
    <w:rsid w:val="0092004C"/>
    <w:rsid w:val="00920424"/>
    <w:rsid w:val="00920E14"/>
    <w:rsid w:val="0092408B"/>
    <w:rsid w:val="00924A72"/>
    <w:rsid w:val="009251C1"/>
    <w:rsid w:val="00925A5F"/>
    <w:rsid w:val="00925F79"/>
    <w:rsid w:val="00926A63"/>
    <w:rsid w:val="00926AB3"/>
    <w:rsid w:val="00926E61"/>
    <w:rsid w:val="00927A04"/>
    <w:rsid w:val="00930451"/>
    <w:rsid w:val="009309A9"/>
    <w:rsid w:val="0093110C"/>
    <w:rsid w:val="00932082"/>
    <w:rsid w:val="0093244D"/>
    <w:rsid w:val="009339AA"/>
    <w:rsid w:val="00933C9F"/>
    <w:rsid w:val="00933D73"/>
    <w:rsid w:val="00934E0A"/>
    <w:rsid w:val="0093511F"/>
    <w:rsid w:val="0093516A"/>
    <w:rsid w:val="0093532B"/>
    <w:rsid w:val="00935F78"/>
    <w:rsid w:val="00936DDB"/>
    <w:rsid w:val="009375B5"/>
    <w:rsid w:val="00941158"/>
    <w:rsid w:val="00941459"/>
    <w:rsid w:val="00941766"/>
    <w:rsid w:val="00942375"/>
    <w:rsid w:val="009427CC"/>
    <w:rsid w:val="00942986"/>
    <w:rsid w:val="00945C32"/>
    <w:rsid w:val="00945D8A"/>
    <w:rsid w:val="00950563"/>
    <w:rsid w:val="00951230"/>
    <w:rsid w:val="00952260"/>
    <w:rsid w:val="00952768"/>
    <w:rsid w:val="00953212"/>
    <w:rsid w:val="0095388D"/>
    <w:rsid w:val="00953CFC"/>
    <w:rsid w:val="00953E7C"/>
    <w:rsid w:val="009545CC"/>
    <w:rsid w:val="00954B34"/>
    <w:rsid w:val="00955742"/>
    <w:rsid w:val="009571B1"/>
    <w:rsid w:val="00957C35"/>
    <w:rsid w:val="009608BE"/>
    <w:rsid w:val="00960A11"/>
    <w:rsid w:val="00961651"/>
    <w:rsid w:val="00962E3F"/>
    <w:rsid w:val="00962F36"/>
    <w:rsid w:val="009638AA"/>
    <w:rsid w:val="009644B0"/>
    <w:rsid w:val="009651FF"/>
    <w:rsid w:val="00965B5C"/>
    <w:rsid w:val="00966191"/>
    <w:rsid w:val="009664BB"/>
    <w:rsid w:val="00966501"/>
    <w:rsid w:val="00966EF9"/>
    <w:rsid w:val="00970996"/>
    <w:rsid w:val="00970B7D"/>
    <w:rsid w:val="009711B5"/>
    <w:rsid w:val="00972D87"/>
    <w:rsid w:val="00973297"/>
    <w:rsid w:val="00974D21"/>
    <w:rsid w:val="009757BD"/>
    <w:rsid w:val="009758C7"/>
    <w:rsid w:val="00975A03"/>
    <w:rsid w:val="00976CCA"/>
    <w:rsid w:val="00977205"/>
    <w:rsid w:val="00980D71"/>
    <w:rsid w:val="00982066"/>
    <w:rsid w:val="009822C4"/>
    <w:rsid w:val="00983F05"/>
    <w:rsid w:val="0098517E"/>
    <w:rsid w:val="0098596E"/>
    <w:rsid w:val="00986474"/>
    <w:rsid w:val="009869CE"/>
    <w:rsid w:val="009873BD"/>
    <w:rsid w:val="00987966"/>
    <w:rsid w:val="00987D5D"/>
    <w:rsid w:val="00987EB8"/>
    <w:rsid w:val="0099091E"/>
    <w:rsid w:val="00990D2E"/>
    <w:rsid w:val="0099131C"/>
    <w:rsid w:val="00991A07"/>
    <w:rsid w:val="00991D2E"/>
    <w:rsid w:val="00993B2E"/>
    <w:rsid w:val="00993E8C"/>
    <w:rsid w:val="009950D0"/>
    <w:rsid w:val="00995B3F"/>
    <w:rsid w:val="00995E45"/>
    <w:rsid w:val="009971E5"/>
    <w:rsid w:val="009A05BC"/>
    <w:rsid w:val="009A075A"/>
    <w:rsid w:val="009A0B30"/>
    <w:rsid w:val="009A3E75"/>
    <w:rsid w:val="009A57EB"/>
    <w:rsid w:val="009A5DA2"/>
    <w:rsid w:val="009A6463"/>
    <w:rsid w:val="009A64E6"/>
    <w:rsid w:val="009A67A5"/>
    <w:rsid w:val="009A6975"/>
    <w:rsid w:val="009A6D48"/>
    <w:rsid w:val="009A7C35"/>
    <w:rsid w:val="009B1894"/>
    <w:rsid w:val="009B27D8"/>
    <w:rsid w:val="009B2F5D"/>
    <w:rsid w:val="009B3608"/>
    <w:rsid w:val="009B3AD0"/>
    <w:rsid w:val="009B3C56"/>
    <w:rsid w:val="009B540B"/>
    <w:rsid w:val="009B66D6"/>
    <w:rsid w:val="009C3E77"/>
    <w:rsid w:val="009C4845"/>
    <w:rsid w:val="009C5336"/>
    <w:rsid w:val="009C5B24"/>
    <w:rsid w:val="009C7DA1"/>
    <w:rsid w:val="009D046F"/>
    <w:rsid w:val="009D0D58"/>
    <w:rsid w:val="009D23BE"/>
    <w:rsid w:val="009D2CB9"/>
    <w:rsid w:val="009D3F12"/>
    <w:rsid w:val="009D3FFB"/>
    <w:rsid w:val="009D56A6"/>
    <w:rsid w:val="009D576B"/>
    <w:rsid w:val="009D6E3B"/>
    <w:rsid w:val="009E0940"/>
    <w:rsid w:val="009E166C"/>
    <w:rsid w:val="009E2744"/>
    <w:rsid w:val="009E2BD5"/>
    <w:rsid w:val="009E3651"/>
    <w:rsid w:val="009E4BE6"/>
    <w:rsid w:val="009E5068"/>
    <w:rsid w:val="009E58F8"/>
    <w:rsid w:val="009E60BB"/>
    <w:rsid w:val="009E62FF"/>
    <w:rsid w:val="009E6D7B"/>
    <w:rsid w:val="009E6EE5"/>
    <w:rsid w:val="009E7408"/>
    <w:rsid w:val="009E7411"/>
    <w:rsid w:val="009E7E3C"/>
    <w:rsid w:val="009F1410"/>
    <w:rsid w:val="009F1596"/>
    <w:rsid w:val="009F2CC0"/>
    <w:rsid w:val="009F2FCD"/>
    <w:rsid w:val="009F301C"/>
    <w:rsid w:val="009F31AA"/>
    <w:rsid w:val="009F393A"/>
    <w:rsid w:val="009F5772"/>
    <w:rsid w:val="009F5B70"/>
    <w:rsid w:val="009F5BFC"/>
    <w:rsid w:val="009F7A40"/>
    <w:rsid w:val="009F7DAC"/>
    <w:rsid w:val="00A001BC"/>
    <w:rsid w:val="00A01814"/>
    <w:rsid w:val="00A022AF"/>
    <w:rsid w:val="00A02DD1"/>
    <w:rsid w:val="00A03256"/>
    <w:rsid w:val="00A036D5"/>
    <w:rsid w:val="00A03C6B"/>
    <w:rsid w:val="00A0443D"/>
    <w:rsid w:val="00A066A9"/>
    <w:rsid w:val="00A10A3A"/>
    <w:rsid w:val="00A1162D"/>
    <w:rsid w:val="00A11960"/>
    <w:rsid w:val="00A1212A"/>
    <w:rsid w:val="00A1276B"/>
    <w:rsid w:val="00A1300A"/>
    <w:rsid w:val="00A142F5"/>
    <w:rsid w:val="00A14FB7"/>
    <w:rsid w:val="00A15561"/>
    <w:rsid w:val="00A156B7"/>
    <w:rsid w:val="00A167A1"/>
    <w:rsid w:val="00A20C21"/>
    <w:rsid w:val="00A20E05"/>
    <w:rsid w:val="00A20EAE"/>
    <w:rsid w:val="00A20FB3"/>
    <w:rsid w:val="00A21157"/>
    <w:rsid w:val="00A212A0"/>
    <w:rsid w:val="00A213FC"/>
    <w:rsid w:val="00A21420"/>
    <w:rsid w:val="00A21668"/>
    <w:rsid w:val="00A2196D"/>
    <w:rsid w:val="00A21B50"/>
    <w:rsid w:val="00A222CE"/>
    <w:rsid w:val="00A22825"/>
    <w:rsid w:val="00A23310"/>
    <w:rsid w:val="00A2393C"/>
    <w:rsid w:val="00A23D74"/>
    <w:rsid w:val="00A2696A"/>
    <w:rsid w:val="00A309C6"/>
    <w:rsid w:val="00A30B4A"/>
    <w:rsid w:val="00A32690"/>
    <w:rsid w:val="00A33FD6"/>
    <w:rsid w:val="00A3462A"/>
    <w:rsid w:val="00A3675A"/>
    <w:rsid w:val="00A37240"/>
    <w:rsid w:val="00A375CD"/>
    <w:rsid w:val="00A401BB"/>
    <w:rsid w:val="00A40DDA"/>
    <w:rsid w:val="00A42016"/>
    <w:rsid w:val="00A421EE"/>
    <w:rsid w:val="00A424C8"/>
    <w:rsid w:val="00A42EAA"/>
    <w:rsid w:val="00A4416F"/>
    <w:rsid w:val="00A44E78"/>
    <w:rsid w:val="00A45F0F"/>
    <w:rsid w:val="00A46532"/>
    <w:rsid w:val="00A4753C"/>
    <w:rsid w:val="00A47CB6"/>
    <w:rsid w:val="00A5085D"/>
    <w:rsid w:val="00A5183A"/>
    <w:rsid w:val="00A527E5"/>
    <w:rsid w:val="00A52A05"/>
    <w:rsid w:val="00A52D04"/>
    <w:rsid w:val="00A53C6F"/>
    <w:rsid w:val="00A53D2F"/>
    <w:rsid w:val="00A54EC8"/>
    <w:rsid w:val="00A54F7D"/>
    <w:rsid w:val="00A550E4"/>
    <w:rsid w:val="00A55614"/>
    <w:rsid w:val="00A55D5D"/>
    <w:rsid w:val="00A56AAF"/>
    <w:rsid w:val="00A605C7"/>
    <w:rsid w:val="00A60706"/>
    <w:rsid w:val="00A60F3D"/>
    <w:rsid w:val="00A61CC5"/>
    <w:rsid w:val="00A62E97"/>
    <w:rsid w:val="00A633BF"/>
    <w:rsid w:val="00A63A5C"/>
    <w:rsid w:val="00A63F4A"/>
    <w:rsid w:val="00A667E1"/>
    <w:rsid w:val="00A67CCA"/>
    <w:rsid w:val="00A701B1"/>
    <w:rsid w:val="00A713A5"/>
    <w:rsid w:val="00A723B6"/>
    <w:rsid w:val="00A72886"/>
    <w:rsid w:val="00A729F9"/>
    <w:rsid w:val="00A74BC0"/>
    <w:rsid w:val="00A7563F"/>
    <w:rsid w:val="00A76674"/>
    <w:rsid w:val="00A77D98"/>
    <w:rsid w:val="00A806B9"/>
    <w:rsid w:val="00A817A6"/>
    <w:rsid w:val="00A820AA"/>
    <w:rsid w:val="00A825AB"/>
    <w:rsid w:val="00A8324D"/>
    <w:rsid w:val="00A833A7"/>
    <w:rsid w:val="00A83D2C"/>
    <w:rsid w:val="00A83DC1"/>
    <w:rsid w:val="00A84655"/>
    <w:rsid w:val="00A85169"/>
    <w:rsid w:val="00A8666E"/>
    <w:rsid w:val="00A905D1"/>
    <w:rsid w:val="00A9155E"/>
    <w:rsid w:val="00A9175D"/>
    <w:rsid w:val="00A921AB"/>
    <w:rsid w:val="00A9226D"/>
    <w:rsid w:val="00A923B2"/>
    <w:rsid w:val="00A923E7"/>
    <w:rsid w:val="00A92E80"/>
    <w:rsid w:val="00A934C2"/>
    <w:rsid w:val="00A934D2"/>
    <w:rsid w:val="00A93D2D"/>
    <w:rsid w:val="00A97F58"/>
    <w:rsid w:val="00AA01EB"/>
    <w:rsid w:val="00AA0263"/>
    <w:rsid w:val="00AA12CA"/>
    <w:rsid w:val="00AA2882"/>
    <w:rsid w:val="00AA2A3B"/>
    <w:rsid w:val="00AA3773"/>
    <w:rsid w:val="00AA5909"/>
    <w:rsid w:val="00AA78EA"/>
    <w:rsid w:val="00AA7F29"/>
    <w:rsid w:val="00AB068E"/>
    <w:rsid w:val="00AB0D9A"/>
    <w:rsid w:val="00AB10BC"/>
    <w:rsid w:val="00AB27A4"/>
    <w:rsid w:val="00AB2CC2"/>
    <w:rsid w:val="00AB2ED7"/>
    <w:rsid w:val="00AB2FCD"/>
    <w:rsid w:val="00AB4331"/>
    <w:rsid w:val="00AB4ACB"/>
    <w:rsid w:val="00AB4EAD"/>
    <w:rsid w:val="00AB5CD5"/>
    <w:rsid w:val="00AB60BA"/>
    <w:rsid w:val="00AB6457"/>
    <w:rsid w:val="00AB6B3C"/>
    <w:rsid w:val="00AB6CA8"/>
    <w:rsid w:val="00AB6FD9"/>
    <w:rsid w:val="00AB7AB6"/>
    <w:rsid w:val="00AC012C"/>
    <w:rsid w:val="00AC0985"/>
    <w:rsid w:val="00AC1187"/>
    <w:rsid w:val="00AC2555"/>
    <w:rsid w:val="00AC40A8"/>
    <w:rsid w:val="00AC50D5"/>
    <w:rsid w:val="00AC6179"/>
    <w:rsid w:val="00AC6430"/>
    <w:rsid w:val="00AC70F6"/>
    <w:rsid w:val="00AC79D1"/>
    <w:rsid w:val="00AD186F"/>
    <w:rsid w:val="00AD2356"/>
    <w:rsid w:val="00AD357D"/>
    <w:rsid w:val="00AD3A60"/>
    <w:rsid w:val="00AD40A9"/>
    <w:rsid w:val="00AD40BD"/>
    <w:rsid w:val="00AD4386"/>
    <w:rsid w:val="00AD631E"/>
    <w:rsid w:val="00AD7720"/>
    <w:rsid w:val="00AD7F03"/>
    <w:rsid w:val="00AE01AE"/>
    <w:rsid w:val="00AE05AC"/>
    <w:rsid w:val="00AE0A59"/>
    <w:rsid w:val="00AE105C"/>
    <w:rsid w:val="00AE14BC"/>
    <w:rsid w:val="00AE2AB7"/>
    <w:rsid w:val="00AE514F"/>
    <w:rsid w:val="00AE5CB3"/>
    <w:rsid w:val="00AE64E9"/>
    <w:rsid w:val="00AE70F2"/>
    <w:rsid w:val="00AE75ED"/>
    <w:rsid w:val="00AF0505"/>
    <w:rsid w:val="00AF09AC"/>
    <w:rsid w:val="00AF0BA0"/>
    <w:rsid w:val="00AF0D25"/>
    <w:rsid w:val="00AF238C"/>
    <w:rsid w:val="00AF2AE6"/>
    <w:rsid w:val="00AF4218"/>
    <w:rsid w:val="00AF4350"/>
    <w:rsid w:val="00AF4B86"/>
    <w:rsid w:val="00AF5095"/>
    <w:rsid w:val="00AF6740"/>
    <w:rsid w:val="00AF6F30"/>
    <w:rsid w:val="00AF75BF"/>
    <w:rsid w:val="00AF7A57"/>
    <w:rsid w:val="00B012D1"/>
    <w:rsid w:val="00B021DA"/>
    <w:rsid w:val="00B027B6"/>
    <w:rsid w:val="00B028F9"/>
    <w:rsid w:val="00B02C7C"/>
    <w:rsid w:val="00B0325D"/>
    <w:rsid w:val="00B03865"/>
    <w:rsid w:val="00B04209"/>
    <w:rsid w:val="00B050C0"/>
    <w:rsid w:val="00B05343"/>
    <w:rsid w:val="00B055DB"/>
    <w:rsid w:val="00B06D48"/>
    <w:rsid w:val="00B07042"/>
    <w:rsid w:val="00B07608"/>
    <w:rsid w:val="00B07DCA"/>
    <w:rsid w:val="00B102F8"/>
    <w:rsid w:val="00B10463"/>
    <w:rsid w:val="00B107F5"/>
    <w:rsid w:val="00B10EC5"/>
    <w:rsid w:val="00B1101A"/>
    <w:rsid w:val="00B11907"/>
    <w:rsid w:val="00B11BCB"/>
    <w:rsid w:val="00B11C94"/>
    <w:rsid w:val="00B121C8"/>
    <w:rsid w:val="00B12B30"/>
    <w:rsid w:val="00B13837"/>
    <w:rsid w:val="00B14EAD"/>
    <w:rsid w:val="00B16B2F"/>
    <w:rsid w:val="00B16C6C"/>
    <w:rsid w:val="00B16D30"/>
    <w:rsid w:val="00B16DAB"/>
    <w:rsid w:val="00B20767"/>
    <w:rsid w:val="00B2121F"/>
    <w:rsid w:val="00B2231D"/>
    <w:rsid w:val="00B22423"/>
    <w:rsid w:val="00B22A82"/>
    <w:rsid w:val="00B23016"/>
    <w:rsid w:val="00B2398D"/>
    <w:rsid w:val="00B2494E"/>
    <w:rsid w:val="00B25A0B"/>
    <w:rsid w:val="00B25A1A"/>
    <w:rsid w:val="00B25F59"/>
    <w:rsid w:val="00B26EBA"/>
    <w:rsid w:val="00B27F6C"/>
    <w:rsid w:val="00B302E9"/>
    <w:rsid w:val="00B315E2"/>
    <w:rsid w:val="00B31B3D"/>
    <w:rsid w:val="00B3241E"/>
    <w:rsid w:val="00B333AC"/>
    <w:rsid w:val="00B33F88"/>
    <w:rsid w:val="00B34C75"/>
    <w:rsid w:val="00B351E9"/>
    <w:rsid w:val="00B366DF"/>
    <w:rsid w:val="00B367FC"/>
    <w:rsid w:val="00B37142"/>
    <w:rsid w:val="00B37945"/>
    <w:rsid w:val="00B37CA4"/>
    <w:rsid w:val="00B40115"/>
    <w:rsid w:val="00B40476"/>
    <w:rsid w:val="00B41DF2"/>
    <w:rsid w:val="00B42065"/>
    <w:rsid w:val="00B427B7"/>
    <w:rsid w:val="00B45069"/>
    <w:rsid w:val="00B45EA9"/>
    <w:rsid w:val="00B46458"/>
    <w:rsid w:val="00B464BA"/>
    <w:rsid w:val="00B4666E"/>
    <w:rsid w:val="00B475EA"/>
    <w:rsid w:val="00B47D3A"/>
    <w:rsid w:val="00B505D4"/>
    <w:rsid w:val="00B52098"/>
    <w:rsid w:val="00B53533"/>
    <w:rsid w:val="00B5522E"/>
    <w:rsid w:val="00B55645"/>
    <w:rsid w:val="00B559C2"/>
    <w:rsid w:val="00B5674A"/>
    <w:rsid w:val="00B567DB"/>
    <w:rsid w:val="00B571E8"/>
    <w:rsid w:val="00B57B74"/>
    <w:rsid w:val="00B57EEC"/>
    <w:rsid w:val="00B60600"/>
    <w:rsid w:val="00B60ABD"/>
    <w:rsid w:val="00B60B53"/>
    <w:rsid w:val="00B615AC"/>
    <w:rsid w:val="00B61C21"/>
    <w:rsid w:val="00B62F20"/>
    <w:rsid w:val="00B63F9F"/>
    <w:rsid w:val="00B6447E"/>
    <w:rsid w:val="00B66757"/>
    <w:rsid w:val="00B66BC7"/>
    <w:rsid w:val="00B70CA3"/>
    <w:rsid w:val="00B7158D"/>
    <w:rsid w:val="00B73C34"/>
    <w:rsid w:val="00B7480F"/>
    <w:rsid w:val="00B74D4A"/>
    <w:rsid w:val="00B75197"/>
    <w:rsid w:val="00B751D4"/>
    <w:rsid w:val="00B769B1"/>
    <w:rsid w:val="00B772C9"/>
    <w:rsid w:val="00B77FBA"/>
    <w:rsid w:val="00B80484"/>
    <w:rsid w:val="00B80596"/>
    <w:rsid w:val="00B80ABA"/>
    <w:rsid w:val="00B80C5D"/>
    <w:rsid w:val="00B822DA"/>
    <w:rsid w:val="00B82D9D"/>
    <w:rsid w:val="00B83E42"/>
    <w:rsid w:val="00B84766"/>
    <w:rsid w:val="00B8575F"/>
    <w:rsid w:val="00B86F8F"/>
    <w:rsid w:val="00B86FF0"/>
    <w:rsid w:val="00B90837"/>
    <w:rsid w:val="00B910C5"/>
    <w:rsid w:val="00B91688"/>
    <w:rsid w:val="00B91955"/>
    <w:rsid w:val="00B926A0"/>
    <w:rsid w:val="00B92A44"/>
    <w:rsid w:val="00B9405C"/>
    <w:rsid w:val="00B943C6"/>
    <w:rsid w:val="00B94A96"/>
    <w:rsid w:val="00B96B56"/>
    <w:rsid w:val="00B96B6C"/>
    <w:rsid w:val="00B96FE4"/>
    <w:rsid w:val="00B970E2"/>
    <w:rsid w:val="00B975C1"/>
    <w:rsid w:val="00B976B6"/>
    <w:rsid w:val="00BA01A6"/>
    <w:rsid w:val="00BA0CB9"/>
    <w:rsid w:val="00BA10B2"/>
    <w:rsid w:val="00BA127D"/>
    <w:rsid w:val="00BA1310"/>
    <w:rsid w:val="00BA173B"/>
    <w:rsid w:val="00BA1967"/>
    <w:rsid w:val="00BA3865"/>
    <w:rsid w:val="00BA4E6C"/>
    <w:rsid w:val="00BA4F62"/>
    <w:rsid w:val="00BA64EF"/>
    <w:rsid w:val="00BA6B9B"/>
    <w:rsid w:val="00BA6F05"/>
    <w:rsid w:val="00BA7479"/>
    <w:rsid w:val="00BA7DD9"/>
    <w:rsid w:val="00BB0010"/>
    <w:rsid w:val="00BB06AD"/>
    <w:rsid w:val="00BB184A"/>
    <w:rsid w:val="00BB1B27"/>
    <w:rsid w:val="00BB1D0F"/>
    <w:rsid w:val="00BB1EAF"/>
    <w:rsid w:val="00BB3058"/>
    <w:rsid w:val="00BB43CD"/>
    <w:rsid w:val="00BB6815"/>
    <w:rsid w:val="00BB78E6"/>
    <w:rsid w:val="00BB7970"/>
    <w:rsid w:val="00BC05B0"/>
    <w:rsid w:val="00BC1349"/>
    <w:rsid w:val="00BC1375"/>
    <w:rsid w:val="00BC1677"/>
    <w:rsid w:val="00BC39F9"/>
    <w:rsid w:val="00BC3C75"/>
    <w:rsid w:val="00BC3CA3"/>
    <w:rsid w:val="00BC4AB9"/>
    <w:rsid w:val="00BC4FAB"/>
    <w:rsid w:val="00BD0A4F"/>
    <w:rsid w:val="00BD1073"/>
    <w:rsid w:val="00BD2E2C"/>
    <w:rsid w:val="00BD3507"/>
    <w:rsid w:val="00BD3551"/>
    <w:rsid w:val="00BD3AA3"/>
    <w:rsid w:val="00BD3AA8"/>
    <w:rsid w:val="00BD40AF"/>
    <w:rsid w:val="00BD4DD4"/>
    <w:rsid w:val="00BD4DE1"/>
    <w:rsid w:val="00BD5792"/>
    <w:rsid w:val="00BD6851"/>
    <w:rsid w:val="00BD6A07"/>
    <w:rsid w:val="00BD7057"/>
    <w:rsid w:val="00BD72E0"/>
    <w:rsid w:val="00BE0BD6"/>
    <w:rsid w:val="00BE13A9"/>
    <w:rsid w:val="00BE1B44"/>
    <w:rsid w:val="00BE1E50"/>
    <w:rsid w:val="00BE1FDB"/>
    <w:rsid w:val="00BE3D51"/>
    <w:rsid w:val="00BE3DAC"/>
    <w:rsid w:val="00BE3E7F"/>
    <w:rsid w:val="00BE49F7"/>
    <w:rsid w:val="00BE4CFE"/>
    <w:rsid w:val="00BE5A0E"/>
    <w:rsid w:val="00BE76AF"/>
    <w:rsid w:val="00BE7E9E"/>
    <w:rsid w:val="00BF12C9"/>
    <w:rsid w:val="00BF1620"/>
    <w:rsid w:val="00BF18F0"/>
    <w:rsid w:val="00BF2818"/>
    <w:rsid w:val="00BF2B01"/>
    <w:rsid w:val="00BF2BBC"/>
    <w:rsid w:val="00BF2C6E"/>
    <w:rsid w:val="00BF2E2A"/>
    <w:rsid w:val="00BF354C"/>
    <w:rsid w:val="00BF44C0"/>
    <w:rsid w:val="00BF486D"/>
    <w:rsid w:val="00BF516F"/>
    <w:rsid w:val="00BF545F"/>
    <w:rsid w:val="00BF55A1"/>
    <w:rsid w:val="00BF573B"/>
    <w:rsid w:val="00BF5742"/>
    <w:rsid w:val="00BF7921"/>
    <w:rsid w:val="00BF794E"/>
    <w:rsid w:val="00C00543"/>
    <w:rsid w:val="00C00930"/>
    <w:rsid w:val="00C014CF"/>
    <w:rsid w:val="00C021DA"/>
    <w:rsid w:val="00C02EFF"/>
    <w:rsid w:val="00C031E5"/>
    <w:rsid w:val="00C03A34"/>
    <w:rsid w:val="00C03B92"/>
    <w:rsid w:val="00C04999"/>
    <w:rsid w:val="00C054EF"/>
    <w:rsid w:val="00C0557A"/>
    <w:rsid w:val="00C0649D"/>
    <w:rsid w:val="00C070D8"/>
    <w:rsid w:val="00C07838"/>
    <w:rsid w:val="00C108E6"/>
    <w:rsid w:val="00C12043"/>
    <w:rsid w:val="00C14AC2"/>
    <w:rsid w:val="00C154CE"/>
    <w:rsid w:val="00C15618"/>
    <w:rsid w:val="00C1596D"/>
    <w:rsid w:val="00C1712A"/>
    <w:rsid w:val="00C17156"/>
    <w:rsid w:val="00C17B4B"/>
    <w:rsid w:val="00C20BD7"/>
    <w:rsid w:val="00C20ED1"/>
    <w:rsid w:val="00C21458"/>
    <w:rsid w:val="00C216FC"/>
    <w:rsid w:val="00C22131"/>
    <w:rsid w:val="00C22493"/>
    <w:rsid w:val="00C24EDC"/>
    <w:rsid w:val="00C264AE"/>
    <w:rsid w:val="00C264C6"/>
    <w:rsid w:val="00C27040"/>
    <w:rsid w:val="00C277BC"/>
    <w:rsid w:val="00C30CC5"/>
    <w:rsid w:val="00C31E3C"/>
    <w:rsid w:val="00C3271C"/>
    <w:rsid w:val="00C338CD"/>
    <w:rsid w:val="00C33950"/>
    <w:rsid w:val="00C34D88"/>
    <w:rsid w:val="00C35563"/>
    <w:rsid w:val="00C358B4"/>
    <w:rsid w:val="00C3651C"/>
    <w:rsid w:val="00C37123"/>
    <w:rsid w:val="00C40A27"/>
    <w:rsid w:val="00C40D35"/>
    <w:rsid w:val="00C414D4"/>
    <w:rsid w:val="00C4150B"/>
    <w:rsid w:val="00C41F32"/>
    <w:rsid w:val="00C42616"/>
    <w:rsid w:val="00C43244"/>
    <w:rsid w:val="00C445C0"/>
    <w:rsid w:val="00C45B18"/>
    <w:rsid w:val="00C45E9B"/>
    <w:rsid w:val="00C46476"/>
    <w:rsid w:val="00C46921"/>
    <w:rsid w:val="00C47440"/>
    <w:rsid w:val="00C478C4"/>
    <w:rsid w:val="00C5012A"/>
    <w:rsid w:val="00C52498"/>
    <w:rsid w:val="00C5329C"/>
    <w:rsid w:val="00C53AC3"/>
    <w:rsid w:val="00C542D7"/>
    <w:rsid w:val="00C54CE0"/>
    <w:rsid w:val="00C55A9C"/>
    <w:rsid w:val="00C55C5A"/>
    <w:rsid w:val="00C56102"/>
    <w:rsid w:val="00C57C50"/>
    <w:rsid w:val="00C61DA3"/>
    <w:rsid w:val="00C6214B"/>
    <w:rsid w:val="00C6282F"/>
    <w:rsid w:val="00C64169"/>
    <w:rsid w:val="00C64408"/>
    <w:rsid w:val="00C645AA"/>
    <w:rsid w:val="00C658CE"/>
    <w:rsid w:val="00C65BA1"/>
    <w:rsid w:val="00C65D96"/>
    <w:rsid w:val="00C66343"/>
    <w:rsid w:val="00C66502"/>
    <w:rsid w:val="00C669C6"/>
    <w:rsid w:val="00C66E3C"/>
    <w:rsid w:val="00C67E18"/>
    <w:rsid w:val="00C7020E"/>
    <w:rsid w:val="00C71065"/>
    <w:rsid w:val="00C7172A"/>
    <w:rsid w:val="00C71A19"/>
    <w:rsid w:val="00C71AEF"/>
    <w:rsid w:val="00C72B95"/>
    <w:rsid w:val="00C76DB9"/>
    <w:rsid w:val="00C77A5A"/>
    <w:rsid w:val="00C77C93"/>
    <w:rsid w:val="00C80036"/>
    <w:rsid w:val="00C804BE"/>
    <w:rsid w:val="00C809F6"/>
    <w:rsid w:val="00C81486"/>
    <w:rsid w:val="00C819ED"/>
    <w:rsid w:val="00C824C8"/>
    <w:rsid w:val="00C82E31"/>
    <w:rsid w:val="00C8313A"/>
    <w:rsid w:val="00C8360F"/>
    <w:rsid w:val="00C83E98"/>
    <w:rsid w:val="00C85355"/>
    <w:rsid w:val="00C877E7"/>
    <w:rsid w:val="00C87CF4"/>
    <w:rsid w:val="00C91BD4"/>
    <w:rsid w:val="00C9200D"/>
    <w:rsid w:val="00C931D2"/>
    <w:rsid w:val="00C94AB9"/>
    <w:rsid w:val="00C9567A"/>
    <w:rsid w:val="00C95B1D"/>
    <w:rsid w:val="00C9693B"/>
    <w:rsid w:val="00C970A6"/>
    <w:rsid w:val="00CA000D"/>
    <w:rsid w:val="00CA024B"/>
    <w:rsid w:val="00CA0DCC"/>
    <w:rsid w:val="00CA12EF"/>
    <w:rsid w:val="00CA14F0"/>
    <w:rsid w:val="00CA1767"/>
    <w:rsid w:val="00CA19B2"/>
    <w:rsid w:val="00CA1B6B"/>
    <w:rsid w:val="00CA2FEA"/>
    <w:rsid w:val="00CA3405"/>
    <w:rsid w:val="00CA703E"/>
    <w:rsid w:val="00CA7B78"/>
    <w:rsid w:val="00CA7C77"/>
    <w:rsid w:val="00CA7D0E"/>
    <w:rsid w:val="00CB26E6"/>
    <w:rsid w:val="00CB30A2"/>
    <w:rsid w:val="00CB3FC9"/>
    <w:rsid w:val="00CB40A2"/>
    <w:rsid w:val="00CB4B00"/>
    <w:rsid w:val="00CB6759"/>
    <w:rsid w:val="00CB79D0"/>
    <w:rsid w:val="00CC017D"/>
    <w:rsid w:val="00CC180B"/>
    <w:rsid w:val="00CC1B95"/>
    <w:rsid w:val="00CC1C5C"/>
    <w:rsid w:val="00CC22ED"/>
    <w:rsid w:val="00CC29D2"/>
    <w:rsid w:val="00CC29F6"/>
    <w:rsid w:val="00CC3260"/>
    <w:rsid w:val="00CC3352"/>
    <w:rsid w:val="00CC3433"/>
    <w:rsid w:val="00CC35DE"/>
    <w:rsid w:val="00CC4C44"/>
    <w:rsid w:val="00CC51D2"/>
    <w:rsid w:val="00CC53B9"/>
    <w:rsid w:val="00CC5E93"/>
    <w:rsid w:val="00CC62B5"/>
    <w:rsid w:val="00CD06D4"/>
    <w:rsid w:val="00CD09C0"/>
    <w:rsid w:val="00CD108B"/>
    <w:rsid w:val="00CD109C"/>
    <w:rsid w:val="00CD1C80"/>
    <w:rsid w:val="00CD2C07"/>
    <w:rsid w:val="00CD64D6"/>
    <w:rsid w:val="00CD6676"/>
    <w:rsid w:val="00CD6D2A"/>
    <w:rsid w:val="00CD7042"/>
    <w:rsid w:val="00CE1EEE"/>
    <w:rsid w:val="00CE20EB"/>
    <w:rsid w:val="00CE2956"/>
    <w:rsid w:val="00CE2E1E"/>
    <w:rsid w:val="00CE3628"/>
    <w:rsid w:val="00CE3F71"/>
    <w:rsid w:val="00CE4599"/>
    <w:rsid w:val="00CE4E84"/>
    <w:rsid w:val="00CE50AC"/>
    <w:rsid w:val="00CE55ED"/>
    <w:rsid w:val="00CE6200"/>
    <w:rsid w:val="00CE7129"/>
    <w:rsid w:val="00CE730E"/>
    <w:rsid w:val="00CE7ACF"/>
    <w:rsid w:val="00CF1535"/>
    <w:rsid w:val="00CF1FD3"/>
    <w:rsid w:val="00CF2012"/>
    <w:rsid w:val="00CF2EDC"/>
    <w:rsid w:val="00CF3536"/>
    <w:rsid w:val="00CF360C"/>
    <w:rsid w:val="00CF46E9"/>
    <w:rsid w:val="00CF700C"/>
    <w:rsid w:val="00CF788C"/>
    <w:rsid w:val="00D00D08"/>
    <w:rsid w:val="00D045A6"/>
    <w:rsid w:val="00D04740"/>
    <w:rsid w:val="00D04D24"/>
    <w:rsid w:val="00D05E33"/>
    <w:rsid w:val="00D06487"/>
    <w:rsid w:val="00D076CB"/>
    <w:rsid w:val="00D07A4C"/>
    <w:rsid w:val="00D1081E"/>
    <w:rsid w:val="00D11E84"/>
    <w:rsid w:val="00D133BC"/>
    <w:rsid w:val="00D13D5E"/>
    <w:rsid w:val="00D143AE"/>
    <w:rsid w:val="00D14772"/>
    <w:rsid w:val="00D1478F"/>
    <w:rsid w:val="00D148FE"/>
    <w:rsid w:val="00D14A4E"/>
    <w:rsid w:val="00D203FB"/>
    <w:rsid w:val="00D20A30"/>
    <w:rsid w:val="00D21A62"/>
    <w:rsid w:val="00D2276B"/>
    <w:rsid w:val="00D22B6B"/>
    <w:rsid w:val="00D2530C"/>
    <w:rsid w:val="00D259F0"/>
    <w:rsid w:val="00D27779"/>
    <w:rsid w:val="00D277E1"/>
    <w:rsid w:val="00D27D29"/>
    <w:rsid w:val="00D30CD5"/>
    <w:rsid w:val="00D3118D"/>
    <w:rsid w:val="00D31E03"/>
    <w:rsid w:val="00D32A67"/>
    <w:rsid w:val="00D33606"/>
    <w:rsid w:val="00D33A80"/>
    <w:rsid w:val="00D33E0E"/>
    <w:rsid w:val="00D33F73"/>
    <w:rsid w:val="00D34389"/>
    <w:rsid w:val="00D34443"/>
    <w:rsid w:val="00D34BC0"/>
    <w:rsid w:val="00D34F96"/>
    <w:rsid w:val="00D35B6D"/>
    <w:rsid w:val="00D368ED"/>
    <w:rsid w:val="00D36B99"/>
    <w:rsid w:val="00D37117"/>
    <w:rsid w:val="00D401EF"/>
    <w:rsid w:val="00D40834"/>
    <w:rsid w:val="00D40AB4"/>
    <w:rsid w:val="00D4150D"/>
    <w:rsid w:val="00D41BA4"/>
    <w:rsid w:val="00D43117"/>
    <w:rsid w:val="00D43160"/>
    <w:rsid w:val="00D43A46"/>
    <w:rsid w:val="00D45473"/>
    <w:rsid w:val="00D46050"/>
    <w:rsid w:val="00D46617"/>
    <w:rsid w:val="00D4697D"/>
    <w:rsid w:val="00D47662"/>
    <w:rsid w:val="00D47C8F"/>
    <w:rsid w:val="00D5008A"/>
    <w:rsid w:val="00D50530"/>
    <w:rsid w:val="00D5188C"/>
    <w:rsid w:val="00D5291F"/>
    <w:rsid w:val="00D52F05"/>
    <w:rsid w:val="00D53DA0"/>
    <w:rsid w:val="00D54FC4"/>
    <w:rsid w:val="00D5534E"/>
    <w:rsid w:val="00D55B59"/>
    <w:rsid w:val="00D5616D"/>
    <w:rsid w:val="00D56617"/>
    <w:rsid w:val="00D60605"/>
    <w:rsid w:val="00D612BC"/>
    <w:rsid w:val="00D61BD6"/>
    <w:rsid w:val="00D65D01"/>
    <w:rsid w:val="00D65FAE"/>
    <w:rsid w:val="00D6671C"/>
    <w:rsid w:val="00D66A7C"/>
    <w:rsid w:val="00D66A89"/>
    <w:rsid w:val="00D67541"/>
    <w:rsid w:val="00D6774D"/>
    <w:rsid w:val="00D7052E"/>
    <w:rsid w:val="00D711EE"/>
    <w:rsid w:val="00D7158C"/>
    <w:rsid w:val="00D71961"/>
    <w:rsid w:val="00D72E1C"/>
    <w:rsid w:val="00D7417D"/>
    <w:rsid w:val="00D74B6A"/>
    <w:rsid w:val="00D74FF6"/>
    <w:rsid w:val="00D76213"/>
    <w:rsid w:val="00D76914"/>
    <w:rsid w:val="00D769B9"/>
    <w:rsid w:val="00D76A57"/>
    <w:rsid w:val="00D77CAE"/>
    <w:rsid w:val="00D77EE6"/>
    <w:rsid w:val="00D81742"/>
    <w:rsid w:val="00D82056"/>
    <w:rsid w:val="00D82783"/>
    <w:rsid w:val="00D82839"/>
    <w:rsid w:val="00D83DB2"/>
    <w:rsid w:val="00D84C1F"/>
    <w:rsid w:val="00D86321"/>
    <w:rsid w:val="00D86DC7"/>
    <w:rsid w:val="00D91297"/>
    <w:rsid w:val="00D9335F"/>
    <w:rsid w:val="00D940FE"/>
    <w:rsid w:val="00D953D5"/>
    <w:rsid w:val="00D95554"/>
    <w:rsid w:val="00D95F7A"/>
    <w:rsid w:val="00D95FB8"/>
    <w:rsid w:val="00D975EC"/>
    <w:rsid w:val="00DA1658"/>
    <w:rsid w:val="00DA19C7"/>
    <w:rsid w:val="00DA201B"/>
    <w:rsid w:val="00DA2D01"/>
    <w:rsid w:val="00DA335D"/>
    <w:rsid w:val="00DA35DC"/>
    <w:rsid w:val="00DA437A"/>
    <w:rsid w:val="00DA5689"/>
    <w:rsid w:val="00DA65F4"/>
    <w:rsid w:val="00DA66B5"/>
    <w:rsid w:val="00DA6F5B"/>
    <w:rsid w:val="00DA711B"/>
    <w:rsid w:val="00DA7BD3"/>
    <w:rsid w:val="00DB03BE"/>
    <w:rsid w:val="00DB0CEC"/>
    <w:rsid w:val="00DB1289"/>
    <w:rsid w:val="00DB1343"/>
    <w:rsid w:val="00DB192A"/>
    <w:rsid w:val="00DB3893"/>
    <w:rsid w:val="00DB4754"/>
    <w:rsid w:val="00DB536C"/>
    <w:rsid w:val="00DB6278"/>
    <w:rsid w:val="00DB6CEF"/>
    <w:rsid w:val="00DB793A"/>
    <w:rsid w:val="00DC0175"/>
    <w:rsid w:val="00DC09B4"/>
    <w:rsid w:val="00DC0C84"/>
    <w:rsid w:val="00DC0E4E"/>
    <w:rsid w:val="00DC0EAE"/>
    <w:rsid w:val="00DC1FE8"/>
    <w:rsid w:val="00DC2BCA"/>
    <w:rsid w:val="00DC34B7"/>
    <w:rsid w:val="00DC38D7"/>
    <w:rsid w:val="00DC5C39"/>
    <w:rsid w:val="00DC5DDE"/>
    <w:rsid w:val="00DC7133"/>
    <w:rsid w:val="00DC7527"/>
    <w:rsid w:val="00DC7B96"/>
    <w:rsid w:val="00DD041D"/>
    <w:rsid w:val="00DD07DF"/>
    <w:rsid w:val="00DD0A0B"/>
    <w:rsid w:val="00DD2450"/>
    <w:rsid w:val="00DD2BFD"/>
    <w:rsid w:val="00DD47ED"/>
    <w:rsid w:val="00DD5AFD"/>
    <w:rsid w:val="00DD78CB"/>
    <w:rsid w:val="00DD7F99"/>
    <w:rsid w:val="00DE029B"/>
    <w:rsid w:val="00DE0BB0"/>
    <w:rsid w:val="00DE19F7"/>
    <w:rsid w:val="00DE1C0A"/>
    <w:rsid w:val="00DE1FCD"/>
    <w:rsid w:val="00DE2D26"/>
    <w:rsid w:val="00DE3AF1"/>
    <w:rsid w:val="00DE3D2F"/>
    <w:rsid w:val="00DE425E"/>
    <w:rsid w:val="00DE4F28"/>
    <w:rsid w:val="00DE5690"/>
    <w:rsid w:val="00DE7892"/>
    <w:rsid w:val="00DF068C"/>
    <w:rsid w:val="00DF07E9"/>
    <w:rsid w:val="00DF0DAE"/>
    <w:rsid w:val="00DF10EB"/>
    <w:rsid w:val="00DF11BE"/>
    <w:rsid w:val="00DF1FBE"/>
    <w:rsid w:val="00DF32F4"/>
    <w:rsid w:val="00DF3338"/>
    <w:rsid w:val="00DF5D4E"/>
    <w:rsid w:val="00DF6599"/>
    <w:rsid w:val="00E0008D"/>
    <w:rsid w:val="00E003AF"/>
    <w:rsid w:val="00E020B2"/>
    <w:rsid w:val="00E02AC9"/>
    <w:rsid w:val="00E02FD4"/>
    <w:rsid w:val="00E036A1"/>
    <w:rsid w:val="00E055D4"/>
    <w:rsid w:val="00E05800"/>
    <w:rsid w:val="00E058A7"/>
    <w:rsid w:val="00E068D4"/>
    <w:rsid w:val="00E07C0C"/>
    <w:rsid w:val="00E11670"/>
    <w:rsid w:val="00E11826"/>
    <w:rsid w:val="00E119E5"/>
    <w:rsid w:val="00E11CAC"/>
    <w:rsid w:val="00E1284F"/>
    <w:rsid w:val="00E12F8F"/>
    <w:rsid w:val="00E140A7"/>
    <w:rsid w:val="00E1474D"/>
    <w:rsid w:val="00E14B4F"/>
    <w:rsid w:val="00E16669"/>
    <w:rsid w:val="00E17FB4"/>
    <w:rsid w:val="00E20209"/>
    <w:rsid w:val="00E20790"/>
    <w:rsid w:val="00E20A2D"/>
    <w:rsid w:val="00E20E1C"/>
    <w:rsid w:val="00E22681"/>
    <w:rsid w:val="00E23C61"/>
    <w:rsid w:val="00E23E0D"/>
    <w:rsid w:val="00E24773"/>
    <w:rsid w:val="00E249DB"/>
    <w:rsid w:val="00E24BE7"/>
    <w:rsid w:val="00E25133"/>
    <w:rsid w:val="00E252A3"/>
    <w:rsid w:val="00E25E31"/>
    <w:rsid w:val="00E25FBC"/>
    <w:rsid w:val="00E264F4"/>
    <w:rsid w:val="00E2702C"/>
    <w:rsid w:val="00E27B25"/>
    <w:rsid w:val="00E306F7"/>
    <w:rsid w:val="00E3117F"/>
    <w:rsid w:val="00E315EB"/>
    <w:rsid w:val="00E32DAA"/>
    <w:rsid w:val="00E34126"/>
    <w:rsid w:val="00E34BBA"/>
    <w:rsid w:val="00E359D3"/>
    <w:rsid w:val="00E35BDE"/>
    <w:rsid w:val="00E35C48"/>
    <w:rsid w:val="00E364A3"/>
    <w:rsid w:val="00E36EBB"/>
    <w:rsid w:val="00E379FA"/>
    <w:rsid w:val="00E37DC8"/>
    <w:rsid w:val="00E407CC"/>
    <w:rsid w:val="00E40AE8"/>
    <w:rsid w:val="00E410DB"/>
    <w:rsid w:val="00E42B38"/>
    <w:rsid w:val="00E42E2A"/>
    <w:rsid w:val="00E430DE"/>
    <w:rsid w:val="00E43C88"/>
    <w:rsid w:val="00E44248"/>
    <w:rsid w:val="00E447B7"/>
    <w:rsid w:val="00E449CB"/>
    <w:rsid w:val="00E44A45"/>
    <w:rsid w:val="00E45C76"/>
    <w:rsid w:val="00E45E2A"/>
    <w:rsid w:val="00E45E54"/>
    <w:rsid w:val="00E460B8"/>
    <w:rsid w:val="00E46FF9"/>
    <w:rsid w:val="00E476D1"/>
    <w:rsid w:val="00E5141C"/>
    <w:rsid w:val="00E51DC9"/>
    <w:rsid w:val="00E531F8"/>
    <w:rsid w:val="00E53658"/>
    <w:rsid w:val="00E536AD"/>
    <w:rsid w:val="00E54797"/>
    <w:rsid w:val="00E548E6"/>
    <w:rsid w:val="00E5500B"/>
    <w:rsid w:val="00E554DD"/>
    <w:rsid w:val="00E55DF7"/>
    <w:rsid w:val="00E56181"/>
    <w:rsid w:val="00E562FC"/>
    <w:rsid w:val="00E565B3"/>
    <w:rsid w:val="00E610A7"/>
    <w:rsid w:val="00E62C50"/>
    <w:rsid w:val="00E63A22"/>
    <w:rsid w:val="00E64381"/>
    <w:rsid w:val="00E648E7"/>
    <w:rsid w:val="00E653FC"/>
    <w:rsid w:val="00E65596"/>
    <w:rsid w:val="00E66178"/>
    <w:rsid w:val="00E667F2"/>
    <w:rsid w:val="00E704FC"/>
    <w:rsid w:val="00E705E3"/>
    <w:rsid w:val="00E71943"/>
    <w:rsid w:val="00E71A03"/>
    <w:rsid w:val="00E72605"/>
    <w:rsid w:val="00E72F3B"/>
    <w:rsid w:val="00E73153"/>
    <w:rsid w:val="00E7348F"/>
    <w:rsid w:val="00E73CFF"/>
    <w:rsid w:val="00E7469F"/>
    <w:rsid w:val="00E74FAF"/>
    <w:rsid w:val="00E74FB2"/>
    <w:rsid w:val="00E75137"/>
    <w:rsid w:val="00E755C9"/>
    <w:rsid w:val="00E75B1E"/>
    <w:rsid w:val="00E76A71"/>
    <w:rsid w:val="00E7761D"/>
    <w:rsid w:val="00E77943"/>
    <w:rsid w:val="00E77A6D"/>
    <w:rsid w:val="00E77C4D"/>
    <w:rsid w:val="00E804C0"/>
    <w:rsid w:val="00E80877"/>
    <w:rsid w:val="00E81962"/>
    <w:rsid w:val="00E81967"/>
    <w:rsid w:val="00E82B4A"/>
    <w:rsid w:val="00E83EE0"/>
    <w:rsid w:val="00E84C20"/>
    <w:rsid w:val="00E85485"/>
    <w:rsid w:val="00E8552A"/>
    <w:rsid w:val="00E8769A"/>
    <w:rsid w:val="00E91430"/>
    <w:rsid w:val="00E91732"/>
    <w:rsid w:val="00E921B5"/>
    <w:rsid w:val="00E9301A"/>
    <w:rsid w:val="00E938AE"/>
    <w:rsid w:val="00E940D9"/>
    <w:rsid w:val="00E94A2D"/>
    <w:rsid w:val="00E95E41"/>
    <w:rsid w:val="00E96016"/>
    <w:rsid w:val="00E962EA"/>
    <w:rsid w:val="00E9760B"/>
    <w:rsid w:val="00E97CF6"/>
    <w:rsid w:val="00EA1261"/>
    <w:rsid w:val="00EA16ED"/>
    <w:rsid w:val="00EA2795"/>
    <w:rsid w:val="00EA2E18"/>
    <w:rsid w:val="00EA30E4"/>
    <w:rsid w:val="00EA34BB"/>
    <w:rsid w:val="00EA36B5"/>
    <w:rsid w:val="00EA3814"/>
    <w:rsid w:val="00EA3918"/>
    <w:rsid w:val="00EA3AF2"/>
    <w:rsid w:val="00EA3BCA"/>
    <w:rsid w:val="00EA466F"/>
    <w:rsid w:val="00EA4F45"/>
    <w:rsid w:val="00EA551B"/>
    <w:rsid w:val="00EA55EB"/>
    <w:rsid w:val="00EA58FA"/>
    <w:rsid w:val="00EA6FD3"/>
    <w:rsid w:val="00EA78CD"/>
    <w:rsid w:val="00EB04A6"/>
    <w:rsid w:val="00EB08B3"/>
    <w:rsid w:val="00EB0E74"/>
    <w:rsid w:val="00EB15DF"/>
    <w:rsid w:val="00EB23DD"/>
    <w:rsid w:val="00EB26D2"/>
    <w:rsid w:val="00EB3F29"/>
    <w:rsid w:val="00EB4071"/>
    <w:rsid w:val="00EB5831"/>
    <w:rsid w:val="00EB6518"/>
    <w:rsid w:val="00EB6588"/>
    <w:rsid w:val="00EB7629"/>
    <w:rsid w:val="00EC0919"/>
    <w:rsid w:val="00EC09B7"/>
    <w:rsid w:val="00EC16EB"/>
    <w:rsid w:val="00EC22D2"/>
    <w:rsid w:val="00EC3685"/>
    <w:rsid w:val="00EC3F72"/>
    <w:rsid w:val="00EC5412"/>
    <w:rsid w:val="00EC6BE2"/>
    <w:rsid w:val="00EC6F47"/>
    <w:rsid w:val="00EC78B0"/>
    <w:rsid w:val="00EC7D1F"/>
    <w:rsid w:val="00ED02EC"/>
    <w:rsid w:val="00ED06D6"/>
    <w:rsid w:val="00ED0EBB"/>
    <w:rsid w:val="00ED1AC3"/>
    <w:rsid w:val="00ED1EE8"/>
    <w:rsid w:val="00ED2BAE"/>
    <w:rsid w:val="00ED4013"/>
    <w:rsid w:val="00ED422A"/>
    <w:rsid w:val="00ED524D"/>
    <w:rsid w:val="00ED5C50"/>
    <w:rsid w:val="00ED6CD0"/>
    <w:rsid w:val="00ED76F3"/>
    <w:rsid w:val="00ED78A9"/>
    <w:rsid w:val="00EE08FE"/>
    <w:rsid w:val="00EE1318"/>
    <w:rsid w:val="00EE17DE"/>
    <w:rsid w:val="00EE1B54"/>
    <w:rsid w:val="00EE1C17"/>
    <w:rsid w:val="00EE1CA6"/>
    <w:rsid w:val="00EE20CC"/>
    <w:rsid w:val="00EE25D3"/>
    <w:rsid w:val="00EE2D19"/>
    <w:rsid w:val="00EE3F0C"/>
    <w:rsid w:val="00EE480F"/>
    <w:rsid w:val="00EE6942"/>
    <w:rsid w:val="00EE7B95"/>
    <w:rsid w:val="00EF02A4"/>
    <w:rsid w:val="00EF1030"/>
    <w:rsid w:val="00EF1F22"/>
    <w:rsid w:val="00EF210B"/>
    <w:rsid w:val="00EF21A1"/>
    <w:rsid w:val="00EF22CA"/>
    <w:rsid w:val="00EF25D4"/>
    <w:rsid w:val="00EF26CF"/>
    <w:rsid w:val="00EF2A81"/>
    <w:rsid w:val="00EF32DC"/>
    <w:rsid w:val="00EF3355"/>
    <w:rsid w:val="00EF3CE7"/>
    <w:rsid w:val="00EF44E7"/>
    <w:rsid w:val="00EF49EA"/>
    <w:rsid w:val="00EF59AC"/>
    <w:rsid w:val="00EF5ABD"/>
    <w:rsid w:val="00EF5F31"/>
    <w:rsid w:val="00EF6C45"/>
    <w:rsid w:val="00EF7A27"/>
    <w:rsid w:val="00F0230E"/>
    <w:rsid w:val="00F02528"/>
    <w:rsid w:val="00F0317B"/>
    <w:rsid w:val="00F0353B"/>
    <w:rsid w:val="00F04382"/>
    <w:rsid w:val="00F043AC"/>
    <w:rsid w:val="00F05471"/>
    <w:rsid w:val="00F057A5"/>
    <w:rsid w:val="00F05A30"/>
    <w:rsid w:val="00F05A52"/>
    <w:rsid w:val="00F06180"/>
    <w:rsid w:val="00F06714"/>
    <w:rsid w:val="00F0689C"/>
    <w:rsid w:val="00F071B7"/>
    <w:rsid w:val="00F075DC"/>
    <w:rsid w:val="00F07C02"/>
    <w:rsid w:val="00F102F5"/>
    <w:rsid w:val="00F10A2D"/>
    <w:rsid w:val="00F11D70"/>
    <w:rsid w:val="00F13B40"/>
    <w:rsid w:val="00F158F7"/>
    <w:rsid w:val="00F16FAF"/>
    <w:rsid w:val="00F17978"/>
    <w:rsid w:val="00F2026C"/>
    <w:rsid w:val="00F20331"/>
    <w:rsid w:val="00F20A36"/>
    <w:rsid w:val="00F2127D"/>
    <w:rsid w:val="00F21943"/>
    <w:rsid w:val="00F21A1B"/>
    <w:rsid w:val="00F22F8C"/>
    <w:rsid w:val="00F2349C"/>
    <w:rsid w:val="00F23965"/>
    <w:rsid w:val="00F2647B"/>
    <w:rsid w:val="00F2766C"/>
    <w:rsid w:val="00F32162"/>
    <w:rsid w:val="00F333AD"/>
    <w:rsid w:val="00F34CA1"/>
    <w:rsid w:val="00F350AE"/>
    <w:rsid w:val="00F3666D"/>
    <w:rsid w:val="00F36F51"/>
    <w:rsid w:val="00F37C80"/>
    <w:rsid w:val="00F37DF6"/>
    <w:rsid w:val="00F4000A"/>
    <w:rsid w:val="00F40721"/>
    <w:rsid w:val="00F41AB7"/>
    <w:rsid w:val="00F4222D"/>
    <w:rsid w:val="00F42833"/>
    <w:rsid w:val="00F43F1B"/>
    <w:rsid w:val="00F444C0"/>
    <w:rsid w:val="00F44E84"/>
    <w:rsid w:val="00F46313"/>
    <w:rsid w:val="00F471DB"/>
    <w:rsid w:val="00F47310"/>
    <w:rsid w:val="00F47564"/>
    <w:rsid w:val="00F50F0D"/>
    <w:rsid w:val="00F51BB8"/>
    <w:rsid w:val="00F51D0D"/>
    <w:rsid w:val="00F521AD"/>
    <w:rsid w:val="00F52552"/>
    <w:rsid w:val="00F52935"/>
    <w:rsid w:val="00F53795"/>
    <w:rsid w:val="00F53824"/>
    <w:rsid w:val="00F539EB"/>
    <w:rsid w:val="00F5438D"/>
    <w:rsid w:val="00F5498A"/>
    <w:rsid w:val="00F57DA9"/>
    <w:rsid w:val="00F60AB0"/>
    <w:rsid w:val="00F61656"/>
    <w:rsid w:val="00F6210B"/>
    <w:rsid w:val="00F6263A"/>
    <w:rsid w:val="00F639C6"/>
    <w:rsid w:val="00F63B8F"/>
    <w:rsid w:val="00F641D4"/>
    <w:rsid w:val="00F66052"/>
    <w:rsid w:val="00F6689C"/>
    <w:rsid w:val="00F66EC7"/>
    <w:rsid w:val="00F70AC8"/>
    <w:rsid w:val="00F73C62"/>
    <w:rsid w:val="00F73CA4"/>
    <w:rsid w:val="00F74312"/>
    <w:rsid w:val="00F7526C"/>
    <w:rsid w:val="00F752DF"/>
    <w:rsid w:val="00F76D3A"/>
    <w:rsid w:val="00F77128"/>
    <w:rsid w:val="00F77423"/>
    <w:rsid w:val="00F77E21"/>
    <w:rsid w:val="00F80233"/>
    <w:rsid w:val="00F80B8E"/>
    <w:rsid w:val="00F81151"/>
    <w:rsid w:val="00F81F8D"/>
    <w:rsid w:val="00F8358C"/>
    <w:rsid w:val="00F83DAA"/>
    <w:rsid w:val="00F83DDE"/>
    <w:rsid w:val="00F84C88"/>
    <w:rsid w:val="00F85AF9"/>
    <w:rsid w:val="00F85DAA"/>
    <w:rsid w:val="00F9012C"/>
    <w:rsid w:val="00F92556"/>
    <w:rsid w:val="00F92886"/>
    <w:rsid w:val="00F9378C"/>
    <w:rsid w:val="00F94437"/>
    <w:rsid w:val="00F95A5E"/>
    <w:rsid w:val="00F969E3"/>
    <w:rsid w:val="00F96EFF"/>
    <w:rsid w:val="00F9774E"/>
    <w:rsid w:val="00FA0F60"/>
    <w:rsid w:val="00FA1775"/>
    <w:rsid w:val="00FA1AEB"/>
    <w:rsid w:val="00FA1E9C"/>
    <w:rsid w:val="00FA25E9"/>
    <w:rsid w:val="00FA3668"/>
    <w:rsid w:val="00FA418D"/>
    <w:rsid w:val="00FA4826"/>
    <w:rsid w:val="00FA498D"/>
    <w:rsid w:val="00FA5403"/>
    <w:rsid w:val="00FA6E2A"/>
    <w:rsid w:val="00FA7077"/>
    <w:rsid w:val="00FB14A5"/>
    <w:rsid w:val="00FB18D3"/>
    <w:rsid w:val="00FB1982"/>
    <w:rsid w:val="00FB1BBD"/>
    <w:rsid w:val="00FB32B7"/>
    <w:rsid w:val="00FB3A40"/>
    <w:rsid w:val="00FB3B46"/>
    <w:rsid w:val="00FB5A49"/>
    <w:rsid w:val="00FB610B"/>
    <w:rsid w:val="00FB63E6"/>
    <w:rsid w:val="00FB6475"/>
    <w:rsid w:val="00FB6C3A"/>
    <w:rsid w:val="00FB72FF"/>
    <w:rsid w:val="00FB742A"/>
    <w:rsid w:val="00FC0617"/>
    <w:rsid w:val="00FC0EDA"/>
    <w:rsid w:val="00FC11A1"/>
    <w:rsid w:val="00FC1C48"/>
    <w:rsid w:val="00FC3317"/>
    <w:rsid w:val="00FC3E8B"/>
    <w:rsid w:val="00FC495E"/>
    <w:rsid w:val="00FC5AAF"/>
    <w:rsid w:val="00FC7636"/>
    <w:rsid w:val="00FC7CF9"/>
    <w:rsid w:val="00FC7DBA"/>
    <w:rsid w:val="00FD0412"/>
    <w:rsid w:val="00FD15C2"/>
    <w:rsid w:val="00FD1647"/>
    <w:rsid w:val="00FD1D12"/>
    <w:rsid w:val="00FD1E1F"/>
    <w:rsid w:val="00FD21F9"/>
    <w:rsid w:val="00FD46C6"/>
    <w:rsid w:val="00FD4A08"/>
    <w:rsid w:val="00FD5A3F"/>
    <w:rsid w:val="00FD5E10"/>
    <w:rsid w:val="00FD70AA"/>
    <w:rsid w:val="00FD7460"/>
    <w:rsid w:val="00FD75C8"/>
    <w:rsid w:val="00FD7EC8"/>
    <w:rsid w:val="00FD7F1F"/>
    <w:rsid w:val="00FE013E"/>
    <w:rsid w:val="00FE04D1"/>
    <w:rsid w:val="00FE0DC3"/>
    <w:rsid w:val="00FE1A63"/>
    <w:rsid w:val="00FE1AB8"/>
    <w:rsid w:val="00FE241D"/>
    <w:rsid w:val="00FE2501"/>
    <w:rsid w:val="00FE2FD9"/>
    <w:rsid w:val="00FE3ABE"/>
    <w:rsid w:val="00FE41A4"/>
    <w:rsid w:val="00FE4CD9"/>
    <w:rsid w:val="00FE55C8"/>
    <w:rsid w:val="00FE5698"/>
    <w:rsid w:val="00FE6086"/>
    <w:rsid w:val="00FE66DC"/>
    <w:rsid w:val="00FF0B97"/>
    <w:rsid w:val="00FF0BD2"/>
    <w:rsid w:val="00FF21EE"/>
    <w:rsid w:val="00FF325C"/>
    <w:rsid w:val="00FF3CAA"/>
    <w:rsid w:val="00FF42B5"/>
    <w:rsid w:val="00FF4CB2"/>
    <w:rsid w:val="00FF5DA3"/>
    <w:rsid w:val="00FF697A"/>
    <w:rsid w:val="00FF764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FDFCE0"/>
  <w15:chartTrackingRefBased/>
  <w15:docId w15:val="{06CE96BB-E470-42DD-91AF-A0EF22FBF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Narrow" w:eastAsiaTheme="minorHAnsi" w:hAnsi="Arial Narrow"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D076CB"/>
    <w:pPr>
      <w:spacing w:after="120" w:line="276" w:lineRule="auto"/>
      <w:jc w:val="both"/>
    </w:pPr>
    <w:rPr>
      <w:rFonts w:ascii="Segoe UI" w:hAnsi="Segoe UI"/>
      <w:sz w:val="20"/>
    </w:rPr>
  </w:style>
  <w:style w:type="paragraph" w:styleId="Nadpis1">
    <w:name w:val="heading 1"/>
    <w:basedOn w:val="Normlny"/>
    <w:next w:val="Normlny"/>
    <w:link w:val="Nadpis1Char"/>
    <w:uiPriority w:val="9"/>
    <w:qFormat/>
    <w:rsid w:val="000E5B51"/>
    <w:pPr>
      <w:keepNext/>
      <w:keepLines/>
      <w:numPr>
        <w:numId w:val="2"/>
      </w:numPr>
      <w:spacing w:before="120"/>
      <w:ind w:left="357" w:hanging="357"/>
      <w:outlineLvl w:val="0"/>
    </w:pPr>
    <w:rPr>
      <w:rFonts w:eastAsiaTheme="majorEastAsia" w:cstheme="majorBidi"/>
      <w:b/>
      <w:color w:val="314364"/>
      <w:position w:val="10"/>
      <w:sz w:val="32"/>
      <w:szCs w:val="32"/>
    </w:rPr>
  </w:style>
  <w:style w:type="paragraph" w:styleId="Nadpis2">
    <w:name w:val="heading 2"/>
    <w:basedOn w:val="Normlny"/>
    <w:next w:val="Normlny"/>
    <w:link w:val="Nadpis2Char"/>
    <w:uiPriority w:val="9"/>
    <w:unhideWhenUsed/>
    <w:qFormat/>
    <w:rsid w:val="000D631B"/>
    <w:pPr>
      <w:keepNext/>
      <w:keepLines/>
      <w:numPr>
        <w:ilvl w:val="1"/>
        <w:numId w:val="2"/>
      </w:numPr>
      <w:spacing w:before="120"/>
      <w:ind w:left="998" w:hanging="431"/>
      <w:outlineLvl w:val="1"/>
    </w:pPr>
    <w:rPr>
      <w:rFonts w:eastAsiaTheme="majorEastAsia" w:cstheme="majorBidi"/>
      <w:color w:val="314364"/>
      <w:sz w:val="28"/>
      <w:szCs w:val="26"/>
    </w:rPr>
  </w:style>
  <w:style w:type="paragraph" w:styleId="Nadpis3">
    <w:name w:val="heading 3"/>
    <w:basedOn w:val="Normlny"/>
    <w:next w:val="Normlny"/>
    <w:link w:val="Nadpis3Char"/>
    <w:uiPriority w:val="9"/>
    <w:unhideWhenUsed/>
    <w:qFormat/>
    <w:rsid w:val="00A9155E"/>
    <w:pPr>
      <w:keepNext/>
      <w:keepLines/>
      <w:numPr>
        <w:ilvl w:val="2"/>
        <w:numId w:val="2"/>
      </w:numPr>
      <w:spacing w:before="40"/>
      <w:ind w:left="1225" w:hanging="505"/>
      <w:outlineLvl w:val="2"/>
    </w:pPr>
    <w:rPr>
      <w:rFonts w:eastAsiaTheme="majorEastAsia" w:cstheme="majorBidi"/>
      <w:color w:val="314364"/>
      <w:sz w:val="24"/>
      <w:szCs w:val="24"/>
    </w:rPr>
  </w:style>
  <w:style w:type="paragraph" w:styleId="Nadpis4">
    <w:name w:val="heading 4"/>
    <w:basedOn w:val="Normlny"/>
    <w:next w:val="Normlny"/>
    <w:link w:val="Nadpis4Char"/>
    <w:uiPriority w:val="9"/>
    <w:unhideWhenUsed/>
    <w:qFormat/>
    <w:rsid w:val="002A599C"/>
    <w:pPr>
      <w:keepNext/>
      <w:keepLines/>
      <w:spacing w:before="40" w:after="0"/>
      <w:outlineLvl w:val="3"/>
    </w:pPr>
    <w:rPr>
      <w:rFonts w:asciiTheme="majorHAnsi" w:eastAsiaTheme="majorEastAsia" w:hAnsiTheme="majorHAnsi" w:cstheme="majorBidi"/>
      <w:i/>
      <w:iCs/>
      <w:color w:val="24324A" w:themeColor="accent1" w:themeShade="BF"/>
    </w:rPr>
  </w:style>
  <w:style w:type="paragraph" w:styleId="Nadpis5">
    <w:name w:val="heading 5"/>
    <w:basedOn w:val="Normlny"/>
    <w:next w:val="Normlny"/>
    <w:link w:val="Nadpis5Char"/>
    <w:uiPriority w:val="9"/>
    <w:unhideWhenUsed/>
    <w:qFormat/>
    <w:rsid w:val="00AC6430"/>
    <w:pPr>
      <w:keepNext/>
      <w:keepLines/>
      <w:spacing w:before="40" w:after="0"/>
      <w:outlineLvl w:val="4"/>
    </w:pPr>
    <w:rPr>
      <w:rFonts w:asciiTheme="majorHAnsi" w:eastAsiaTheme="majorEastAsia" w:hAnsiTheme="majorHAnsi" w:cstheme="majorBidi"/>
      <w:color w:val="24324A" w:themeColor="accent1" w:themeShade="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0E5B51"/>
    <w:rPr>
      <w:rFonts w:ascii="Segoe UI" w:eastAsiaTheme="majorEastAsia" w:hAnsi="Segoe UI" w:cstheme="majorBidi"/>
      <w:b/>
      <w:color w:val="314364"/>
      <w:position w:val="10"/>
      <w:sz w:val="32"/>
      <w:szCs w:val="32"/>
    </w:rPr>
  </w:style>
  <w:style w:type="character" w:customStyle="1" w:styleId="Nadpis2Char">
    <w:name w:val="Nadpis 2 Char"/>
    <w:basedOn w:val="Predvolenpsmoodseku"/>
    <w:link w:val="Nadpis2"/>
    <w:uiPriority w:val="9"/>
    <w:rsid w:val="000D631B"/>
    <w:rPr>
      <w:rFonts w:ascii="Segoe UI" w:eastAsiaTheme="majorEastAsia" w:hAnsi="Segoe UI" w:cstheme="majorBidi"/>
      <w:color w:val="314364"/>
      <w:sz w:val="28"/>
      <w:szCs w:val="26"/>
    </w:rPr>
  </w:style>
  <w:style w:type="paragraph" w:styleId="Hlavika">
    <w:name w:val="header"/>
    <w:basedOn w:val="Normlny"/>
    <w:link w:val="HlavikaChar"/>
    <w:uiPriority w:val="99"/>
    <w:unhideWhenUsed/>
    <w:rsid w:val="004F10D0"/>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4F10D0"/>
  </w:style>
  <w:style w:type="paragraph" w:styleId="Pta">
    <w:name w:val="footer"/>
    <w:basedOn w:val="Normlny"/>
    <w:link w:val="PtaChar"/>
    <w:uiPriority w:val="99"/>
    <w:unhideWhenUsed/>
    <w:rsid w:val="004F10D0"/>
    <w:pPr>
      <w:tabs>
        <w:tab w:val="center" w:pos="4536"/>
        <w:tab w:val="right" w:pos="9072"/>
      </w:tabs>
      <w:spacing w:after="0" w:line="240" w:lineRule="auto"/>
    </w:pPr>
  </w:style>
  <w:style w:type="character" w:customStyle="1" w:styleId="PtaChar">
    <w:name w:val="Päta Char"/>
    <w:basedOn w:val="Predvolenpsmoodseku"/>
    <w:link w:val="Pta"/>
    <w:uiPriority w:val="99"/>
    <w:rsid w:val="004F10D0"/>
  </w:style>
  <w:style w:type="character" w:styleId="Zstupntext">
    <w:name w:val="Placeholder Text"/>
    <w:basedOn w:val="Predvolenpsmoodseku"/>
    <w:uiPriority w:val="99"/>
    <w:semiHidden/>
    <w:rsid w:val="00F539EB"/>
    <w:rPr>
      <w:color w:val="808080"/>
    </w:rPr>
  </w:style>
  <w:style w:type="paragraph" w:styleId="Nzov">
    <w:name w:val="Title"/>
    <w:basedOn w:val="Normlny"/>
    <w:next w:val="Normlny"/>
    <w:link w:val="NzovChar"/>
    <w:uiPriority w:val="10"/>
    <w:qFormat/>
    <w:rsid w:val="00FF5DA3"/>
    <w:pPr>
      <w:spacing w:before="240" w:after="240" w:line="240" w:lineRule="auto"/>
      <w:contextualSpacing/>
      <w:jc w:val="center"/>
    </w:pPr>
    <w:rPr>
      <w:rFonts w:eastAsiaTheme="majorEastAsia" w:cstheme="majorBidi"/>
      <w:b/>
      <w:smallCaps/>
      <w:color w:val="314364"/>
      <w:spacing w:val="-10"/>
      <w:kern w:val="28"/>
      <w:sz w:val="44"/>
      <w:szCs w:val="56"/>
    </w:rPr>
  </w:style>
  <w:style w:type="character" w:customStyle="1" w:styleId="NzovChar">
    <w:name w:val="Názov Char"/>
    <w:basedOn w:val="Predvolenpsmoodseku"/>
    <w:link w:val="Nzov"/>
    <w:uiPriority w:val="10"/>
    <w:rsid w:val="00FF5DA3"/>
    <w:rPr>
      <w:rFonts w:ascii="Segoe UI" w:eastAsiaTheme="majorEastAsia" w:hAnsi="Segoe UI" w:cstheme="majorBidi"/>
      <w:b/>
      <w:smallCaps/>
      <w:color w:val="314364"/>
      <w:spacing w:val="-10"/>
      <w:kern w:val="28"/>
      <w:sz w:val="44"/>
      <w:szCs w:val="56"/>
    </w:rPr>
  </w:style>
  <w:style w:type="paragraph" w:styleId="Podtitul">
    <w:name w:val="Subtitle"/>
    <w:basedOn w:val="Normlny"/>
    <w:next w:val="Normlny"/>
    <w:link w:val="PodtitulChar"/>
    <w:uiPriority w:val="11"/>
    <w:qFormat/>
    <w:rsid w:val="001778A6"/>
    <w:pPr>
      <w:numPr>
        <w:ilvl w:val="1"/>
      </w:numPr>
      <w:spacing w:before="240" w:after="240"/>
      <w:jc w:val="center"/>
    </w:pPr>
    <w:rPr>
      <w:rFonts w:eastAsiaTheme="minorEastAsia"/>
      <w:color w:val="314364"/>
      <w:spacing w:val="15"/>
      <w:sz w:val="28"/>
    </w:rPr>
  </w:style>
  <w:style w:type="character" w:customStyle="1" w:styleId="PodtitulChar">
    <w:name w:val="Podtitul Char"/>
    <w:basedOn w:val="Predvolenpsmoodseku"/>
    <w:link w:val="Podtitul"/>
    <w:uiPriority w:val="11"/>
    <w:rsid w:val="001778A6"/>
    <w:rPr>
      <w:rFonts w:ascii="Segoe UI" w:eastAsiaTheme="minorEastAsia" w:hAnsi="Segoe UI"/>
      <w:color w:val="314364"/>
      <w:spacing w:val="15"/>
      <w:sz w:val="28"/>
    </w:rPr>
  </w:style>
  <w:style w:type="paragraph" w:customStyle="1" w:styleId="Zhrnutie">
    <w:name w:val="Zhrnutie"/>
    <w:basedOn w:val="Normlny"/>
    <w:qFormat/>
    <w:rsid w:val="001778A6"/>
    <w:pPr>
      <w:spacing w:before="120"/>
      <w:jc w:val="left"/>
    </w:pPr>
    <w:rPr>
      <w:b/>
      <w:color w:val="314364"/>
      <w:sz w:val="32"/>
    </w:rPr>
  </w:style>
  <w:style w:type="paragraph" w:styleId="Odsekzoznamu">
    <w:name w:val="List Paragraph"/>
    <w:aliases w:val="body,Odsek zoznamu2,Odsek,Odsek zoznamu1,Dot pt,No Spacing1,List Paragraph Char Char Char,Indicator Text,Numbered Para 1,List Paragraph à moi,Odsek zoznamu4,LISTA,Listaszerű bekezdés2,Listaszerű bekezdés3,Listaszerű bekezdés1,Bullet 1,3"/>
    <w:basedOn w:val="Normlny"/>
    <w:link w:val="OdsekzoznamuChar"/>
    <w:uiPriority w:val="34"/>
    <w:qFormat/>
    <w:rsid w:val="0015153D"/>
    <w:pPr>
      <w:ind w:left="720"/>
      <w:contextualSpacing/>
    </w:pPr>
  </w:style>
  <w:style w:type="paragraph" w:customStyle="1" w:styleId="Poakovanie">
    <w:name w:val="Poďakovanie"/>
    <w:basedOn w:val="Normlny"/>
    <w:qFormat/>
    <w:rsid w:val="00BD3507"/>
    <w:pPr>
      <w:spacing w:before="120"/>
      <w:jc w:val="left"/>
    </w:pPr>
    <w:rPr>
      <w:color w:val="314364"/>
      <w:sz w:val="28"/>
    </w:rPr>
  </w:style>
  <w:style w:type="character" w:styleId="Hypertextovprepojenie">
    <w:name w:val="Hyperlink"/>
    <w:basedOn w:val="Predvolenpsmoodseku"/>
    <w:uiPriority w:val="99"/>
    <w:unhideWhenUsed/>
    <w:rsid w:val="00C824C8"/>
    <w:rPr>
      <w:rFonts w:ascii="Segoe UI" w:hAnsi="Segoe UI"/>
      <w:color w:val="314364" w:themeColor="hyperlink"/>
      <w:sz w:val="20"/>
      <w:u w:val="single"/>
    </w:rPr>
  </w:style>
  <w:style w:type="paragraph" w:styleId="Textpoznmkypodiarou">
    <w:name w:val="footnote text"/>
    <w:aliases w:val="Footnote Text Char2,Footnote Text Char1 Char,Footnote Text Char2 Char Char,Footnote Text Char1 Char Char Char,Footnote Text Char2 Char Char Char Char,Footnote Text Char Char1 Char Char Char Char,Footnote Text Char1,f,Plonk"/>
    <w:basedOn w:val="Normlny"/>
    <w:link w:val="TextpoznmkypodiarouChar"/>
    <w:uiPriority w:val="99"/>
    <w:qFormat/>
    <w:rsid w:val="00110271"/>
    <w:pPr>
      <w:spacing w:after="0" w:line="240" w:lineRule="auto"/>
    </w:pPr>
    <w:rPr>
      <w:sz w:val="16"/>
      <w:szCs w:val="20"/>
    </w:rPr>
  </w:style>
  <w:style w:type="character" w:customStyle="1" w:styleId="TextpoznmkypodiarouChar">
    <w:name w:val="Text poznámky pod čiarou Char"/>
    <w:aliases w:val="Footnote Text Char2 Char,Footnote Text Char1 Char Char,Footnote Text Char2 Char Char Char,Footnote Text Char1 Char Char Char Char,Footnote Text Char2 Char Char Char Char Char,Footnote Text Char1 Char1,f Char,Plonk Char"/>
    <w:basedOn w:val="Predvolenpsmoodseku"/>
    <w:link w:val="Textpoznmkypodiarou"/>
    <w:uiPriority w:val="99"/>
    <w:qFormat/>
    <w:rsid w:val="008148FD"/>
    <w:rPr>
      <w:rFonts w:ascii="Segoe UI" w:hAnsi="Segoe UI"/>
      <w:sz w:val="16"/>
      <w:szCs w:val="20"/>
    </w:rPr>
  </w:style>
  <w:style w:type="character" w:styleId="Odkaznapoznmkupodiarou">
    <w:name w:val="footnote reference"/>
    <w:aliases w:val="16 Point,Superscript 6 Point,Footnote Reference Number,Footnote Reference_LVL6,Footnote Reference_LVL61,Footnote Reference_LVL62,Footnote Reference_LVL63,Footnote Reference_LVL64,Footnote call,BVI fnr,SUPERS,Footnote symbol"/>
    <w:basedOn w:val="Predvolenpsmoodseku"/>
    <w:link w:val="Char2"/>
    <w:uiPriority w:val="99"/>
    <w:unhideWhenUsed/>
    <w:qFormat/>
    <w:rsid w:val="002407D6"/>
    <w:rPr>
      <w:vertAlign w:val="superscript"/>
    </w:rPr>
  </w:style>
  <w:style w:type="paragraph" w:customStyle="1" w:styleId="vodZverZhrnutie">
    <w:name w:val="Úvod/Záver/Zhrnutie"/>
    <w:basedOn w:val="Nadpis1"/>
    <w:next w:val="Textpoznmkypodiarou"/>
    <w:rsid w:val="00277C8B"/>
    <w:pPr>
      <w:numPr>
        <w:numId w:val="0"/>
      </w:numPr>
    </w:pPr>
  </w:style>
  <w:style w:type="paragraph" w:customStyle="1" w:styleId="Zdroj">
    <w:name w:val="Zdroj"/>
    <w:basedOn w:val="Normlny"/>
    <w:qFormat/>
    <w:rsid w:val="00C71065"/>
    <w:pPr>
      <w:spacing w:line="240" w:lineRule="auto"/>
      <w:jc w:val="left"/>
    </w:pPr>
    <w:rPr>
      <w:i/>
      <w:color w:val="314364" w:themeColor="text2"/>
      <w:sz w:val="16"/>
    </w:rPr>
  </w:style>
  <w:style w:type="paragraph" w:styleId="Popis">
    <w:name w:val="caption"/>
    <w:basedOn w:val="Normlny"/>
    <w:next w:val="Normlny"/>
    <w:uiPriority w:val="35"/>
    <w:unhideWhenUsed/>
    <w:qFormat/>
    <w:rsid w:val="002407D6"/>
    <w:pPr>
      <w:spacing w:after="0" w:line="240" w:lineRule="auto"/>
    </w:pPr>
    <w:rPr>
      <w:b/>
      <w:iCs/>
      <w:color w:val="314364" w:themeColor="text2"/>
      <w:szCs w:val="18"/>
    </w:rPr>
  </w:style>
  <w:style w:type="table" w:styleId="Mriekatabuky">
    <w:name w:val="Table Grid"/>
    <w:basedOn w:val="Normlnatabuka"/>
    <w:uiPriority w:val="59"/>
    <w:rsid w:val="00664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riadkovania">
    <w:name w:val="No Spacing"/>
    <w:link w:val="BezriadkovaniaChar"/>
    <w:uiPriority w:val="1"/>
    <w:qFormat/>
    <w:rsid w:val="00664B90"/>
    <w:pPr>
      <w:spacing w:after="0" w:line="240" w:lineRule="auto"/>
    </w:pPr>
    <w:rPr>
      <w:rFonts w:asciiTheme="minorHAnsi" w:eastAsiaTheme="minorEastAsia" w:hAnsiTheme="minorHAnsi"/>
      <w:lang w:eastAsia="sk-SK"/>
    </w:rPr>
  </w:style>
  <w:style w:type="character" w:customStyle="1" w:styleId="BezriadkovaniaChar">
    <w:name w:val="Bez riadkovania Char"/>
    <w:basedOn w:val="Predvolenpsmoodseku"/>
    <w:link w:val="Bezriadkovania"/>
    <w:uiPriority w:val="1"/>
    <w:locked/>
    <w:rsid w:val="00664B90"/>
    <w:rPr>
      <w:rFonts w:asciiTheme="minorHAnsi" w:eastAsiaTheme="minorEastAsia" w:hAnsiTheme="minorHAnsi"/>
      <w:lang w:eastAsia="sk-SK"/>
    </w:rPr>
  </w:style>
  <w:style w:type="paragraph" w:customStyle="1" w:styleId="Pouitliteratra">
    <w:name w:val="Použitá literatúra"/>
    <w:basedOn w:val="Odsekzoznamu"/>
    <w:qFormat/>
    <w:rsid w:val="0070595E"/>
    <w:pPr>
      <w:numPr>
        <w:numId w:val="1"/>
      </w:numPr>
      <w:ind w:left="357" w:hanging="357"/>
    </w:pPr>
  </w:style>
  <w:style w:type="paragraph" w:styleId="Hlavikaobsahu">
    <w:name w:val="TOC Heading"/>
    <w:basedOn w:val="Nadpis1"/>
    <w:next w:val="Normlny"/>
    <w:uiPriority w:val="39"/>
    <w:unhideWhenUsed/>
    <w:qFormat/>
    <w:rsid w:val="00277C8B"/>
    <w:pPr>
      <w:numPr>
        <w:numId w:val="0"/>
      </w:numPr>
      <w:spacing w:before="240" w:after="0" w:line="259" w:lineRule="auto"/>
      <w:jc w:val="left"/>
      <w:outlineLvl w:val="9"/>
    </w:pPr>
    <w:rPr>
      <w:b w:val="0"/>
      <w:position w:val="0"/>
      <w:lang w:eastAsia="sk-SK"/>
    </w:rPr>
  </w:style>
  <w:style w:type="paragraph" w:styleId="Obsah1">
    <w:name w:val="toc 1"/>
    <w:basedOn w:val="Normlny"/>
    <w:next w:val="Normlny"/>
    <w:autoRedefine/>
    <w:uiPriority w:val="39"/>
    <w:unhideWhenUsed/>
    <w:rsid w:val="006C125B"/>
    <w:pPr>
      <w:tabs>
        <w:tab w:val="left" w:pos="400"/>
        <w:tab w:val="right" w:leader="dot" w:pos="9060"/>
      </w:tabs>
      <w:spacing w:before="120"/>
      <w:jc w:val="left"/>
    </w:pPr>
    <w:rPr>
      <w:rFonts w:asciiTheme="minorHAnsi" w:hAnsiTheme="minorHAnsi" w:cstheme="minorHAnsi"/>
      <w:b/>
      <w:bCs/>
      <w:caps/>
      <w:noProof/>
      <w:color w:val="314364" w:themeColor="text2"/>
      <w:szCs w:val="20"/>
    </w:rPr>
  </w:style>
  <w:style w:type="paragraph" w:styleId="Obsah2">
    <w:name w:val="toc 2"/>
    <w:basedOn w:val="Normlny"/>
    <w:next w:val="Normlny"/>
    <w:autoRedefine/>
    <w:uiPriority w:val="39"/>
    <w:unhideWhenUsed/>
    <w:rsid w:val="00004033"/>
    <w:pPr>
      <w:spacing w:after="0"/>
      <w:ind w:left="200"/>
      <w:jc w:val="left"/>
    </w:pPr>
    <w:rPr>
      <w:rFonts w:asciiTheme="minorHAnsi" w:hAnsiTheme="minorHAnsi" w:cstheme="minorHAnsi"/>
      <w:smallCaps/>
      <w:szCs w:val="20"/>
    </w:rPr>
  </w:style>
  <w:style w:type="paragraph" w:styleId="Obsah3">
    <w:name w:val="toc 3"/>
    <w:basedOn w:val="Normlny"/>
    <w:next w:val="Normlny"/>
    <w:autoRedefine/>
    <w:uiPriority w:val="39"/>
    <w:unhideWhenUsed/>
    <w:rsid w:val="00004033"/>
    <w:pPr>
      <w:spacing w:after="0"/>
      <w:ind w:left="400"/>
      <w:jc w:val="left"/>
    </w:pPr>
    <w:rPr>
      <w:rFonts w:asciiTheme="minorHAnsi" w:hAnsiTheme="minorHAnsi" w:cstheme="minorHAnsi"/>
      <w:i/>
      <w:iCs/>
      <w:szCs w:val="20"/>
    </w:rPr>
  </w:style>
  <w:style w:type="character" w:customStyle="1" w:styleId="Nadpis3Char">
    <w:name w:val="Nadpis 3 Char"/>
    <w:basedOn w:val="Predvolenpsmoodseku"/>
    <w:link w:val="Nadpis3"/>
    <w:uiPriority w:val="9"/>
    <w:rsid w:val="00A9155E"/>
    <w:rPr>
      <w:rFonts w:ascii="Segoe UI" w:eastAsiaTheme="majorEastAsia" w:hAnsi="Segoe UI" w:cstheme="majorBidi"/>
      <w:color w:val="314364"/>
      <w:sz w:val="24"/>
      <w:szCs w:val="24"/>
    </w:rPr>
  </w:style>
  <w:style w:type="paragraph" w:styleId="Textbubliny">
    <w:name w:val="Balloon Text"/>
    <w:basedOn w:val="Normlny"/>
    <w:link w:val="TextbublinyChar"/>
    <w:uiPriority w:val="99"/>
    <w:semiHidden/>
    <w:unhideWhenUsed/>
    <w:rsid w:val="00442CE6"/>
    <w:pPr>
      <w:spacing w:after="0" w:line="240" w:lineRule="auto"/>
    </w:pPr>
    <w:rPr>
      <w:rFonts w:cs="Segoe UI"/>
      <w:sz w:val="18"/>
      <w:szCs w:val="18"/>
    </w:rPr>
  </w:style>
  <w:style w:type="character" w:customStyle="1" w:styleId="TextbublinyChar">
    <w:name w:val="Text bubliny Char"/>
    <w:basedOn w:val="Predvolenpsmoodseku"/>
    <w:link w:val="Textbubliny"/>
    <w:uiPriority w:val="99"/>
    <w:semiHidden/>
    <w:rsid w:val="00442CE6"/>
    <w:rPr>
      <w:rFonts w:ascii="Segoe UI" w:hAnsi="Segoe UI" w:cs="Segoe UI"/>
      <w:sz w:val="18"/>
      <w:szCs w:val="18"/>
    </w:rPr>
  </w:style>
  <w:style w:type="character" w:styleId="Odkaznakomentr">
    <w:name w:val="annotation reference"/>
    <w:basedOn w:val="Predvolenpsmoodseku"/>
    <w:uiPriority w:val="99"/>
    <w:semiHidden/>
    <w:unhideWhenUsed/>
    <w:rsid w:val="003733BE"/>
    <w:rPr>
      <w:sz w:val="16"/>
      <w:szCs w:val="16"/>
    </w:rPr>
  </w:style>
  <w:style w:type="paragraph" w:styleId="Textkomentra">
    <w:name w:val="annotation text"/>
    <w:basedOn w:val="Normlny"/>
    <w:link w:val="TextkomentraChar"/>
    <w:uiPriority w:val="99"/>
    <w:unhideWhenUsed/>
    <w:rsid w:val="003733BE"/>
    <w:pPr>
      <w:spacing w:line="240" w:lineRule="auto"/>
    </w:pPr>
    <w:rPr>
      <w:szCs w:val="20"/>
    </w:rPr>
  </w:style>
  <w:style w:type="character" w:customStyle="1" w:styleId="TextkomentraChar">
    <w:name w:val="Text komentára Char"/>
    <w:basedOn w:val="Predvolenpsmoodseku"/>
    <w:link w:val="Textkomentra"/>
    <w:uiPriority w:val="99"/>
    <w:rsid w:val="003733BE"/>
    <w:rPr>
      <w:rFonts w:ascii="Segoe UI" w:hAnsi="Segoe UI"/>
      <w:sz w:val="20"/>
      <w:szCs w:val="20"/>
    </w:rPr>
  </w:style>
  <w:style w:type="paragraph" w:styleId="Predmetkomentra">
    <w:name w:val="annotation subject"/>
    <w:basedOn w:val="Textkomentra"/>
    <w:next w:val="Textkomentra"/>
    <w:link w:val="PredmetkomentraChar"/>
    <w:uiPriority w:val="99"/>
    <w:semiHidden/>
    <w:unhideWhenUsed/>
    <w:rsid w:val="002D4645"/>
    <w:rPr>
      <w:b/>
      <w:bCs/>
    </w:rPr>
  </w:style>
  <w:style w:type="character" w:customStyle="1" w:styleId="PredmetkomentraChar">
    <w:name w:val="Predmet komentára Char"/>
    <w:basedOn w:val="TextkomentraChar"/>
    <w:link w:val="Predmetkomentra"/>
    <w:uiPriority w:val="99"/>
    <w:semiHidden/>
    <w:rsid w:val="002D4645"/>
    <w:rPr>
      <w:rFonts w:ascii="Segoe UI" w:hAnsi="Segoe UI"/>
      <w:b/>
      <w:bCs/>
      <w:sz w:val="20"/>
      <w:szCs w:val="20"/>
    </w:rPr>
  </w:style>
  <w:style w:type="character" w:customStyle="1" w:styleId="In">
    <w:name w:val="Iné_"/>
    <w:basedOn w:val="Predvolenpsmoodseku"/>
    <w:link w:val="In0"/>
    <w:rsid w:val="0070456C"/>
    <w:rPr>
      <w:rFonts w:ascii="Times New Roman" w:eastAsia="Times New Roman" w:hAnsi="Times New Roman" w:cs="Times New Roman"/>
      <w:shd w:val="clear" w:color="auto" w:fill="FFFFFF"/>
    </w:rPr>
  </w:style>
  <w:style w:type="paragraph" w:customStyle="1" w:styleId="In0">
    <w:name w:val="Iné"/>
    <w:basedOn w:val="Normlny"/>
    <w:link w:val="In"/>
    <w:rsid w:val="0070456C"/>
    <w:pPr>
      <w:widowControl w:val="0"/>
      <w:shd w:val="clear" w:color="auto" w:fill="FFFFFF"/>
      <w:spacing w:after="260" w:line="240" w:lineRule="auto"/>
    </w:pPr>
    <w:rPr>
      <w:rFonts w:ascii="Times New Roman" w:eastAsia="Times New Roman" w:hAnsi="Times New Roman" w:cs="Times New Roman"/>
      <w:sz w:val="22"/>
    </w:rPr>
  </w:style>
  <w:style w:type="table" w:customStyle="1" w:styleId="Mriekatabuky1">
    <w:name w:val="Mriežka tabuľky1"/>
    <w:basedOn w:val="Normlnatabuka"/>
    <w:next w:val="Mriekatabuky"/>
    <w:uiPriority w:val="59"/>
    <w:rsid w:val="00422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
    <w:name w:val="Mriežka tabuľky2"/>
    <w:basedOn w:val="Normlnatabuka"/>
    <w:next w:val="Mriekatabuky"/>
    <w:uiPriority w:val="59"/>
    <w:rsid w:val="00422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
    <w:name w:val="Mriežka tabuľky3"/>
    <w:basedOn w:val="Normlnatabuka"/>
    <w:next w:val="Mriekatabuky"/>
    <w:uiPriority w:val="39"/>
    <w:rsid w:val="00422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
    <w:name w:val="Mriežka tabuľky4"/>
    <w:basedOn w:val="Normlnatabuka"/>
    <w:next w:val="Mriekatabuky"/>
    <w:uiPriority w:val="59"/>
    <w:rsid w:val="00422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
    <w:name w:val="Základný text_"/>
    <w:basedOn w:val="Predvolenpsmoodseku"/>
    <w:link w:val="Zkladntext1"/>
    <w:rsid w:val="00422249"/>
    <w:rPr>
      <w:rFonts w:ascii="Times New Roman" w:eastAsia="Times New Roman" w:hAnsi="Times New Roman" w:cs="Times New Roman"/>
      <w:shd w:val="clear" w:color="auto" w:fill="FFFFFF"/>
    </w:rPr>
  </w:style>
  <w:style w:type="paragraph" w:customStyle="1" w:styleId="Zkladntext1">
    <w:name w:val="Základný text1"/>
    <w:basedOn w:val="Normlny"/>
    <w:link w:val="Zkladntext"/>
    <w:rsid w:val="00422249"/>
    <w:pPr>
      <w:widowControl w:val="0"/>
      <w:shd w:val="clear" w:color="auto" w:fill="FFFFFF"/>
      <w:spacing w:after="260" w:line="240" w:lineRule="auto"/>
    </w:pPr>
    <w:rPr>
      <w:rFonts w:ascii="Times New Roman" w:eastAsia="Times New Roman" w:hAnsi="Times New Roman" w:cs="Times New Roman"/>
      <w:sz w:val="22"/>
    </w:rPr>
  </w:style>
  <w:style w:type="character" w:customStyle="1" w:styleId="OdsekzoznamuChar">
    <w:name w:val="Odsek zoznamu Char"/>
    <w:aliases w:val="body Char,Odsek zoznamu2 Char,Odsek Char,Odsek zoznamu1 Char,Dot pt Char,No Spacing1 Char,List Paragraph Char Char Char Char,Indicator Text Char,Numbered Para 1 Char,List Paragraph à moi Char,Odsek zoznamu4 Char,LISTA Char,3 Char"/>
    <w:basedOn w:val="Predvolenpsmoodseku"/>
    <w:link w:val="Odsekzoznamu"/>
    <w:uiPriority w:val="34"/>
    <w:qFormat/>
    <w:locked/>
    <w:rsid w:val="00571A80"/>
    <w:rPr>
      <w:rFonts w:ascii="Segoe UI" w:hAnsi="Segoe UI"/>
      <w:sz w:val="20"/>
    </w:rPr>
  </w:style>
  <w:style w:type="paragraph" w:customStyle="1" w:styleId="2stlpce">
    <w:name w:val="2 stlpce"/>
    <w:basedOn w:val="Normlny"/>
    <w:link w:val="2stlpceChar"/>
    <w:qFormat/>
    <w:rsid w:val="00A33FD6"/>
    <w:pPr>
      <w:spacing w:line="240" w:lineRule="auto"/>
    </w:pPr>
    <w:rPr>
      <w:rFonts w:ascii="Calibri" w:hAnsi="Calibri"/>
      <w:sz w:val="22"/>
    </w:rPr>
  </w:style>
  <w:style w:type="character" w:customStyle="1" w:styleId="2stlpceChar">
    <w:name w:val="2 stlpce Char"/>
    <w:basedOn w:val="Predvolenpsmoodseku"/>
    <w:link w:val="2stlpce"/>
    <w:rsid w:val="00A33FD6"/>
    <w:rPr>
      <w:rFonts w:ascii="Calibri" w:hAnsi="Calibri"/>
    </w:rPr>
  </w:style>
  <w:style w:type="character" w:styleId="PouitHypertextovPrepojenie">
    <w:name w:val="FollowedHyperlink"/>
    <w:basedOn w:val="Predvolenpsmoodseku"/>
    <w:uiPriority w:val="99"/>
    <w:semiHidden/>
    <w:unhideWhenUsed/>
    <w:rsid w:val="00582A6C"/>
    <w:rPr>
      <w:color w:val="314364" w:themeColor="followedHyperlink"/>
      <w:u w:val="single"/>
    </w:rPr>
  </w:style>
  <w:style w:type="paragraph" w:customStyle="1" w:styleId="Default">
    <w:name w:val="Default"/>
    <w:rsid w:val="00DC0C8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adpis4Char">
    <w:name w:val="Nadpis 4 Char"/>
    <w:basedOn w:val="Predvolenpsmoodseku"/>
    <w:link w:val="Nadpis4"/>
    <w:uiPriority w:val="9"/>
    <w:rsid w:val="002A599C"/>
    <w:rPr>
      <w:rFonts w:asciiTheme="majorHAnsi" w:eastAsiaTheme="majorEastAsia" w:hAnsiTheme="majorHAnsi" w:cstheme="majorBidi"/>
      <w:i/>
      <w:iCs/>
      <w:color w:val="24324A" w:themeColor="accent1" w:themeShade="BF"/>
      <w:sz w:val="20"/>
    </w:rPr>
  </w:style>
  <w:style w:type="character" w:customStyle="1" w:styleId="Nadpis5Char">
    <w:name w:val="Nadpis 5 Char"/>
    <w:basedOn w:val="Predvolenpsmoodseku"/>
    <w:link w:val="Nadpis5"/>
    <w:uiPriority w:val="9"/>
    <w:rsid w:val="00AC6430"/>
    <w:rPr>
      <w:rFonts w:asciiTheme="majorHAnsi" w:eastAsiaTheme="majorEastAsia" w:hAnsiTheme="majorHAnsi" w:cstheme="majorBidi"/>
      <w:color w:val="24324A" w:themeColor="accent1" w:themeShade="BF"/>
      <w:sz w:val="20"/>
    </w:rPr>
  </w:style>
  <w:style w:type="character" w:styleId="Zvraznenie">
    <w:name w:val="Emphasis"/>
    <w:basedOn w:val="Predvolenpsmoodseku"/>
    <w:uiPriority w:val="20"/>
    <w:qFormat/>
    <w:rsid w:val="00AC6430"/>
    <w:rPr>
      <w:i/>
      <w:iCs/>
    </w:rPr>
  </w:style>
  <w:style w:type="character" w:styleId="Siln">
    <w:name w:val="Strong"/>
    <w:basedOn w:val="Predvolenpsmoodseku"/>
    <w:uiPriority w:val="22"/>
    <w:qFormat/>
    <w:rsid w:val="00AC6430"/>
    <w:rPr>
      <w:b/>
      <w:bCs/>
    </w:rPr>
  </w:style>
  <w:style w:type="character" w:styleId="Nzovknihy">
    <w:name w:val="Book Title"/>
    <w:basedOn w:val="Predvolenpsmoodseku"/>
    <w:uiPriority w:val="33"/>
    <w:qFormat/>
    <w:rsid w:val="00AC6430"/>
    <w:rPr>
      <w:b/>
      <w:bCs/>
      <w:i/>
      <w:iCs/>
      <w:spacing w:val="5"/>
    </w:rPr>
  </w:style>
  <w:style w:type="table" w:customStyle="1" w:styleId="Mriekatabuky5">
    <w:name w:val="Mriežka tabuľky5"/>
    <w:basedOn w:val="Normlnatabuka"/>
    <w:next w:val="Mriekatabuky"/>
    <w:uiPriority w:val="39"/>
    <w:rsid w:val="004275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Predvolenpsmoodseku"/>
    <w:rsid w:val="005F0F5B"/>
  </w:style>
  <w:style w:type="paragraph" w:styleId="Obsah4">
    <w:name w:val="toc 4"/>
    <w:basedOn w:val="Normlny"/>
    <w:next w:val="Normlny"/>
    <w:autoRedefine/>
    <w:uiPriority w:val="39"/>
    <w:unhideWhenUsed/>
    <w:rsid w:val="006C125B"/>
    <w:pPr>
      <w:spacing w:after="0"/>
      <w:ind w:left="600"/>
      <w:jc w:val="left"/>
    </w:pPr>
    <w:rPr>
      <w:rFonts w:asciiTheme="minorHAnsi" w:hAnsiTheme="minorHAnsi" w:cstheme="minorHAnsi"/>
      <w:sz w:val="18"/>
      <w:szCs w:val="18"/>
    </w:rPr>
  </w:style>
  <w:style w:type="paragraph" w:styleId="Obsah5">
    <w:name w:val="toc 5"/>
    <w:basedOn w:val="Normlny"/>
    <w:next w:val="Normlny"/>
    <w:autoRedefine/>
    <w:uiPriority w:val="39"/>
    <w:unhideWhenUsed/>
    <w:rsid w:val="006C125B"/>
    <w:pPr>
      <w:spacing w:after="0"/>
      <w:ind w:left="800"/>
      <w:jc w:val="left"/>
    </w:pPr>
    <w:rPr>
      <w:rFonts w:asciiTheme="minorHAnsi" w:hAnsiTheme="minorHAnsi" w:cstheme="minorHAnsi"/>
      <w:sz w:val="18"/>
      <w:szCs w:val="18"/>
    </w:rPr>
  </w:style>
  <w:style w:type="paragraph" w:styleId="Obsah6">
    <w:name w:val="toc 6"/>
    <w:basedOn w:val="Normlny"/>
    <w:next w:val="Normlny"/>
    <w:autoRedefine/>
    <w:uiPriority w:val="39"/>
    <w:unhideWhenUsed/>
    <w:rsid w:val="006C125B"/>
    <w:pPr>
      <w:spacing w:after="0"/>
      <w:ind w:left="1000"/>
      <w:jc w:val="left"/>
    </w:pPr>
    <w:rPr>
      <w:rFonts w:asciiTheme="minorHAnsi" w:hAnsiTheme="minorHAnsi" w:cstheme="minorHAnsi"/>
      <w:sz w:val="18"/>
      <w:szCs w:val="18"/>
    </w:rPr>
  </w:style>
  <w:style w:type="paragraph" w:styleId="Obsah7">
    <w:name w:val="toc 7"/>
    <w:basedOn w:val="Normlny"/>
    <w:next w:val="Normlny"/>
    <w:autoRedefine/>
    <w:uiPriority w:val="39"/>
    <w:unhideWhenUsed/>
    <w:rsid w:val="006C125B"/>
    <w:pPr>
      <w:spacing w:after="0"/>
      <w:ind w:left="1200"/>
      <w:jc w:val="left"/>
    </w:pPr>
    <w:rPr>
      <w:rFonts w:asciiTheme="minorHAnsi" w:hAnsiTheme="minorHAnsi" w:cstheme="minorHAnsi"/>
      <w:sz w:val="18"/>
      <w:szCs w:val="18"/>
    </w:rPr>
  </w:style>
  <w:style w:type="paragraph" w:styleId="Obsah8">
    <w:name w:val="toc 8"/>
    <w:basedOn w:val="Normlny"/>
    <w:next w:val="Normlny"/>
    <w:autoRedefine/>
    <w:uiPriority w:val="39"/>
    <w:unhideWhenUsed/>
    <w:rsid w:val="006C125B"/>
    <w:pPr>
      <w:spacing w:after="0"/>
      <w:ind w:left="1400"/>
      <w:jc w:val="left"/>
    </w:pPr>
    <w:rPr>
      <w:rFonts w:asciiTheme="minorHAnsi" w:hAnsiTheme="minorHAnsi" w:cstheme="minorHAnsi"/>
      <w:sz w:val="18"/>
      <w:szCs w:val="18"/>
    </w:rPr>
  </w:style>
  <w:style w:type="paragraph" w:styleId="Obsah9">
    <w:name w:val="toc 9"/>
    <w:basedOn w:val="Normlny"/>
    <w:next w:val="Normlny"/>
    <w:autoRedefine/>
    <w:uiPriority w:val="39"/>
    <w:unhideWhenUsed/>
    <w:rsid w:val="006C125B"/>
    <w:pPr>
      <w:spacing w:after="0"/>
      <w:ind w:left="1600"/>
      <w:jc w:val="left"/>
    </w:pPr>
    <w:rPr>
      <w:rFonts w:asciiTheme="minorHAnsi" w:hAnsiTheme="minorHAnsi" w:cstheme="minorHAnsi"/>
      <w:sz w:val="18"/>
      <w:szCs w:val="18"/>
    </w:rPr>
  </w:style>
  <w:style w:type="table" w:customStyle="1" w:styleId="Mriekatabuky6">
    <w:name w:val="Mriežka tabuľky6"/>
    <w:basedOn w:val="Normlnatabuka"/>
    <w:next w:val="Mriekatabuky"/>
    <w:uiPriority w:val="39"/>
    <w:rsid w:val="00CE7A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Char2"/>
    <w:basedOn w:val="Normlny"/>
    <w:link w:val="Odkaznapoznmkupodiarou"/>
    <w:uiPriority w:val="99"/>
    <w:rsid w:val="00D36B99"/>
    <w:pPr>
      <w:spacing w:after="0" w:line="240" w:lineRule="exact"/>
      <w:jc w:val="left"/>
    </w:pPr>
    <w:rPr>
      <w:rFonts w:ascii="Arial Narrow" w:hAnsi="Arial Narrow"/>
      <w:sz w:val="22"/>
      <w:vertAlign w:val="superscript"/>
    </w:rPr>
  </w:style>
  <w:style w:type="paragraph" w:styleId="Zkladntext0">
    <w:name w:val="Body Text"/>
    <w:basedOn w:val="Normlny"/>
    <w:link w:val="ZkladntextChar"/>
    <w:uiPriority w:val="99"/>
    <w:rsid w:val="002858A0"/>
    <w:pPr>
      <w:spacing w:line="240" w:lineRule="auto"/>
      <w:jc w:val="left"/>
    </w:pPr>
    <w:rPr>
      <w:rFonts w:ascii="Times New Roman" w:eastAsia="Times New Roman" w:hAnsi="Times New Roman" w:cs="Times New Roman"/>
      <w:szCs w:val="20"/>
      <w:lang w:eastAsia="cs-CZ"/>
    </w:rPr>
  </w:style>
  <w:style w:type="character" w:customStyle="1" w:styleId="ZkladntextChar">
    <w:name w:val="Základný text Char"/>
    <w:basedOn w:val="Predvolenpsmoodseku"/>
    <w:link w:val="Zkladntext0"/>
    <w:uiPriority w:val="99"/>
    <w:rsid w:val="002858A0"/>
    <w:rPr>
      <w:rFonts w:ascii="Times New Roman" w:eastAsia="Times New Roman" w:hAnsi="Times New Roman" w:cs="Times New Roman"/>
      <w:sz w:val="20"/>
      <w:szCs w:val="20"/>
      <w:lang w:eastAsia="cs-CZ"/>
    </w:rPr>
  </w:style>
  <w:style w:type="paragraph" w:styleId="Normlnywebov">
    <w:name w:val="Normal (Web)"/>
    <w:basedOn w:val="Normlny"/>
    <w:uiPriority w:val="99"/>
    <w:unhideWhenUsed/>
    <w:rsid w:val="00D6774D"/>
    <w:pPr>
      <w:spacing w:before="100" w:beforeAutospacing="1" w:after="100" w:afterAutospacing="1" w:line="240" w:lineRule="auto"/>
      <w:jc w:val="left"/>
    </w:pPr>
    <w:rPr>
      <w:rFonts w:ascii="Times New Roman" w:eastAsia="Times New Roman" w:hAnsi="Times New Roman" w:cs="Times New Roman"/>
      <w:sz w:val="24"/>
      <w:szCs w:val="24"/>
      <w:lang w:eastAsia="sk-SK"/>
    </w:rPr>
  </w:style>
  <w:style w:type="table" w:customStyle="1" w:styleId="Mriekatabuky7">
    <w:name w:val="Mriežka tabuľky7"/>
    <w:basedOn w:val="Normlnatabuka"/>
    <w:next w:val="Mriekatabuky"/>
    <w:uiPriority w:val="39"/>
    <w:rsid w:val="00330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omentraChar1">
    <w:name w:val="Text komentára Char1"/>
    <w:basedOn w:val="Predvolenpsmoodseku"/>
    <w:uiPriority w:val="99"/>
    <w:semiHidden/>
    <w:rsid w:val="005C7289"/>
    <w:rPr>
      <w:sz w:val="20"/>
      <w:szCs w:val="20"/>
    </w:rPr>
  </w:style>
  <w:style w:type="character" w:customStyle="1" w:styleId="awspan">
    <w:name w:val="awspan"/>
    <w:basedOn w:val="Predvolenpsmoodseku"/>
    <w:rsid w:val="00990D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607033">
      <w:bodyDiv w:val="1"/>
      <w:marLeft w:val="0"/>
      <w:marRight w:val="0"/>
      <w:marTop w:val="0"/>
      <w:marBottom w:val="0"/>
      <w:divBdr>
        <w:top w:val="none" w:sz="0" w:space="0" w:color="auto"/>
        <w:left w:val="none" w:sz="0" w:space="0" w:color="auto"/>
        <w:bottom w:val="none" w:sz="0" w:space="0" w:color="auto"/>
        <w:right w:val="none" w:sz="0" w:space="0" w:color="auto"/>
      </w:divBdr>
    </w:div>
    <w:div w:id="459346066">
      <w:bodyDiv w:val="1"/>
      <w:marLeft w:val="0"/>
      <w:marRight w:val="0"/>
      <w:marTop w:val="0"/>
      <w:marBottom w:val="0"/>
      <w:divBdr>
        <w:top w:val="none" w:sz="0" w:space="0" w:color="auto"/>
        <w:left w:val="none" w:sz="0" w:space="0" w:color="auto"/>
        <w:bottom w:val="none" w:sz="0" w:space="0" w:color="auto"/>
        <w:right w:val="none" w:sz="0" w:space="0" w:color="auto"/>
      </w:divBdr>
    </w:div>
    <w:div w:id="901328519">
      <w:bodyDiv w:val="1"/>
      <w:marLeft w:val="0"/>
      <w:marRight w:val="0"/>
      <w:marTop w:val="0"/>
      <w:marBottom w:val="0"/>
      <w:divBdr>
        <w:top w:val="none" w:sz="0" w:space="0" w:color="auto"/>
        <w:left w:val="none" w:sz="0" w:space="0" w:color="auto"/>
        <w:bottom w:val="none" w:sz="0" w:space="0" w:color="auto"/>
        <w:right w:val="none" w:sz="0" w:space="0" w:color="auto"/>
      </w:divBdr>
    </w:div>
    <w:div w:id="1159155295">
      <w:bodyDiv w:val="1"/>
      <w:marLeft w:val="0"/>
      <w:marRight w:val="0"/>
      <w:marTop w:val="0"/>
      <w:marBottom w:val="0"/>
      <w:divBdr>
        <w:top w:val="none" w:sz="0" w:space="0" w:color="auto"/>
        <w:left w:val="none" w:sz="0" w:space="0" w:color="auto"/>
        <w:bottom w:val="none" w:sz="0" w:space="0" w:color="auto"/>
        <w:right w:val="none" w:sz="0" w:space="0" w:color="auto"/>
      </w:divBdr>
    </w:div>
    <w:div w:id="1553465787">
      <w:bodyDiv w:val="1"/>
      <w:marLeft w:val="0"/>
      <w:marRight w:val="0"/>
      <w:marTop w:val="0"/>
      <w:marBottom w:val="0"/>
      <w:divBdr>
        <w:top w:val="none" w:sz="0" w:space="0" w:color="auto"/>
        <w:left w:val="none" w:sz="0" w:space="0" w:color="auto"/>
        <w:bottom w:val="none" w:sz="0" w:space="0" w:color="auto"/>
        <w:right w:val="none" w:sz="0" w:space="0" w:color="auto"/>
      </w:divBdr>
    </w:div>
    <w:div w:id="1626697887">
      <w:bodyDiv w:val="1"/>
      <w:marLeft w:val="0"/>
      <w:marRight w:val="0"/>
      <w:marTop w:val="0"/>
      <w:marBottom w:val="0"/>
      <w:divBdr>
        <w:top w:val="none" w:sz="0" w:space="0" w:color="auto"/>
        <w:left w:val="none" w:sz="0" w:space="0" w:color="auto"/>
        <w:bottom w:val="none" w:sz="0" w:space="0" w:color="auto"/>
        <w:right w:val="none" w:sz="0" w:space="0" w:color="auto"/>
      </w:divBdr>
    </w:div>
    <w:div w:id="165382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chart" Target="charts/chart26.xml"/><Relationship Id="rId21" Type="http://schemas.openxmlformats.org/officeDocument/2006/relationships/chart" Target="charts/chart11.xml"/><Relationship Id="rId34" Type="http://schemas.openxmlformats.org/officeDocument/2006/relationships/chart" Target="charts/chart21.xml"/><Relationship Id="rId42" Type="http://schemas.openxmlformats.org/officeDocument/2006/relationships/chart" Target="charts/chart28.xml"/><Relationship Id="rId47" Type="http://schemas.openxmlformats.org/officeDocument/2006/relationships/chart" Target="charts/chart33.xml"/><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hyperlink" Target="https://rokovania.gov.sk/RVL/Material/30103/1" TargetMode="Externa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hyperlink" Target="https://ec.europa.eu/economy_finance/recovery-and-resilience-scoreboard/timeline.html?lang=sk" TargetMode="External"/><Relationship Id="rId37" Type="http://schemas.openxmlformats.org/officeDocument/2006/relationships/chart" Target="charts/chart24.xml"/><Relationship Id="rId40" Type="http://schemas.openxmlformats.org/officeDocument/2006/relationships/hyperlink" Target="https://kategorizacia.mzsr.sk/Lieky/Common/Requests" TargetMode="External"/><Relationship Id="rId45" Type="http://schemas.openxmlformats.org/officeDocument/2006/relationships/chart" Target="charts/chart31.xml"/><Relationship Id="rId53"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chart" Target="charts/chart9.xml"/><Relationship Id="rId31" Type="http://schemas.openxmlformats.org/officeDocument/2006/relationships/hyperlink" Target="https://rokovania.gov.sk/RVL/Material/29773/1" TargetMode="External"/><Relationship Id="rId44" Type="http://schemas.openxmlformats.org/officeDocument/2006/relationships/chart" Target="charts/chart30.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19.xml"/><Relationship Id="rId35" Type="http://schemas.openxmlformats.org/officeDocument/2006/relationships/chart" Target="charts/chart22.xml"/><Relationship Id="rId43" Type="http://schemas.openxmlformats.org/officeDocument/2006/relationships/chart" Target="charts/chart29.xml"/><Relationship Id="rId48" Type="http://schemas.openxmlformats.org/officeDocument/2006/relationships/chart" Target="charts/chart34.xml"/><Relationship Id="rId8" Type="http://schemas.openxmlformats.org/officeDocument/2006/relationships/header" Target="header1.xm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chart" Target="charts/chart32.xml"/><Relationship Id="rId20" Type="http://schemas.openxmlformats.org/officeDocument/2006/relationships/chart" Target="charts/chart10.xml"/><Relationship Id="rId41" Type="http://schemas.openxmlformats.org/officeDocument/2006/relationships/chart" Target="charts/chart27.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3.xml"/><Relationship Id="rId49" Type="http://schemas.openxmlformats.org/officeDocument/2006/relationships/chart" Target="charts/chart35.xml"/></Relationships>
</file>

<file path=word/_rels/footnotes.xml.rels><?xml version="1.0" encoding="UTF-8" standalone="yes"?>
<Relationships xmlns="http://schemas.openxmlformats.org/package/2006/relationships"><Relationship Id="rId26" Type="http://schemas.openxmlformats.org/officeDocument/2006/relationships/hyperlink" Target="https://rokovania.gov.sk/RVL/Material/29771/1" TargetMode="External"/><Relationship Id="rId21" Type="http://schemas.openxmlformats.org/officeDocument/2006/relationships/hyperlink" Target="https://www.mfsr.sk/files/archiv/82/P_1_Cerpanie-PO-21-27_30.09.2024.pdf" TargetMode="External"/><Relationship Id="rId34" Type="http://schemas.openxmlformats.org/officeDocument/2006/relationships/hyperlink" Target="https://www.planobnovy.sk/site/assets/files/1232/operacna_dohoda_2023.pdf" TargetMode="External"/><Relationship Id="rId42" Type="http://schemas.openxmlformats.org/officeDocument/2006/relationships/hyperlink" Target="https://www.nku.gov.sk/documents/33855/34228/Rezidentsk%C3%BD%20program_analyzaNKU.pdf/e90379b4-bb65-9e2a-a463-f5e8da7a12c6" TargetMode="External"/><Relationship Id="rId47" Type="http://schemas.openxmlformats.org/officeDocument/2006/relationships/hyperlink" Target="https://www.nku.gov.sk/documents/33855/34219/Stanovisko%20NK%C3%9A%20SR%20k%20n%C3%A1vrhu%20%C5%A0Z%C3%9A%20za%202023.pdf/ef5c1604-d6c5-9492-e3d6-aa164f8be24e" TargetMode="External"/><Relationship Id="rId50" Type="http://schemas.openxmlformats.org/officeDocument/2006/relationships/hyperlink" Target="https://www.slov-lex.sk/pravne-predpisy/prilohy/SK/ZZ/2024/55/20240320_5610748-2.pdf" TargetMode="External"/><Relationship Id="rId55" Type="http://schemas.openxmlformats.org/officeDocument/2006/relationships/hyperlink" Target="https://rokovania.gov.sk/download.dat?id=437F415FA1D7479DB455C7ABAD2FC311-62A0F7412601F5627617CB8DE87C18B8" TargetMode="External"/><Relationship Id="rId63" Type="http://schemas.openxmlformats.org/officeDocument/2006/relationships/hyperlink" Target="https://www.oecd-ilibrary.org/deliver/108238e8-en.pdf?itemId=%2Fcontent%2Fpublication%2F108238e8-en&amp;mimeType=pdf" TargetMode="External"/><Relationship Id="rId68" Type="http://schemas.openxmlformats.org/officeDocument/2006/relationships/hyperlink" Target="https://www.slov-lex.sk/pravne-predpisy/SK/ZZ/2004/564/" TargetMode="External"/><Relationship Id="rId7" Type="http://schemas.openxmlformats.org/officeDocument/2006/relationships/hyperlink" Target="https://eur-lex.europa.eu/SK/legal-content/summary/the-european-union-s-common-system-of-value-added-tax-vat.html" TargetMode="External"/><Relationship Id="rId2" Type="http://schemas.openxmlformats.org/officeDocument/2006/relationships/hyperlink" Target="https://eur-lex.europa.eu/legal-content/sk/TXT/?uri=CELEX%3A32024R1263" TargetMode="External"/><Relationship Id="rId16" Type="http://schemas.openxmlformats.org/officeDocument/2006/relationships/hyperlink" Target="https://www.mfsr.sk/files/archiv/29/Vydavkove-priority-pre-uspesne-Slovensko.pdf" TargetMode="External"/><Relationship Id="rId29" Type="http://schemas.openxmlformats.org/officeDocument/2006/relationships/hyperlink" Target="https://www.mfsr.sk/files/sk/media/tlacove-spravy/cerpanie-sf-kf-k-30-09-2016/P_3_cerpanie_zavazkov_14-20_k_30-09-2016.pdf" TargetMode="External"/><Relationship Id="rId11" Type="http://schemas.openxmlformats.org/officeDocument/2006/relationships/hyperlink" Target="https://rokovania.gov.sk/RVL/Material/30067/1?fbclid=IwY2xjawF5oqJleHRuA2FlbQIxMAABHaamA9DIa0xTrsIPtUIuv9KNnT6Z34PJc6c-EF0doclUz4kEr0O9mS1qWw_aem_Tk3sqfpOmqIw8Tq9BeSOtw" TargetMode="External"/><Relationship Id="rId24" Type="http://schemas.openxmlformats.org/officeDocument/2006/relationships/hyperlink" Target="https://rokovania.gov.sk/RVL/Material/29771/1" TargetMode="External"/><Relationship Id="rId32" Type="http://schemas.openxmlformats.org/officeDocument/2006/relationships/hyperlink" Target="https://www.planobnovy.sk/realizacia/semafor/5-ziadost-o-platbu/" TargetMode="External"/><Relationship Id="rId37" Type="http://schemas.openxmlformats.org/officeDocument/2006/relationships/hyperlink" Target="https://rokovania.gov.sk/RVL/Material/29762/1" TargetMode="External"/><Relationship Id="rId40" Type="http://schemas.openxmlformats.org/officeDocument/2006/relationships/hyperlink" Target="https://rokovania.gov.sk/RVL/Material/29723/1" TargetMode="External"/><Relationship Id="rId45" Type="http://schemas.openxmlformats.org/officeDocument/2006/relationships/hyperlink" Target="https://www.health.gov.sk/?Strategicky-ramec-reformy" TargetMode="External"/><Relationship Id="rId53" Type="http://schemas.openxmlformats.org/officeDocument/2006/relationships/hyperlink" Target="https://www.slov-lex.sk/pravne-predpisy/SK/ZZ/2003/597/20231223" TargetMode="External"/><Relationship Id="rId58" Type="http://schemas.openxmlformats.org/officeDocument/2006/relationships/hyperlink" Target="https://www.minedu.sk/data/att/087/15248.9b7497.pdf" TargetMode="External"/><Relationship Id="rId66" Type="http://schemas.openxmlformats.org/officeDocument/2006/relationships/hyperlink" Target="https://www.mfsr.sk/files/archiv/29/Hlavna-kniha.pdf" TargetMode="External"/><Relationship Id="rId5" Type="http://schemas.openxmlformats.org/officeDocument/2006/relationships/hyperlink" Target="https://economy-finance.ec.europa.eu/economic-and-fiscal-governance/national-medium-term-fiscal-structural-plans_en" TargetMode="External"/><Relationship Id="rId61" Type="http://schemas.openxmlformats.org/officeDocument/2006/relationships/hyperlink" Target="https://www.minedu.sk/investicny-plan-msvvam-sr-na-roky-2024-2029/" TargetMode="External"/><Relationship Id="rId19" Type="http://schemas.openxmlformats.org/officeDocument/2006/relationships/hyperlink" Target="https://www.ardal.sk/_img/Documents/%C5%A0CP/DPL/DPL_TS_23102024.pdf" TargetMode="External"/><Relationship Id="rId14" Type="http://schemas.openxmlformats.org/officeDocument/2006/relationships/hyperlink" Target="https://slovak.statistics.sk/wps/portal/59b4a166-623b-4df6-bd8f-2641817f40fe/!ut/p/z1/rVPLdtowFPyWLlgKXVmyJC9tSG0TSGuoeXjTI7-CChgSHBL69RUnfQAt4EW1kGSduaM74xFO8BQnldrpR1XrdaWW5nuW8K-RCKXnERdA2F0Ie3E38kcOAQZ4cgqQD8M7CL-4n_1hjxmAjZOT-sF9B0IaBpHnDgkjFh7jBCdZVW_qOZ6t062ao-0CbV7SFphpqRcq00ULdtuiXuyPT2wnZYpwjrhFU8TykqM0lyWyOCOSiJJBWRy4N5nO8awR-kzL380mTbzo-G7ARB9A9n0bQjeIh05EKbj0lhfv9XBhuNCs_kqDyXX6ycGvGwpucbwD3CiKRv3xGPyx9dE0SXx4iGMAW_wEHAWm60Eo-iKSoUc_eRaeGRXiosyA4MlOF684rtbPK5PQ0Z-fXHJJUprbiDklRYxzG6mCZ4jQTOWcqpxlAgeAezjR6ar9mq3a0CZScsmAE9tmgjjAD5nX356eEtcEc13VxVuNp7-TqasSqUXdAjPpna73Zn1RS7P5FdKjg0YNmeus50Fn8GhkqHp-uGGNp2dceNqI69y70wTcW5e9a_RATo2zpODMIkw6FjX76779rxf9b7calW5W8UrSvdYaLYbBd-8B-RO5LQd31F7u-u6HH-j_7xg!/dz/d5/L2dBISEvZ0FBIS9nQSEh/" TargetMode="External"/><Relationship Id="rId22" Type="http://schemas.openxmlformats.org/officeDocument/2006/relationships/hyperlink" Target="https://www.planobnovy.sk/site/assets/files/1236/sipoo_verzia_1_2.pdf" TargetMode="External"/><Relationship Id="rId27" Type="http://schemas.openxmlformats.org/officeDocument/2006/relationships/hyperlink" Target="https://www.mfsr.sk/sk/media/tlacove-spravy/cerpanie-sf-kf-k-30-09-2024.html" TargetMode="External"/><Relationship Id="rId30" Type="http://schemas.openxmlformats.org/officeDocument/2006/relationships/hyperlink" Target="https://rokovania.gov.sk/RVL/Material/30103/1" TargetMode="External"/><Relationship Id="rId35" Type="http://schemas.openxmlformats.org/officeDocument/2006/relationships/hyperlink" Target="https://www.planobnovy.sk/realizacia/semafor/" TargetMode="External"/><Relationship Id="rId43" Type="http://schemas.openxmlformats.org/officeDocument/2006/relationships/hyperlink" Target="https://www.nku.gov.sk/sk/web/nku/publikovanie-zoznamu-aktulnych-kontrol?p_p_id=kisdataPortlet&amp;p_p_lifecycle=0&amp;p_p_state=normal&amp;p_p_mode=view&amp;p_r_p_mvcRenderCommandName=detail&amp;_kisdataPortlet_backURL=%2fvysledky-kontrol%3fp_p_id%3dkisdataPortlet%26p_p_lifecycle%3d1%26p_p_state%3dnormal%26p_p_mode%3dview%26_kisdataPortlet_javax.portlet.action%3dsearch%26_kisdataPortlet_orderByCol%3ddatumZverejnenia%26_kisdataPortlet_orderByType%3dDESC%26_kisdataPortlet_delta%3d20%26p_auth%3dnQgsDYBl%26p_r_p_mvcRenderCommandName%3d%252F%26p_r_p_mvcRenderCommandName%3d%2f&amp;_kisdataPortlet_entryId=96797" TargetMode="External"/><Relationship Id="rId48" Type="http://schemas.openxmlformats.org/officeDocument/2006/relationships/hyperlink" Target="https://www.slov-lex.sk/sudne-rozhodnutia/sudny-dvor-eu/2de332fd-b75f-4ce6-8408-ef2d7334fb93" TargetMode="External"/><Relationship Id="rId56" Type="http://schemas.openxmlformats.org/officeDocument/2006/relationships/hyperlink" Target="https://www.nku.gov.sk/documents/33855/34216/Stanovisko_NK%C3%9A%20SR_k_n%C3%A1vrhu_%C5%A0R_na_rok_2024.pdf/ddc57946-088d-9f8f-07b4-284516341640" TargetMode="External"/><Relationship Id="rId64" Type="http://schemas.openxmlformats.org/officeDocument/2006/relationships/hyperlink" Target="https://www.mfsr.sk/files/archiv/29/Hlavna-kniha.pdf" TargetMode="External"/><Relationship Id="rId8" Type="http://schemas.openxmlformats.org/officeDocument/2006/relationships/hyperlink" Target="https://www.nrsr.sk/web/Dynamic/DocumentPreview.aspx?DocID=535376" TargetMode="External"/><Relationship Id="rId51" Type="http://schemas.openxmlformats.org/officeDocument/2006/relationships/hyperlink" Target="https://www.nku.gov.sk/documents/33855/34219/Stanovisko%20NK%C3%9A%20SR%20k%20n%C3%A1vrhu%20%C5%A0Z%C3%9A%20za%202023.pdf/ef5c1604-d6c5-9492-e3d6-aa164f8be24e" TargetMode="External"/><Relationship Id="rId3" Type="http://schemas.openxmlformats.org/officeDocument/2006/relationships/hyperlink" Target="https://www.slov-lex.sk/pravne-predpisy/SK/ZZ/2024/118/" TargetMode="External"/><Relationship Id="rId12" Type="http://schemas.openxmlformats.org/officeDocument/2006/relationships/hyperlink" Target="https://ec.europa.eu/eurostat/databrowser/view/tesem010/default/table?lang=en&amp;category=es.tesem" TargetMode="External"/><Relationship Id="rId17" Type="http://schemas.openxmlformats.org/officeDocument/2006/relationships/hyperlink" Target="https://www.rrz.sk/hodnotenie-rozpoctu-verejnej-spravy-na-roky-2025-az-2027/" TargetMode="External"/><Relationship Id="rId25" Type="http://schemas.openxmlformats.org/officeDocument/2006/relationships/hyperlink" Target="https://eur-lex.europa.eu/legal-content/SK/TXT/PDF/?uri=CELEX:02013R1305-20220630" TargetMode="External"/><Relationship Id="rId33" Type="http://schemas.openxmlformats.org/officeDocument/2006/relationships/hyperlink" Target="https://rokovania.gov.sk/RVL/Material/30107/1" TargetMode="External"/><Relationship Id="rId38" Type="http://schemas.openxmlformats.org/officeDocument/2006/relationships/hyperlink" Target="file:///D:\SYST%25C3%2589MOV%25C3%2589%20PRIE%25C4%258CINKY\Downloads\Programove%20vyhlasenie%20vlady%20SR.pdf" TargetMode="External"/><Relationship Id="rId46" Type="http://schemas.openxmlformats.org/officeDocument/2006/relationships/hyperlink" Target="https://www.udzs-sk.sk/urad/vseobecna-ambulantna-starostlivost-vas/" TargetMode="External"/><Relationship Id="rId59" Type="http://schemas.openxmlformats.org/officeDocument/2006/relationships/hyperlink" Target="https://www.nku.gov.sk/documents/33855/34216/Stanovisko_NK%C3%9A%20SR_k_n%C3%A1vrhu_%C5%A0R_na_rok_2024.pdf/ddc57946-088d-9f8f-07b4-284516341640" TargetMode="External"/><Relationship Id="rId67" Type="http://schemas.openxmlformats.org/officeDocument/2006/relationships/hyperlink" Target="https://www.mfsr.sk/files/archiv/29/Hlavna-kniha.pdf" TargetMode="External"/><Relationship Id="rId20" Type="http://schemas.openxmlformats.org/officeDocument/2006/relationships/hyperlink" Target="https://www.mfsr.sk/sk/media/tlacove-spravy/statne-dlhopisy-obcanov-od-buduceho-roka.html" TargetMode="External"/><Relationship Id="rId41" Type="http://schemas.openxmlformats.org/officeDocument/2006/relationships/hyperlink" Target="https://www.nrsr.sk/web/Default.aspx?sid=zakony/zakon&amp;ZakZborID=13&amp;CisObdobia=9&amp;CPT=575" TargetMode="External"/><Relationship Id="rId54" Type="http://schemas.openxmlformats.org/officeDocument/2006/relationships/hyperlink" Target="https://rokovania.gov.sk/RVL/Material/29885/1" TargetMode="External"/><Relationship Id="rId62" Type="http://schemas.openxmlformats.org/officeDocument/2006/relationships/hyperlink" Target="https://www.oecd-ilibrary.org/deliver/108238e8-en.pdf?itemId=%2Fcontent%2Fpublication%2F108238e8-en&amp;mimeType=pdf" TargetMode="External"/><Relationship Id="rId1" Type="http://schemas.openxmlformats.org/officeDocument/2006/relationships/hyperlink" Target="https://www.mindop.sk/ministerstvo-1/doprava-3/civilne-letectvo/letecka-doprava/PSO/scheduled-LIZB-LZKZ" TargetMode="External"/><Relationship Id="rId6" Type="http://schemas.openxmlformats.org/officeDocument/2006/relationships/hyperlink" Target="https://eur-lex.europa.eu/legal-content/sk/TXT/?uri=CELEX%3A32024R1263" TargetMode="External"/><Relationship Id="rId15" Type="http://schemas.openxmlformats.org/officeDocument/2006/relationships/hyperlink" Target="https://www.mfsr.sk/files/sk/financie/institut-financnej-politiky/strategicke-materialy/narodny-program-reforiem/npr-2024.pdf" TargetMode="External"/><Relationship Id="rId23" Type="http://schemas.openxmlformats.org/officeDocument/2006/relationships/hyperlink" Target="https://cohesiondata.ec.europa.eu/funds/eafrd/14-20" TargetMode="External"/><Relationship Id="rId28" Type="http://schemas.openxmlformats.org/officeDocument/2006/relationships/hyperlink" Target="https://eurofondy.gov.sk/wp-content/uploads/2024/10/Stav-implementacie-Programu-Slovensko-k-30.09.2024.pdf" TargetMode="External"/><Relationship Id="rId36" Type="http://schemas.openxmlformats.org/officeDocument/2006/relationships/hyperlink" Target="https://www.slov-lex.sk/ezbierky/pravne-predpisy/SK/ZZ/2024/142/20240627" TargetMode="External"/><Relationship Id="rId49" Type="http://schemas.openxmlformats.org/officeDocument/2006/relationships/hyperlink" Target="https://www.health.gov.sk/?BioMedPark" TargetMode="External"/><Relationship Id="rId57" Type="http://schemas.openxmlformats.org/officeDocument/2006/relationships/hyperlink" Target="https://www2.nucem.sk/dl/5931/Prezentacia%20_EC-MS-2024_vysledky_web.pdf" TargetMode="External"/><Relationship Id="rId10" Type="http://schemas.openxmlformats.org/officeDocument/2006/relationships/hyperlink" Target="https://www.udzs-sk.sk/wp-content/uploads/2024/09/TS_Do-zdravotnictva-davame-menej-ako-Cesko.pdf" TargetMode="External"/><Relationship Id="rId31" Type="http://schemas.openxmlformats.org/officeDocument/2006/relationships/hyperlink" Target="https://www.planobnovy.sk/site/assets/files/1236/sipoo.pdf" TargetMode="External"/><Relationship Id="rId44" Type="http://schemas.openxmlformats.org/officeDocument/2006/relationships/hyperlink" Target="https://www.udzs-sk.sk/wp-content/uploads/2024/08/Sprava-o-stave-vykonavania-VZP-za-rok-2023.pdf" TargetMode="External"/><Relationship Id="rId52" Type="http://schemas.openxmlformats.org/officeDocument/2006/relationships/hyperlink" Target="https://www2.nucem.sk/dl/5715/PISA_2022_Kratka_sprava_SVK.pdf" TargetMode="External"/><Relationship Id="rId60" Type="http://schemas.openxmlformats.org/officeDocument/2006/relationships/hyperlink" Target="https://analyza.todarozum.sk/analyza-zisteni-o-stave-skolstva-na-slovensku.pdf" TargetMode="External"/><Relationship Id="rId65" Type="http://schemas.openxmlformats.org/officeDocument/2006/relationships/hyperlink" Target="https://www.slov-lex.sk/pravne-predpisy/SK/ZZ/2003/597/20231223" TargetMode="External"/><Relationship Id="rId4" Type="http://schemas.openxmlformats.org/officeDocument/2006/relationships/hyperlink" Target="https://commission.europa.eu/business-economy-euro/european-semester_sk" TargetMode="External"/><Relationship Id="rId9" Type="http://schemas.openxmlformats.org/officeDocument/2006/relationships/hyperlink" Target="https://www.slov-lex.sk/ezbierky/pravne-predpisy/SK/ZZ/2004/580/" TargetMode="External"/><Relationship Id="rId13" Type="http://schemas.openxmlformats.org/officeDocument/2006/relationships/hyperlink" Target="https://datacube.statistics.sk/" TargetMode="External"/><Relationship Id="rId18" Type="http://schemas.openxmlformats.org/officeDocument/2006/relationships/hyperlink" Target="https://slovak.statistics.sk/wps/portal/ext/products/informationmessages/inf_sprava_detail/bda7a81c-9b5e-46cb-a1a4-18da151d59e8/!ut/p/z1/tVFNc4IwFPwtPXjMvJcCEo_RsYBVp2qpkksnfKgUDSgZrP--odNLD3700FxeMrO72X0LAlYglGzyjdR5qeTOvCPRfZ-5Aev3KUfsjy0MRs-LqT94evRCB5a_AWw6H2Lwyl-8-cimaDsgrvPfQIBIlK70FqIyruWW1AXJ1ZrIQnfQXMrj3rhpVEbq6iibcwebOtOFmXEqXcloQnqxkxG7m8REUmkTylJJHZo6vYy18lWSpxDdhV7eytvGwQuHo-GLb8jA477tjhHZ2HMw4H44780sC7n1A7iiERkP7kUP1IVlk2cnCFW7mR0s_hjRRxjdasXUnn8cDoKbbkqls08Nq_8ox_zzeJwMJhuTQOptK13C6i5qtQ_3zDqTYj0ZWraIzyf-8AUukZ1l/dz/d5/L2dBISEvZ0FBIS9nQSEh/" TargetMode="External"/><Relationship Id="rId39" Type="http://schemas.openxmlformats.org/officeDocument/2006/relationships/hyperlink" Target="https://www.nku.gov.sk/documents/33855/34228/NKU_Analyza_strategii_%20v_zdravotnictve.pdf/74da3b38-69f5-af0b-6d30-e69cf1a2549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Stanovisk&#225;\Stanovisko%20k%20n&#225;vrhu%20&#352;R%202021\Stanovisko%20OSA.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SYST&#201;MOV&#201;%20PRIE&#268;INKY\Downloads\STANOVISKO\Stanovisko%20k%20RVS%202025\STANOVISKO_k_n&#225;vrhu_&#352;R_na_rok_2025.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H_rok_programu_Microsoft_Excel5.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H_rok_programu_Microsoft_Excel6.xlsx"/></Relationships>
</file>

<file path=word/charts/_rels/chart12.xml.rels><?xml version="1.0" encoding="UTF-8" standalone="yes"?>
<Relationships xmlns="http://schemas.openxmlformats.org/package/2006/relationships"><Relationship Id="rId3" Type="http://schemas.openxmlformats.org/officeDocument/2006/relationships/oleObject" Target="file:///D:\SYST&#201;MOV&#201;%20PRIE&#268;INKY\Downloads\STANOVISKO\Stanovisko%20k%20RVS%202025\STANOVISKO%20grafy.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D:\SYST&#201;MOV&#201;%20PRIE&#268;INKY\Downloads\STANOVISKO\Stanovisko%20k%20RVS%202025\STANOVISKO_k_n&#225;vrhu_&#352;R_na_rok_2025.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D:\SYST&#201;MOV&#201;%20PRIE&#268;INKY\Downloads\STANOVISKO\Stanovisko%20k%20RVS%202025\STANOVISKO_k_n&#225;vrhu_&#352;R_na_rok_2025.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D:\SYST&#201;MOV&#201;%20PRIE&#268;INKY\Downloads\STANOVISKO\Stanovisko%20k%20RVS%202025\STANOVISKO%20grafy.xlsx" TargetMode="External"/></Relationships>
</file>

<file path=word/charts/_rels/chart16.xml.rels><?xml version="1.0" encoding="UTF-8" standalone="yes"?>
<Relationships xmlns="http://schemas.openxmlformats.org/package/2006/relationships"><Relationship Id="rId3" Type="http://schemas.openxmlformats.org/officeDocument/2006/relationships/package" Target="../embeddings/H_rok_programu_Microsoft_Excel7.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D:\MOJE%20DOKUMENTY\NKU\ANALYTIKA\stanovisko%20k%20n&#225;vrhu%20&#352;R%202025\STANOVISKO_k_n&#225;vrhu_&#352;R_na_rok_2025.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H_rok_programu_Microsoft_Excel8.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package" Target="../embeddings/H_rok_programu_Microsoft_Excel9.xlsx"/><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D:\SYST&#201;MOV&#201;%20PRIE&#268;INKY\Downloads\STANOVISKO\Stanovisko%20k%20RVS%202025\STANOVISKO_k_n&#225;vrhu_&#352;R_na_rok_2025.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SYST&#201;MOV&#201;%20PRIE&#268;INKY\Downloads\STANOVISKO\Stanovisko%20k%20RVS%202025\STANOVISKO_k_n&#225;vrhu_&#352;R_na_rok_2025.xlsx" TargetMode="External"/><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oleObject" Target="file:///D:\SYST&#201;MOV&#201;%20PRIE&#268;INKY\Downloads\STANOVISKO\Stanovisko%20k%20RVS%202025\STANOVISKO_k_n&#225;vrhu_&#352;R_na_rok_2025.xlsx" TargetMode="External"/><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oleObject" Target="file:///D:\SYST&#201;MOV&#201;%20PRIE&#268;INKY\Desktop\Stanovisk&#225;\RVS%202025\grafy.xlsx" TargetMode="External"/><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oleObject" Target="file:///D:\SYST&#201;MOV&#201;%20PRIE&#268;INKY\Downloads\STANOVISKO\Stanovisko%20k%20RVS%202025\STANOVISKO%20grafy.xlsx" TargetMode="External"/><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oleObject" Target="file:///D:\SYST&#201;MOV&#201;%20PRIE&#268;INKY\Downloads\STANOVISKO\Stanovisko%20k%20RVS%202025\STANOVISKO%20grafy.xlsx" TargetMode="External"/><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D:\SYST&#201;MOV&#201;%20PRIE&#268;INKY\Desktop\NK&#218;\Stanovisko_RVS2025\Report%20stavu%20zavazkov%2008_2024_graf_stanovisko.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D:\SYST&#201;MOV&#201;%20PRIE&#268;INKY\Desktop\NK&#218;\Zdravotn&#237;ctvo\INV%20dlh\INV%20DLH%20vystup%202019-2023.xlsx" TargetMode="External"/></Relationships>
</file>

<file path=word/charts/_rels/chart27.xml.rels><?xml version="1.0" encoding="UTF-8" standalone="yes"?>
<Relationships xmlns="http://schemas.openxmlformats.org/package/2006/relationships"><Relationship Id="rId3" Type="http://schemas.openxmlformats.org/officeDocument/2006/relationships/oleObject" Target="file:///D:\SYST&#201;MOV&#201;%20PRIE&#268;INKY\Downloads\STANOVISKO\Stanovisko%20k%20RVS%202025\STANOVISKO%20grafy.xlsx" TargetMode="External"/><Relationship Id="rId2" Type="http://schemas.microsoft.com/office/2011/relationships/chartColorStyle" Target="colors26.xml"/><Relationship Id="rId1" Type="http://schemas.microsoft.com/office/2011/relationships/chartStyle" Target="style26.xml"/></Relationships>
</file>

<file path=word/charts/_rels/chart28.xml.rels><?xml version="1.0" encoding="UTF-8" standalone="yes"?>
<Relationships xmlns="http://schemas.openxmlformats.org/package/2006/relationships"><Relationship Id="rId3" Type="http://schemas.openxmlformats.org/officeDocument/2006/relationships/oleObject" Target="file:///D:\MOJE%20DOKUMENTY\STANOVISK&#193;\Stanovisko%20&#8211;%20rozpo&#269;et%202025\Kvalita%20&#353;tudentov%20u&#269;ite&#318;stva\V&#253;voj%20miezd%20PZ%20Z&#352;%202022%20&#8211;%202026.xlsx" TargetMode="External"/><Relationship Id="rId2" Type="http://schemas.microsoft.com/office/2011/relationships/chartColorStyle" Target="colors27.xml"/><Relationship Id="rId1" Type="http://schemas.microsoft.com/office/2011/relationships/chartStyle" Target="style27.xml"/></Relationships>
</file>

<file path=word/charts/_rels/chart29.xml.rels><?xml version="1.0" encoding="UTF-8" standalone="yes"?>
<Relationships xmlns="http://schemas.openxmlformats.org/package/2006/relationships"><Relationship Id="rId3" Type="http://schemas.openxmlformats.org/officeDocument/2006/relationships/oleObject" Target="file:///D:\MOJE%20DOKUMENTY\STANOVISK&#193;\Stanovisko%20&#8211;%20rozpo&#269;et%202025\Kvalita%20&#353;tudentov%20u&#269;ite&#318;stva\Podiel%20negymnazistov\VV&#352;%20vs.%20PdF%20VV&#352;.xlsx" TargetMode="External"/><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oleObject" Target="file:///D:\SYST&#201;MOV&#201;%20PRIE&#268;INKY\Downloads\STANOVISKO\Stanovisko%20k%20RVS%202025\STANOVISKO%20grafy.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D:\MOJE%20DOKUMENTY\STANOVISK&#193;\Stanovisko%20&#8211;%20rozpo&#269;et%202025\Kvalita%20&#353;tudentov%20u&#269;ite&#318;stva\Maturitn&#233;%20v&#253;sledky\PdF%20UK\V&#253;sledn&#233;%20grafy.xlsx" TargetMode="External"/><Relationship Id="rId2" Type="http://schemas.microsoft.com/office/2011/relationships/chartColorStyle" Target="colors29.xml"/><Relationship Id="rId1" Type="http://schemas.microsoft.com/office/2011/relationships/chartStyle" Target="style29.xml"/></Relationships>
</file>

<file path=word/charts/_rels/chart31.xml.rels><?xml version="1.0" encoding="UTF-8" standalone="yes"?>
<Relationships xmlns="http://schemas.openxmlformats.org/package/2006/relationships"><Relationship Id="rId3" Type="http://schemas.openxmlformats.org/officeDocument/2006/relationships/oleObject" Target="file:///D:\MOJE%20DOKUMENTY\STANOVISK&#193;\Stanovisko%20&#8211;%20rozpo&#269;et%202025\Kvalita%20&#353;tudentov%20u&#269;ite&#318;stva\Maturitn&#233;%20v&#253;sledky\PdF%20UK\V&#253;sledn&#233;%20grafy.xlsx" TargetMode="External"/><Relationship Id="rId2" Type="http://schemas.microsoft.com/office/2011/relationships/chartColorStyle" Target="colors30.xml"/><Relationship Id="rId1" Type="http://schemas.microsoft.com/office/2011/relationships/chartStyle" Target="style30.xml"/></Relationships>
</file>

<file path=word/charts/_rels/chart32.xml.rels><?xml version="1.0" encoding="UTF-8" standalone="yes"?>
<Relationships xmlns="http://schemas.openxmlformats.org/package/2006/relationships"><Relationship Id="rId3" Type="http://schemas.openxmlformats.org/officeDocument/2006/relationships/oleObject" Target="file:///D:\MOJE%20DOKUMENTY\STANOVISK&#193;\Stanovisko%20&#8211;%20rozpo&#269;et%202025\M&#352;%20&#8211;%20podporn&#233;%20opatrenia\MS_data_minedu\grafy.xlsx" TargetMode="External"/><Relationship Id="rId2" Type="http://schemas.microsoft.com/office/2011/relationships/chartColorStyle" Target="colors31.xml"/><Relationship Id="rId1" Type="http://schemas.microsoft.com/office/2011/relationships/chartStyle" Target="style31.xml"/></Relationships>
</file>

<file path=word/charts/_rels/chart33.xml.rels><?xml version="1.0" encoding="UTF-8" standalone="yes"?>
<Relationships xmlns="http://schemas.openxmlformats.org/package/2006/relationships"><Relationship Id="rId3" Type="http://schemas.openxmlformats.org/officeDocument/2006/relationships/oleObject" Target="Zo&#353;it1" TargetMode="External"/><Relationship Id="rId2" Type="http://schemas.microsoft.com/office/2011/relationships/chartColorStyle" Target="colors32.xml"/><Relationship Id="rId1" Type="http://schemas.microsoft.com/office/2011/relationships/chartStyle" Target="style32.xm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D:\SYST&#201;MOV&#201;%20PRIE&#268;INKY\Documents\Prijat&#233;%20s&#250;bory\graf%20veda%20a%20technika.xlsx"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file:///D:\SYST&#201;MOV&#201;%20PRIE&#268;INKY\Desktop\2024\stanovisko%202025\Technick&#225;%20pr&#237;loha.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SYST&#201;MOV&#201;%20PRIE&#268;INKY\Desktop\NK&#218;\Stanovisko_RVS2025\Graf%20odvody%20sr%20cr.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H_rok_programu_Microsoft_Excel.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H_rok_programu_Microsoft_Excel1.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H_rok_programu_Microsoft_Excel2.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H_rok_programu_Microsoft_Excel3.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H_rok_programu_Microsoft_Excel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'Graf 1'!$C$2</c:f>
              <c:strCache>
                <c:ptCount val="1"/>
                <c:pt idx="0">
                  <c:v>Prognóza z júna 2024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 1'!$B$3:$B$9</c:f>
              <c:strCache>
                <c:ptCount val="7"/>
                <c:pt idx="0">
                  <c:v>HDP, s. c. </c:v>
                </c:pt>
                <c:pt idx="1">
                  <c:v>Súkromná spotreba, s. c.</c:v>
                </c:pt>
                <c:pt idx="2">
                  <c:v>Vládna spotreba</c:v>
                </c:pt>
                <c:pt idx="3">
                  <c:v>Fixné investície</c:v>
                </c:pt>
                <c:pt idx="4">
                  <c:v>Zamestnanosť</c:v>
                </c:pt>
                <c:pt idx="5">
                  <c:v>Miera nezamestnanosti</c:v>
                </c:pt>
                <c:pt idx="6">
                  <c:v>Spotrebiteľská inflácia (CPI)</c:v>
                </c:pt>
              </c:strCache>
            </c:strRef>
          </c:cat>
          <c:val>
            <c:numRef>
              <c:f>'Graf 1'!$C$3:$C$9</c:f>
              <c:numCache>
                <c:formatCode>0.0</c:formatCode>
                <c:ptCount val="7"/>
                <c:pt idx="0">
                  <c:v>2.6</c:v>
                </c:pt>
                <c:pt idx="1">
                  <c:v>2.1</c:v>
                </c:pt>
                <c:pt idx="2">
                  <c:v>0.2</c:v>
                </c:pt>
                <c:pt idx="3">
                  <c:v>12.2</c:v>
                </c:pt>
                <c:pt idx="4">
                  <c:v>0.5</c:v>
                </c:pt>
                <c:pt idx="5">
                  <c:v>5.2</c:v>
                </c:pt>
                <c:pt idx="6">
                  <c:v>3.9</c:v>
                </c:pt>
              </c:numCache>
            </c:numRef>
          </c:val>
          <c:extLst>
            <c:ext xmlns:c16="http://schemas.microsoft.com/office/drawing/2014/chart" uri="{C3380CC4-5D6E-409C-BE32-E72D297353CC}">
              <c16:uniqueId val="{00000000-4E3A-46B3-8E5E-193CD9388D7E}"/>
            </c:ext>
          </c:extLst>
        </c:ser>
        <c:ser>
          <c:idx val="1"/>
          <c:order val="1"/>
          <c:tx>
            <c:strRef>
              <c:f>'Graf 1'!$D$2</c:f>
              <c:strCache>
                <c:ptCount val="1"/>
                <c:pt idx="0">
                  <c:v>Prognóza zo septembra 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2"/>
                    </a:solidFill>
                    <a:latin typeface="Segoe UI" panose="020B0502040204020203" pitchFamily="34" charset="0"/>
                    <a:ea typeface="+mn-ea"/>
                    <a:cs typeface="Segoe UI" panose="020B0502040204020203"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 1'!$B$3:$B$9</c:f>
              <c:strCache>
                <c:ptCount val="7"/>
                <c:pt idx="0">
                  <c:v>HDP, s. c. </c:v>
                </c:pt>
                <c:pt idx="1">
                  <c:v>Súkromná spotreba, s. c.</c:v>
                </c:pt>
                <c:pt idx="2">
                  <c:v>Vládna spotreba</c:v>
                </c:pt>
                <c:pt idx="3">
                  <c:v>Fixné investície</c:v>
                </c:pt>
                <c:pt idx="4">
                  <c:v>Zamestnanosť</c:v>
                </c:pt>
                <c:pt idx="5">
                  <c:v>Miera nezamestnanosti</c:v>
                </c:pt>
                <c:pt idx="6">
                  <c:v>Spotrebiteľská inflácia (CPI)</c:v>
                </c:pt>
              </c:strCache>
            </c:strRef>
          </c:cat>
          <c:val>
            <c:numRef>
              <c:f>'Graf 1'!$D$3:$D$9</c:f>
              <c:numCache>
                <c:formatCode>0.0</c:formatCode>
                <c:ptCount val="7"/>
                <c:pt idx="0">
                  <c:v>2.2000000000000002</c:v>
                </c:pt>
                <c:pt idx="1">
                  <c:v>1.4</c:v>
                </c:pt>
                <c:pt idx="2">
                  <c:v>0.1</c:v>
                </c:pt>
                <c:pt idx="3">
                  <c:v>10.6</c:v>
                </c:pt>
                <c:pt idx="4">
                  <c:v>0.4</c:v>
                </c:pt>
                <c:pt idx="5">
                  <c:v>5.3</c:v>
                </c:pt>
                <c:pt idx="6">
                  <c:v>5.4</c:v>
                </c:pt>
              </c:numCache>
            </c:numRef>
          </c:val>
          <c:extLst>
            <c:ext xmlns:c16="http://schemas.microsoft.com/office/drawing/2014/chart" uri="{C3380CC4-5D6E-409C-BE32-E72D297353CC}">
              <c16:uniqueId val="{00000001-4E3A-46B3-8E5E-193CD9388D7E}"/>
            </c:ext>
          </c:extLst>
        </c:ser>
        <c:dLbls>
          <c:showLegendKey val="0"/>
          <c:showVal val="0"/>
          <c:showCatName val="0"/>
          <c:showSerName val="0"/>
          <c:showPercent val="0"/>
          <c:showBubbleSize val="0"/>
        </c:dLbls>
        <c:gapWidth val="100"/>
        <c:axId val="123189072"/>
        <c:axId val="123201968"/>
      </c:barChart>
      <c:catAx>
        <c:axId val="123189072"/>
        <c:scaling>
          <c:orientation val="maxMin"/>
        </c:scaling>
        <c:delete val="0"/>
        <c:axPos val="l"/>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tx2"/>
                  </a:gs>
                </a:gsLst>
                <a:lin ang="10800000" scaled="0"/>
              </a:gra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23201968"/>
        <c:crosses val="autoZero"/>
        <c:auto val="1"/>
        <c:lblAlgn val="ctr"/>
        <c:lblOffset val="100"/>
        <c:noMultiLvlLbl val="0"/>
      </c:catAx>
      <c:valAx>
        <c:axId val="123201968"/>
        <c:scaling>
          <c:orientation val="minMax"/>
        </c:scaling>
        <c:delete val="0"/>
        <c:axPos val="t"/>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23189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'daňový bonus'!$B$43</c:f>
              <c:strCache>
                <c:ptCount val="1"/>
                <c:pt idx="0">
                  <c:v>Daňový bonus na dieťa</c:v>
                </c:pt>
              </c:strCache>
            </c:strRef>
          </c:tx>
          <c:spPr>
            <a:ln w="25400" cap="rnd">
              <a:solidFill>
                <a:schemeClr val="accent1"/>
              </a:solidFill>
              <a:round/>
            </a:ln>
            <a:effectLst/>
          </c:spPr>
          <c:marker>
            <c:symbol val="circle"/>
            <c:size val="5"/>
            <c:spPr>
              <a:solidFill>
                <a:schemeClr val="accent1"/>
              </a:solidFill>
              <a:ln w="12700">
                <a:solidFill>
                  <a:schemeClr val="bg1"/>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0-D84D-489D-A870-409745EC90B7}"/>
                </c:ext>
              </c:extLst>
            </c:dLbl>
            <c:dLbl>
              <c:idx val="2"/>
              <c:delete val="1"/>
              <c:extLst>
                <c:ext xmlns:c15="http://schemas.microsoft.com/office/drawing/2012/chart" uri="{CE6537A1-D6FC-4f65-9D91-7224C49458BB}"/>
                <c:ext xmlns:c16="http://schemas.microsoft.com/office/drawing/2014/chart" uri="{C3380CC4-5D6E-409C-BE32-E72D297353CC}">
                  <c16:uniqueId val="{00000001-D84D-489D-A870-409745EC90B7}"/>
                </c:ext>
              </c:extLst>
            </c:dLbl>
            <c:dLbl>
              <c:idx val="3"/>
              <c:delete val="1"/>
              <c:extLst>
                <c:ext xmlns:c15="http://schemas.microsoft.com/office/drawing/2012/chart" uri="{CE6537A1-D6FC-4f65-9D91-7224C49458BB}"/>
                <c:ext xmlns:c16="http://schemas.microsoft.com/office/drawing/2014/chart" uri="{C3380CC4-5D6E-409C-BE32-E72D297353CC}">
                  <c16:uniqueId val="{00000002-D84D-489D-A870-409745EC90B7}"/>
                </c:ext>
              </c:extLst>
            </c:dLbl>
            <c:dLbl>
              <c:idx val="4"/>
              <c:delete val="1"/>
              <c:extLst>
                <c:ext xmlns:c15="http://schemas.microsoft.com/office/drawing/2012/chart" uri="{CE6537A1-D6FC-4f65-9D91-7224C49458BB}"/>
                <c:ext xmlns:c16="http://schemas.microsoft.com/office/drawing/2014/chart" uri="{C3380CC4-5D6E-409C-BE32-E72D297353CC}">
                  <c16:uniqueId val="{00000003-D84D-489D-A870-409745EC90B7}"/>
                </c:ext>
              </c:extLst>
            </c:dLbl>
            <c:dLbl>
              <c:idx val="5"/>
              <c:delete val="1"/>
              <c:extLst>
                <c:ext xmlns:c15="http://schemas.microsoft.com/office/drawing/2012/chart" uri="{CE6537A1-D6FC-4f65-9D91-7224C49458BB}"/>
                <c:ext xmlns:c16="http://schemas.microsoft.com/office/drawing/2014/chart" uri="{C3380CC4-5D6E-409C-BE32-E72D297353CC}">
                  <c16:uniqueId val="{00000004-D84D-489D-A870-409745EC90B7}"/>
                </c:ext>
              </c:extLst>
            </c:dLbl>
            <c:dLbl>
              <c:idx val="6"/>
              <c:delete val="1"/>
              <c:extLst>
                <c:ext xmlns:c15="http://schemas.microsoft.com/office/drawing/2012/chart" uri="{CE6537A1-D6FC-4f65-9D91-7224C49458BB}"/>
                <c:ext xmlns:c16="http://schemas.microsoft.com/office/drawing/2014/chart" uri="{C3380CC4-5D6E-409C-BE32-E72D297353CC}">
                  <c16:uniqueId val="{00000005-D84D-489D-A870-409745EC90B7}"/>
                </c:ext>
              </c:extLst>
            </c:dLbl>
            <c:dLbl>
              <c:idx val="7"/>
              <c:delete val="1"/>
              <c:extLst>
                <c:ext xmlns:c15="http://schemas.microsoft.com/office/drawing/2012/chart" uri="{CE6537A1-D6FC-4f65-9D91-7224C49458BB}"/>
                <c:ext xmlns:c16="http://schemas.microsoft.com/office/drawing/2014/chart" uri="{C3380CC4-5D6E-409C-BE32-E72D297353CC}">
                  <c16:uniqueId val="{00000006-D84D-489D-A870-409745EC90B7}"/>
                </c:ext>
              </c:extLst>
            </c:dLbl>
            <c:dLbl>
              <c:idx val="8"/>
              <c:layout>
                <c:manualLayout>
                  <c:x val="-0.12983109935685519"/>
                  <c:y val="-8.01968872916190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84D-489D-A870-409745EC90B7}"/>
                </c:ext>
              </c:extLst>
            </c:dLbl>
            <c:dLbl>
              <c:idx val="9"/>
              <c:layout>
                <c:manualLayout>
                  <c:x val="-0.15038185112357139"/>
                  <c:y val="-7.28207474534286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84D-489D-A870-409745EC90B7}"/>
                </c:ext>
              </c:extLst>
            </c:dLbl>
            <c:dLbl>
              <c:idx val="10"/>
              <c:layout>
                <c:manualLayout>
                  <c:x val="-4.5251977090649933E-3"/>
                  <c:y val="-6.6572699968267784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D84D-489D-A870-409745EC90B7}"/>
                </c:ext>
              </c:extLst>
            </c:dLbl>
            <c:dLbl>
              <c:idx val="11"/>
              <c:layout>
                <c:manualLayout>
                  <c:x val="-9.664260717410323E-3"/>
                  <c:y val="-0.1033449985418489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84D-489D-A870-409745EC90B7}"/>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'daňový bonus'!$C$42:$O$42</c:f>
              <c:strCache>
                <c:ptCount val="12"/>
                <c:pt idx="0">
                  <c:v>2014</c:v>
                </c:pt>
                <c:pt idx="1">
                  <c:v>2015</c:v>
                </c:pt>
                <c:pt idx="2">
                  <c:v>2016</c:v>
                </c:pt>
                <c:pt idx="3">
                  <c:v>2017</c:v>
                </c:pt>
                <c:pt idx="4">
                  <c:v>2018</c:v>
                </c:pt>
                <c:pt idx="5">
                  <c:v>2019</c:v>
                </c:pt>
                <c:pt idx="6">
                  <c:v>2020</c:v>
                </c:pt>
                <c:pt idx="7">
                  <c:v>2021</c:v>
                </c:pt>
                <c:pt idx="8">
                  <c:v>2022</c:v>
                </c:pt>
                <c:pt idx="9">
                  <c:v>2023</c:v>
                </c:pt>
                <c:pt idx="10">
                  <c:v>2024 OS</c:v>
                </c:pt>
                <c:pt idx="11">
                  <c:v>2025 N</c:v>
                </c:pt>
              </c:strCache>
            </c:strRef>
          </c:cat>
          <c:val>
            <c:numRef>
              <c:f>'daňový bonus'!$C$43:$O$43</c:f>
              <c:numCache>
                <c:formatCode>#\ ##0.0</c:formatCode>
                <c:ptCount val="12"/>
                <c:pt idx="0">
                  <c:v>261.64999999999998</c:v>
                </c:pt>
                <c:pt idx="1">
                  <c:v>261.51600000000002</c:v>
                </c:pt>
                <c:pt idx="2">
                  <c:v>263.59699999999998</c:v>
                </c:pt>
                <c:pt idx="3">
                  <c:v>266.31</c:v>
                </c:pt>
                <c:pt idx="4">
                  <c:v>268.15100000000001</c:v>
                </c:pt>
                <c:pt idx="5">
                  <c:v>332.596</c:v>
                </c:pt>
                <c:pt idx="6">
                  <c:v>364.26400000000001</c:v>
                </c:pt>
                <c:pt idx="7">
                  <c:v>409.72199999999998</c:v>
                </c:pt>
                <c:pt idx="8">
                  <c:v>502.96199999999999</c:v>
                </c:pt>
                <c:pt idx="9">
                  <c:v>1270.1469999999999</c:v>
                </c:pt>
                <c:pt idx="10">
                  <c:v>1285.5719999999999</c:v>
                </c:pt>
                <c:pt idx="11">
                  <c:v>733.57500000000005</c:v>
                </c:pt>
              </c:numCache>
            </c:numRef>
          </c:val>
          <c:smooth val="0"/>
          <c:extLst>
            <c:ext xmlns:c16="http://schemas.microsoft.com/office/drawing/2014/chart" uri="{C3380CC4-5D6E-409C-BE32-E72D297353CC}">
              <c16:uniqueId val="{0000000B-D84D-489D-A870-409745EC90B7}"/>
            </c:ext>
          </c:extLst>
        </c:ser>
        <c:dLbls>
          <c:dLblPos val="t"/>
          <c:showLegendKey val="0"/>
          <c:showVal val="1"/>
          <c:showCatName val="0"/>
          <c:showSerName val="0"/>
          <c:showPercent val="0"/>
          <c:showBubbleSize val="0"/>
        </c:dLbls>
        <c:marker val="1"/>
        <c:smooth val="0"/>
        <c:axId val="1252035695"/>
        <c:axId val="1252032367"/>
      </c:lineChart>
      <c:catAx>
        <c:axId val="1252035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252032367"/>
        <c:crosses val="autoZero"/>
        <c:auto val="1"/>
        <c:lblAlgn val="ctr"/>
        <c:lblOffset val="100"/>
        <c:noMultiLvlLbl val="0"/>
      </c:catAx>
      <c:valAx>
        <c:axId val="12520323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252035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'AROPE CELKOM %'!$A$3</c:f>
              <c:strCache>
                <c:ptCount val="1"/>
                <c:pt idx="0">
                  <c:v>EÚ27</c:v>
                </c:pt>
              </c:strCache>
            </c:strRef>
          </c:tx>
          <c:spPr>
            <a:ln w="25400" cap="rnd">
              <a:solidFill>
                <a:schemeClr val="accent1"/>
              </a:solidFill>
              <a:round/>
            </a:ln>
            <a:effectLst/>
          </c:spPr>
          <c:marker>
            <c:symbol val="circle"/>
            <c:size val="5"/>
            <c:spPr>
              <a:solidFill>
                <a:schemeClr val="accent1"/>
              </a:solidFill>
              <a:ln w="12700">
                <a:solidFill>
                  <a:schemeClr val="bg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'AROPE CELKOM %'!$B$2:$J$2</c:f>
              <c:strCache>
                <c:ptCount val="9"/>
                <c:pt idx="0">
                  <c:v>2015</c:v>
                </c:pt>
                <c:pt idx="1">
                  <c:v>2016</c:v>
                </c:pt>
                <c:pt idx="2">
                  <c:v>2017</c:v>
                </c:pt>
                <c:pt idx="3">
                  <c:v>2018</c:v>
                </c:pt>
                <c:pt idx="4">
                  <c:v>2019</c:v>
                </c:pt>
                <c:pt idx="5">
                  <c:v>2020</c:v>
                </c:pt>
                <c:pt idx="6">
                  <c:v>2021</c:v>
                </c:pt>
                <c:pt idx="7">
                  <c:v>2022</c:v>
                </c:pt>
                <c:pt idx="8">
                  <c:v>2023</c:v>
                </c:pt>
              </c:strCache>
            </c:strRef>
          </c:cat>
          <c:val>
            <c:numRef>
              <c:f>'AROPE CELKOM %'!$B$3:$J$3</c:f>
              <c:numCache>
                <c:formatCode>#\ ##0.##########</c:formatCode>
                <c:ptCount val="9"/>
                <c:pt idx="0" formatCode="#\ ##0.0">
                  <c:v>24</c:v>
                </c:pt>
                <c:pt idx="1">
                  <c:v>23.7</c:v>
                </c:pt>
                <c:pt idx="2">
                  <c:v>22.4</c:v>
                </c:pt>
                <c:pt idx="3">
                  <c:v>21.7</c:v>
                </c:pt>
                <c:pt idx="4">
                  <c:v>21.8</c:v>
                </c:pt>
                <c:pt idx="5">
                  <c:v>21.5</c:v>
                </c:pt>
                <c:pt idx="6">
                  <c:v>21.7</c:v>
                </c:pt>
                <c:pt idx="7">
                  <c:v>21.6</c:v>
                </c:pt>
                <c:pt idx="8">
                  <c:v>21.3</c:v>
                </c:pt>
              </c:numCache>
            </c:numRef>
          </c:val>
          <c:smooth val="0"/>
          <c:extLst>
            <c:ext xmlns:c16="http://schemas.microsoft.com/office/drawing/2014/chart" uri="{C3380CC4-5D6E-409C-BE32-E72D297353CC}">
              <c16:uniqueId val="{00000000-8A9A-4342-8B74-4DF4709F8BE0}"/>
            </c:ext>
          </c:extLst>
        </c:ser>
        <c:ser>
          <c:idx val="1"/>
          <c:order val="1"/>
          <c:tx>
            <c:strRef>
              <c:f>'AROPE CELKOM %'!$A$7</c:f>
              <c:strCache>
                <c:ptCount val="1"/>
                <c:pt idx="0">
                  <c:v>SR</c:v>
                </c:pt>
              </c:strCache>
            </c:strRef>
          </c:tx>
          <c:spPr>
            <a:ln w="25400" cap="rnd">
              <a:solidFill>
                <a:schemeClr val="accent2"/>
              </a:solidFill>
              <a:round/>
            </a:ln>
            <a:effectLst/>
          </c:spPr>
          <c:marker>
            <c:symbol val="circle"/>
            <c:size val="5"/>
            <c:spPr>
              <a:solidFill>
                <a:schemeClr val="accent2"/>
              </a:solidFill>
              <a:ln w="12700">
                <a:solidFill>
                  <a:schemeClr val="bg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2"/>
                    </a:solidFill>
                    <a:latin typeface="Segoe UI" panose="020B0502040204020203" pitchFamily="34" charset="0"/>
                    <a:ea typeface="+mn-ea"/>
                    <a:cs typeface="Segoe UI" panose="020B0502040204020203" pitchFamily="34" charset="0"/>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'AROPE CELKOM %'!$B$2:$J$2</c:f>
              <c:strCache>
                <c:ptCount val="9"/>
                <c:pt idx="0">
                  <c:v>2015</c:v>
                </c:pt>
                <c:pt idx="1">
                  <c:v>2016</c:v>
                </c:pt>
                <c:pt idx="2">
                  <c:v>2017</c:v>
                </c:pt>
                <c:pt idx="3">
                  <c:v>2018</c:v>
                </c:pt>
                <c:pt idx="4">
                  <c:v>2019</c:v>
                </c:pt>
                <c:pt idx="5">
                  <c:v>2020</c:v>
                </c:pt>
                <c:pt idx="6">
                  <c:v>2021</c:v>
                </c:pt>
                <c:pt idx="7">
                  <c:v>2022</c:v>
                </c:pt>
                <c:pt idx="8">
                  <c:v>2023</c:v>
                </c:pt>
              </c:strCache>
            </c:strRef>
          </c:cat>
          <c:val>
            <c:numRef>
              <c:f>'AROPE CELKOM %'!$B$7:$J$7</c:f>
              <c:numCache>
                <c:formatCode>#\ ##0.##########</c:formatCode>
                <c:ptCount val="9"/>
                <c:pt idx="0">
                  <c:v>17.3</c:v>
                </c:pt>
                <c:pt idx="1">
                  <c:v>17.100000000000001</c:v>
                </c:pt>
                <c:pt idx="2">
                  <c:v>15.8</c:v>
                </c:pt>
                <c:pt idx="3">
                  <c:v>15.2</c:v>
                </c:pt>
                <c:pt idx="4">
                  <c:v>14.8</c:v>
                </c:pt>
                <c:pt idx="5">
                  <c:v>13.8</c:v>
                </c:pt>
                <c:pt idx="6">
                  <c:v>15.6</c:v>
                </c:pt>
                <c:pt idx="7">
                  <c:v>16.5</c:v>
                </c:pt>
                <c:pt idx="8">
                  <c:v>17.600000000000001</c:v>
                </c:pt>
              </c:numCache>
            </c:numRef>
          </c:val>
          <c:smooth val="0"/>
          <c:extLst>
            <c:ext xmlns:c16="http://schemas.microsoft.com/office/drawing/2014/chart" uri="{C3380CC4-5D6E-409C-BE32-E72D297353CC}">
              <c16:uniqueId val="{00000001-8A9A-4342-8B74-4DF4709F8BE0}"/>
            </c:ext>
          </c:extLst>
        </c:ser>
        <c:dLbls>
          <c:dLblPos val="t"/>
          <c:showLegendKey val="0"/>
          <c:showVal val="1"/>
          <c:showCatName val="0"/>
          <c:showSerName val="0"/>
          <c:showPercent val="0"/>
          <c:showBubbleSize val="0"/>
        </c:dLbls>
        <c:marker val="1"/>
        <c:smooth val="0"/>
        <c:axId val="1252035695"/>
        <c:axId val="1252032367"/>
      </c:lineChart>
      <c:catAx>
        <c:axId val="1252035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252032367"/>
        <c:crosses val="autoZero"/>
        <c:auto val="1"/>
        <c:lblAlgn val="ctr"/>
        <c:lblOffset val="100"/>
        <c:noMultiLvlLbl val="0"/>
      </c:catAx>
      <c:valAx>
        <c:axId val="1252032367"/>
        <c:scaling>
          <c:orientation val="minMax"/>
          <c:min val="1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252035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'Mzdové výdavky VS'!$E$3</c:f>
              <c:strCache>
                <c:ptCount val="1"/>
                <c:pt idx="0">
                  <c:v>Mzdové výdavky R (ľavá os)</c:v>
                </c:pt>
              </c:strCache>
            </c:strRef>
          </c:tx>
          <c:spPr>
            <a:solidFill>
              <a:schemeClr val="tx2"/>
            </a:solidFill>
            <a:ln>
              <a:noFill/>
            </a:ln>
            <a:effectLst/>
          </c:spPr>
          <c:invertIfNegative val="0"/>
          <c:cat>
            <c:strRef>
              <c:f>'Mzdové výdavky VS'!$B$4:$B$17</c:f>
              <c:strCache>
                <c:ptCount val="14"/>
                <c:pt idx="0">
                  <c:v>2014</c:v>
                </c:pt>
                <c:pt idx="1">
                  <c:v>2015</c:v>
                </c:pt>
                <c:pt idx="2">
                  <c:v>2016</c:v>
                </c:pt>
                <c:pt idx="3">
                  <c:v>2017</c:v>
                </c:pt>
                <c:pt idx="4">
                  <c:v>2018</c:v>
                </c:pt>
                <c:pt idx="5">
                  <c:v>2019</c:v>
                </c:pt>
                <c:pt idx="6">
                  <c:v>2020</c:v>
                </c:pt>
                <c:pt idx="7">
                  <c:v>2021</c:v>
                </c:pt>
                <c:pt idx="8">
                  <c:v>2022</c:v>
                </c:pt>
                <c:pt idx="9">
                  <c:v>2023</c:v>
                </c:pt>
                <c:pt idx="10">
                  <c:v>2024OS</c:v>
                </c:pt>
                <c:pt idx="11">
                  <c:v>2025N</c:v>
                </c:pt>
                <c:pt idx="12">
                  <c:v>2026N</c:v>
                </c:pt>
                <c:pt idx="13">
                  <c:v>2027N</c:v>
                </c:pt>
              </c:strCache>
            </c:strRef>
          </c:cat>
          <c:val>
            <c:numRef>
              <c:f>'Mzdové výdavky VS'!$E$4:$E$17</c:f>
              <c:numCache>
                <c:formatCode>0.00</c:formatCode>
                <c:ptCount val="14"/>
                <c:pt idx="0">
                  <c:v>3.4639660179999998</c:v>
                </c:pt>
                <c:pt idx="1">
                  <c:v>3.8237964080000002</c:v>
                </c:pt>
                <c:pt idx="2">
                  <c:v>4.6763773909999999</c:v>
                </c:pt>
                <c:pt idx="3">
                  <c:v>5.0392151739999997</c:v>
                </c:pt>
                <c:pt idx="4">
                  <c:v>5.4810445919999999</c:v>
                </c:pt>
                <c:pt idx="5">
                  <c:v>6.1581479779999997</c:v>
                </c:pt>
                <c:pt idx="6">
                  <c:v>6.7692199879999997</c:v>
                </c:pt>
                <c:pt idx="7">
                  <c:v>7.0745839999999998</c:v>
                </c:pt>
                <c:pt idx="8">
                  <c:v>7.2915619999999999</c:v>
                </c:pt>
                <c:pt idx="9">
                  <c:v>8.4085819999999991</c:v>
                </c:pt>
                <c:pt idx="10">
                  <c:v>9.3935139999999997</c:v>
                </c:pt>
                <c:pt idx="11">
                  <c:v>10.030506000000001</c:v>
                </c:pt>
                <c:pt idx="12">
                  <c:v>10.384874999999999</c:v>
                </c:pt>
                <c:pt idx="13">
                  <c:v>10.721925000000001</c:v>
                </c:pt>
              </c:numCache>
            </c:numRef>
          </c:val>
          <c:extLst>
            <c:ext xmlns:c16="http://schemas.microsoft.com/office/drawing/2014/chart" uri="{C3380CC4-5D6E-409C-BE32-E72D297353CC}">
              <c16:uniqueId val="{00000000-BE28-468B-AE2A-77B2E55E4694}"/>
            </c:ext>
          </c:extLst>
        </c:ser>
        <c:ser>
          <c:idx val="3"/>
          <c:order val="3"/>
          <c:tx>
            <c:strRef>
              <c:f>'Mzdové výdavky VS'!$F$3</c:f>
              <c:strCache>
                <c:ptCount val="1"/>
                <c:pt idx="0">
                  <c:v>Mzdové výdavky S</c:v>
                </c:pt>
              </c:strCache>
            </c:strRef>
          </c:tx>
          <c:spPr>
            <a:solidFill>
              <a:schemeClr val="bg2"/>
            </a:solidFill>
            <a:ln>
              <a:noFill/>
            </a:ln>
            <a:effectLst/>
          </c:spPr>
          <c:invertIfNegative val="0"/>
          <c:cat>
            <c:strRef>
              <c:f>'Mzdové výdavky VS'!$B$4:$B$17</c:f>
              <c:strCache>
                <c:ptCount val="14"/>
                <c:pt idx="0">
                  <c:v>2014</c:v>
                </c:pt>
                <c:pt idx="1">
                  <c:v>2015</c:v>
                </c:pt>
                <c:pt idx="2">
                  <c:v>2016</c:v>
                </c:pt>
                <c:pt idx="3">
                  <c:v>2017</c:v>
                </c:pt>
                <c:pt idx="4">
                  <c:v>2018</c:v>
                </c:pt>
                <c:pt idx="5">
                  <c:v>2019</c:v>
                </c:pt>
                <c:pt idx="6">
                  <c:v>2020</c:v>
                </c:pt>
                <c:pt idx="7">
                  <c:v>2021</c:v>
                </c:pt>
                <c:pt idx="8">
                  <c:v>2022</c:v>
                </c:pt>
                <c:pt idx="9">
                  <c:v>2023</c:v>
                </c:pt>
                <c:pt idx="10">
                  <c:v>2024OS</c:v>
                </c:pt>
                <c:pt idx="11">
                  <c:v>2025N</c:v>
                </c:pt>
                <c:pt idx="12">
                  <c:v>2026N</c:v>
                </c:pt>
                <c:pt idx="13">
                  <c:v>2027N</c:v>
                </c:pt>
              </c:strCache>
            </c:strRef>
          </c:cat>
          <c:val>
            <c:numRef>
              <c:f>'Mzdové výdavky VS'!$F$4:$F$17</c:f>
              <c:numCache>
                <c:formatCode>0.00</c:formatCode>
                <c:ptCount val="14"/>
                <c:pt idx="0">
                  <c:v>4.6099441700000003</c:v>
                </c:pt>
                <c:pt idx="1">
                  <c:v>4.8557199999999998</c:v>
                </c:pt>
                <c:pt idx="2">
                  <c:v>5.0051990000000002</c:v>
                </c:pt>
                <c:pt idx="3">
                  <c:v>5.3097799999999999</c:v>
                </c:pt>
                <c:pt idx="4">
                  <c:v>5.879848</c:v>
                </c:pt>
                <c:pt idx="5">
                  <c:v>6.4787520000000001</c:v>
                </c:pt>
                <c:pt idx="6">
                  <c:v>7.095485</c:v>
                </c:pt>
                <c:pt idx="7">
                  <c:v>7.4545940000000002</c:v>
                </c:pt>
                <c:pt idx="8">
                  <c:v>8.0768939999999994</c:v>
                </c:pt>
                <c:pt idx="9">
                  <c:v>8.9892520000000005</c:v>
                </c:pt>
                <c:pt idx="10">
                  <c:v>9.5310310000000005</c:v>
                </c:pt>
              </c:numCache>
            </c:numRef>
          </c:val>
          <c:extLst>
            <c:ext xmlns:c16="http://schemas.microsoft.com/office/drawing/2014/chart" uri="{C3380CC4-5D6E-409C-BE32-E72D297353CC}">
              <c16:uniqueId val="{00000001-BE28-468B-AE2A-77B2E55E4694}"/>
            </c:ext>
          </c:extLst>
        </c:ser>
        <c:dLbls>
          <c:showLegendKey val="0"/>
          <c:showVal val="0"/>
          <c:showCatName val="0"/>
          <c:showSerName val="0"/>
          <c:showPercent val="0"/>
          <c:showBubbleSize val="0"/>
        </c:dLbls>
        <c:gapWidth val="100"/>
        <c:axId val="1479811952"/>
        <c:axId val="1479814864"/>
      </c:barChart>
      <c:lineChart>
        <c:grouping val="standard"/>
        <c:varyColors val="0"/>
        <c:ser>
          <c:idx val="0"/>
          <c:order val="0"/>
          <c:tx>
            <c:strRef>
              <c:f>'Mzdové výdavky VS'!$C$3</c:f>
              <c:strCache>
                <c:ptCount val="1"/>
                <c:pt idx="0">
                  <c:v>Počet zam. R (pravá os)</c:v>
                </c:pt>
              </c:strCache>
            </c:strRef>
          </c:tx>
          <c:spPr>
            <a:ln w="28575" cap="rnd">
              <a:solidFill>
                <a:schemeClr val="accent6"/>
              </a:solidFill>
              <a:round/>
            </a:ln>
            <a:effectLst/>
          </c:spPr>
          <c:marker>
            <c:symbol val="circle"/>
            <c:size val="5"/>
            <c:spPr>
              <a:solidFill>
                <a:schemeClr val="accent6"/>
              </a:solidFill>
              <a:ln w="9525">
                <a:solidFill>
                  <a:schemeClr val="bg1"/>
                </a:solidFill>
              </a:ln>
              <a:effectLst/>
            </c:spPr>
          </c:marker>
          <c:cat>
            <c:strRef>
              <c:f>'Mzdové výdavky VS'!$B$4:$B$17</c:f>
              <c:strCache>
                <c:ptCount val="14"/>
                <c:pt idx="0">
                  <c:v>2014</c:v>
                </c:pt>
                <c:pt idx="1">
                  <c:v>2015</c:v>
                </c:pt>
                <c:pt idx="2">
                  <c:v>2016</c:v>
                </c:pt>
                <c:pt idx="3">
                  <c:v>2017</c:v>
                </c:pt>
                <c:pt idx="4">
                  <c:v>2018</c:v>
                </c:pt>
                <c:pt idx="5">
                  <c:v>2019</c:v>
                </c:pt>
                <c:pt idx="6">
                  <c:v>2020</c:v>
                </c:pt>
                <c:pt idx="7">
                  <c:v>2021</c:v>
                </c:pt>
                <c:pt idx="8">
                  <c:v>2022</c:v>
                </c:pt>
                <c:pt idx="9">
                  <c:v>2023</c:v>
                </c:pt>
                <c:pt idx="10">
                  <c:v>2024OS</c:v>
                </c:pt>
                <c:pt idx="11">
                  <c:v>2025N</c:v>
                </c:pt>
                <c:pt idx="12">
                  <c:v>2026N</c:v>
                </c:pt>
                <c:pt idx="13">
                  <c:v>2027N</c:v>
                </c:pt>
              </c:strCache>
            </c:strRef>
          </c:cat>
          <c:val>
            <c:numRef>
              <c:f>'Mzdové výdavky VS'!$C$4:$C$17</c:f>
              <c:numCache>
                <c:formatCode>0.00</c:formatCode>
                <c:ptCount val="14"/>
                <c:pt idx="0">
                  <c:v>343.28300000000002</c:v>
                </c:pt>
                <c:pt idx="1">
                  <c:v>359.97300000000001</c:v>
                </c:pt>
                <c:pt idx="2">
                  <c:v>407.45600000000002</c:v>
                </c:pt>
                <c:pt idx="3">
                  <c:v>419.54700000000003</c:v>
                </c:pt>
                <c:pt idx="4">
                  <c:v>419.27699999999999</c:v>
                </c:pt>
                <c:pt idx="5">
                  <c:v>426.12299999999999</c:v>
                </c:pt>
                <c:pt idx="6">
                  <c:v>427.22199999999998</c:v>
                </c:pt>
                <c:pt idx="7">
                  <c:v>427.38799999999998</c:v>
                </c:pt>
                <c:pt idx="8">
                  <c:v>429.01</c:v>
                </c:pt>
                <c:pt idx="9">
                  <c:v>439.387</c:v>
                </c:pt>
                <c:pt idx="10">
                  <c:v>451.84500000000003</c:v>
                </c:pt>
                <c:pt idx="11">
                  <c:v>447.351</c:v>
                </c:pt>
                <c:pt idx="12">
                  <c:v>448.34899999999999</c:v>
                </c:pt>
                <c:pt idx="13">
                  <c:v>447.68599999999998</c:v>
                </c:pt>
              </c:numCache>
            </c:numRef>
          </c:val>
          <c:smooth val="0"/>
          <c:extLst>
            <c:ext xmlns:c16="http://schemas.microsoft.com/office/drawing/2014/chart" uri="{C3380CC4-5D6E-409C-BE32-E72D297353CC}">
              <c16:uniqueId val="{00000002-BE28-468B-AE2A-77B2E55E4694}"/>
            </c:ext>
          </c:extLst>
        </c:ser>
        <c:ser>
          <c:idx val="1"/>
          <c:order val="1"/>
          <c:tx>
            <c:strRef>
              <c:f>'Mzdové výdavky VS'!$D$3</c:f>
              <c:strCache>
                <c:ptCount val="1"/>
                <c:pt idx="0">
                  <c:v>Počet zam. S</c:v>
                </c:pt>
              </c:strCache>
            </c:strRef>
          </c:tx>
          <c:spPr>
            <a:ln w="28575" cap="rnd">
              <a:solidFill>
                <a:schemeClr val="accent5"/>
              </a:solidFill>
              <a:round/>
            </a:ln>
            <a:effectLst/>
          </c:spPr>
          <c:marker>
            <c:symbol val="circle"/>
            <c:size val="5"/>
            <c:spPr>
              <a:solidFill>
                <a:schemeClr val="accent5"/>
              </a:solidFill>
              <a:ln w="9525">
                <a:solidFill>
                  <a:schemeClr val="bg1"/>
                </a:solidFill>
              </a:ln>
              <a:effectLst/>
            </c:spPr>
          </c:marker>
          <c:cat>
            <c:strRef>
              <c:f>'Mzdové výdavky VS'!$B$4:$B$17</c:f>
              <c:strCache>
                <c:ptCount val="14"/>
                <c:pt idx="0">
                  <c:v>2014</c:v>
                </c:pt>
                <c:pt idx="1">
                  <c:v>2015</c:v>
                </c:pt>
                <c:pt idx="2">
                  <c:v>2016</c:v>
                </c:pt>
                <c:pt idx="3">
                  <c:v>2017</c:v>
                </c:pt>
                <c:pt idx="4">
                  <c:v>2018</c:v>
                </c:pt>
                <c:pt idx="5">
                  <c:v>2019</c:v>
                </c:pt>
                <c:pt idx="6">
                  <c:v>2020</c:v>
                </c:pt>
                <c:pt idx="7">
                  <c:v>2021</c:v>
                </c:pt>
                <c:pt idx="8">
                  <c:v>2022</c:v>
                </c:pt>
                <c:pt idx="9">
                  <c:v>2023</c:v>
                </c:pt>
                <c:pt idx="10">
                  <c:v>2024OS</c:v>
                </c:pt>
                <c:pt idx="11">
                  <c:v>2025N</c:v>
                </c:pt>
                <c:pt idx="12">
                  <c:v>2026N</c:v>
                </c:pt>
                <c:pt idx="13">
                  <c:v>2027N</c:v>
                </c:pt>
              </c:strCache>
            </c:strRef>
          </c:cat>
          <c:val>
            <c:numRef>
              <c:f>'Mzdové výdavky VS'!$D$4:$D$17</c:f>
              <c:numCache>
                <c:formatCode>0.00</c:formatCode>
                <c:ptCount val="14"/>
                <c:pt idx="0">
                  <c:v>353.38</c:v>
                </c:pt>
                <c:pt idx="1">
                  <c:v>404.59100000000001</c:v>
                </c:pt>
                <c:pt idx="2">
                  <c:v>411.36500000000001</c:v>
                </c:pt>
                <c:pt idx="3">
                  <c:v>413.44299999999998</c:v>
                </c:pt>
                <c:pt idx="4">
                  <c:v>416.245</c:v>
                </c:pt>
                <c:pt idx="5">
                  <c:v>422.24299999999999</c:v>
                </c:pt>
                <c:pt idx="6">
                  <c:v>426.99299999999999</c:v>
                </c:pt>
                <c:pt idx="7">
                  <c:v>427.10300000000001</c:v>
                </c:pt>
                <c:pt idx="8">
                  <c:v>435.02</c:v>
                </c:pt>
                <c:pt idx="9">
                  <c:v>437.63299999999998</c:v>
                </c:pt>
                <c:pt idx="10">
                  <c:v>442.28300000000002</c:v>
                </c:pt>
              </c:numCache>
            </c:numRef>
          </c:val>
          <c:smooth val="0"/>
          <c:extLst>
            <c:ext xmlns:c16="http://schemas.microsoft.com/office/drawing/2014/chart" uri="{C3380CC4-5D6E-409C-BE32-E72D297353CC}">
              <c16:uniqueId val="{00000003-BE28-468B-AE2A-77B2E55E4694}"/>
            </c:ext>
          </c:extLst>
        </c:ser>
        <c:dLbls>
          <c:showLegendKey val="0"/>
          <c:showVal val="0"/>
          <c:showCatName val="0"/>
          <c:showSerName val="0"/>
          <c:showPercent val="0"/>
          <c:showBubbleSize val="0"/>
        </c:dLbls>
        <c:marker val="1"/>
        <c:smooth val="0"/>
        <c:axId val="1241501552"/>
        <c:axId val="1241486160"/>
      </c:lineChart>
      <c:catAx>
        <c:axId val="147981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479814864"/>
        <c:crosses val="autoZero"/>
        <c:auto val="1"/>
        <c:lblAlgn val="ctr"/>
        <c:lblOffset val="100"/>
        <c:noMultiLvlLbl val="0"/>
      </c:catAx>
      <c:valAx>
        <c:axId val="1479814864"/>
        <c:scaling>
          <c:orientation val="minMax"/>
          <c:max val="1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479811952"/>
        <c:crosses val="autoZero"/>
        <c:crossBetween val="between"/>
      </c:valAx>
      <c:valAx>
        <c:axId val="1241486160"/>
        <c:scaling>
          <c:orientation val="minMax"/>
          <c:min val="32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241501552"/>
        <c:crosses val="max"/>
        <c:crossBetween val="between"/>
      </c:valAx>
      <c:catAx>
        <c:axId val="1241501552"/>
        <c:scaling>
          <c:orientation val="minMax"/>
        </c:scaling>
        <c:delete val="1"/>
        <c:axPos val="b"/>
        <c:numFmt formatCode="General" sourceLinked="1"/>
        <c:majorTickMark val="out"/>
        <c:minorTickMark val="none"/>
        <c:tickLblPos val="nextTo"/>
        <c:crossAx val="12414861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Deficit!$B$4</c:f>
              <c:strCache>
                <c:ptCount val="1"/>
                <c:pt idx="0">
                  <c:v>Ciele rozpočtu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Deficit!$C$3:$H$3</c:f>
              <c:strCache>
                <c:ptCount val="6"/>
                <c:pt idx="0">
                  <c:v>2022</c:v>
                </c:pt>
                <c:pt idx="1">
                  <c:v>2023</c:v>
                </c:pt>
                <c:pt idx="2">
                  <c:v>2024 OS</c:v>
                </c:pt>
                <c:pt idx="3">
                  <c:v>2025 N</c:v>
                </c:pt>
                <c:pt idx="4">
                  <c:v>2026 N</c:v>
                </c:pt>
                <c:pt idx="5">
                  <c:v>2027 N</c:v>
                </c:pt>
              </c:strCache>
            </c:strRef>
          </c:cat>
          <c:val>
            <c:numRef>
              <c:f>Deficit!$C$4:$H$4</c:f>
              <c:numCache>
                <c:formatCode>0.00</c:formatCode>
                <c:ptCount val="6"/>
                <c:pt idx="0">
                  <c:v>-4.9400000000000004</c:v>
                </c:pt>
                <c:pt idx="1">
                  <c:v>-6.44</c:v>
                </c:pt>
                <c:pt idx="2">
                  <c:v>-5.97</c:v>
                </c:pt>
                <c:pt idx="3">
                  <c:v>-4.72</c:v>
                </c:pt>
                <c:pt idx="4">
                  <c:v>-3.72</c:v>
                </c:pt>
                <c:pt idx="5">
                  <c:v>-3</c:v>
                </c:pt>
              </c:numCache>
            </c:numRef>
          </c:val>
          <c:extLst>
            <c:ext xmlns:c16="http://schemas.microsoft.com/office/drawing/2014/chart" uri="{C3380CC4-5D6E-409C-BE32-E72D297353CC}">
              <c16:uniqueId val="{00000000-61C8-4A4D-96C3-6749E4754EFC}"/>
            </c:ext>
          </c:extLst>
        </c:ser>
        <c:ser>
          <c:idx val="1"/>
          <c:order val="1"/>
          <c:tx>
            <c:strRef>
              <c:f>Deficit!$B$5</c:f>
              <c:strCache>
                <c:ptCount val="1"/>
                <c:pt idx="0">
                  <c:v>Skutočnosť</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2"/>
                    </a:solidFill>
                    <a:latin typeface="Segoe UI" panose="020B0502040204020203" pitchFamily="34" charset="0"/>
                    <a:ea typeface="+mn-ea"/>
                    <a:cs typeface="Segoe UI" panose="020B0502040204020203"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Deficit!$C$3:$H$3</c:f>
              <c:strCache>
                <c:ptCount val="6"/>
                <c:pt idx="0">
                  <c:v>2022</c:v>
                </c:pt>
                <c:pt idx="1">
                  <c:v>2023</c:v>
                </c:pt>
                <c:pt idx="2">
                  <c:v>2024 OS</c:v>
                </c:pt>
                <c:pt idx="3">
                  <c:v>2025 N</c:v>
                </c:pt>
                <c:pt idx="4">
                  <c:v>2026 N</c:v>
                </c:pt>
                <c:pt idx="5">
                  <c:v>2027 N</c:v>
                </c:pt>
              </c:strCache>
            </c:strRef>
          </c:cat>
          <c:val>
            <c:numRef>
              <c:f>Deficit!$C$5:$H$5</c:f>
              <c:numCache>
                <c:formatCode>0.00</c:formatCode>
                <c:ptCount val="6"/>
                <c:pt idx="0">
                  <c:v>-1.67</c:v>
                </c:pt>
                <c:pt idx="1">
                  <c:v>-4.8899999999999997</c:v>
                </c:pt>
                <c:pt idx="2">
                  <c:v>-5.79</c:v>
                </c:pt>
                <c:pt idx="3">
                  <c:v>-4.72</c:v>
                </c:pt>
                <c:pt idx="4">
                  <c:v>-4.16</c:v>
                </c:pt>
                <c:pt idx="5">
                  <c:v>-4.87</c:v>
                </c:pt>
              </c:numCache>
            </c:numRef>
          </c:val>
          <c:extLst>
            <c:ext xmlns:c16="http://schemas.microsoft.com/office/drawing/2014/chart" uri="{C3380CC4-5D6E-409C-BE32-E72D297353CC}">
              <c16:uniqueId val="{00000001-61C8-4A4D-96C3-6749E4754EFC}"/>
            </c:ext>
          </c:extLst>
        </c:ser>
        <c:ser>
          <c:idx val="2"/>
          <c:order val="2"/>
          <c:tx>
            <c:strRef>
              <c:f>Deficit!$B$6</c:f>
              <c:strCache>
                <c:ptCount val="1"/>
                <c:pt idx="0">
                  <c:v>Po jesennej notifikácii</c:v>
                </c:pt>
              </c:strCache>
            </c:strRef>
          </c:tx>
          <c:spPr>
            <a:pattFill prst="ltDnDiag">
              <a:fgClr>
                <a:schemeClr val="accent6"/>
              </a:fgClr>
              <a:bgClr>
                <a:schemeClr val="bg1"/>
              </a:bgClr>
            </a:pattFill>
            <a:ln>
              <a:solidFill>
                <a:schemeClr val="accent6"/>
              </a:solid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2-61C8-4A4D-96C3-6749E4754EFC}"/>
                </c:ext>
              </c:extLst>
            </c:dLbl>
            <c:dLbl>
              <c:idx val="4"/>
              <c:delete val="1"/>
              <c:extLst>
                <c:ext xmlns:c15="http://schemas.microsoft.com/office/drawing/2012/chart" uri="{CE6537A1-D6FC-4f65-9D91-7224C49458BB}"/>
                <c:ext xmlns:c16="http://schemas.microsoft.com/office/drawing/2014/chart" uri="{C3380CC4-5D6E-409C-BE32-E72D297353CC}">
                  <c16:uniqueId val="{00000003-61C8-4A4D-96C3-6749E4754EFC}"/>
                </c:ext>
              </c:extLst>
            </c:dLbl>
            <c:dLbl>
              <c:idx val="5"/>
              <c:delete val="1"/>
              <c:extLst>
                <c:ext xmlns:c15="http://schemas.microsoft.com/office/drawing/2012/chart" uri="{CE6537A1-D6FC-4f65-9D91-7224C49458BB}"/>
                <c:ext xmlns:c16="http://schemas.microsoft.com/office/drawing/2014/chart" uri="{C3380CC4-5D6E-409C-BE32-E72D297353CC}">
                  <c16:uniqueId val="{00000004-61C8-4A4D-96C3-6749E4754EFC}"/>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solidFill>
                    <a:latin typeface="Segoe UI" panose="020B0502040204020203" pitchFamily="34" charset="0"/>
                    <a:ea typeface="+mn-ea"/>
                    <a:cs typeface="Segoe UI" panose="020B0502040204020203"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Deficit!$C$3:$H$3</c:f>
              <c:strCache>
                <c:ptCount val="6"/>
                <c:pt idx="0">
                  <c:v>2022</c:v>
                </c:pt>
                <c:pt idx="1">
                  <c:v>2023</c:v>
                </c:pt>
                <c:pt idx="2">
                  <c:v>2024 OS</c:v>
                </c:pt>
                <c:pt idx="3">
                  <c:v>2025 N</c:v>
                </c:pt>
                <c:pt idx="4">
                  <c:v>2026 N</c:v>
                </c:pt>
                <c:pt idx="5">
                  <c:v>2027 N</c:v>
                </c:pt>
              </c:strCache>
            </c:strRef>
          </c:cat>
          <c:val>
            <c:numRef>
              <c:f>Deficit!$C$6:$H$6</c:f>
              <c:numCache>
                <c:formatCode>0.00</c:formatCode>
                <c:ptCount val="6"/>
                <c:pt idx="0">
                  <c:v>-1.67</c:v>
                </c:pt>
                <c:pt idx="1">
                  <c:v>-5.21</c:v>
                </c:pt>
                <c:pt idx="2">
                  <c:v>-5.87</c:v>
                </c:pt>
                <c:pt idx="3">
                  <c:v>0</c:v>
                </c:pt>
                <c:pt idx="4">
                  <c:v>0</c:v>
                </c:pt>
                <c:pt idx="5">
                  <c:v>0</c:v>
                </c:pt>
              </c:numCache>
            </c:numRef>
          </c:val>
          <c:extLst>
            <c:ext xmlns:c16="http://schemas.microsoft.com/office/drawing/2014/chart" uri="{C3380CC4-5D6E-409C-BE32-E72D297353CC}">
              <c16:uniqueId val="{00000005-61C8-4A4D-96C3-6749E4754EFC}"/>
            </c:ext>
          </c:extLst>
        </c:ser>
        <c:dLbls>
          <c:showLegendKey val="0"/>
          <c:showVal val="0"/>
          <c:showCatName val="0"/>
          <c:showSerName val="0"/>
          <c:showPercent val="0"/>
          <c:showBubbleSize val="0"/>
        </c:dLbls>
        <c:gapWidth val="100"/>
        <c:axId val="824064431"/>
        <c:axId val="824059439"/>
      </c:barChart>
      <c:catAx>
        <c:axId val="824064431"/>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824059439"/>
        <c:crosses val="autoZero"/>
        <c:auto val="1"/>
        <c:lblAlgn val="ctr"/>
        <c:lblOffset val="100"/>
        <c:noMultiLvlLbl val="0"/>
      </c:catAx>
      <c:valAx>
        <c:axId val="82405943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8240644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Dlh!$B$4</c:f>
              <c:strCache>
                <c:ptCount val="1"/>
                <c:pt idx="0">
                  <c:v>Čistý dlh</c:v>
                </c:pt>
              </c:strCache>
            </c:strRef>
          </c:tx>
          <c:spPr>
            <a:solidFill>
              <a:schemeClr val="tx2"/>
            </a:solidFill>
            <a:ln w="25400">
              <a:noFill/>
            </a:ln>
            <a:effectLst/>
          </c:spPr>
          <c:invertIfNegative val="0"/>
          <c:dLbls>
            <c:dLbl>
              <c:idx val="1"/>
              <c:layout>
                <c:manualLayout>
                  <c:x val="-4.0425846852367784E-17"/>
                  <c:y val="-4.23429781227946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6F-497D-A30D-9B3476F05EE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Dlh!$C$3:$H$3</c:f>
              <c:strCache>
                <c:ptCount val="6"/>
                <c:pt idx="0">
                  <c:v>2022</c:v>
                </c:pt>
                <c:pt idx="1">
                  <c:v>2023</c:v>
                </c:pt>
                <c:pt idx="2">
                  <c:v>2024 OS</c:v>
                </c:pt>
                <c:pt idx="3">
                  <c:v>2025 N</c:v>
                </c:pt>
                <c:pt idx="4">
                  <c:v>2026 N</c:v>
                </c:pt>
                <c:pt idx="5">
                  <c:v>2027 N</c:v>
                </c:pt>
              </c:strCache>
            </c:strRef>
          </c:cat>
          <c:val>
            <c:numRef>
              <c:f>Dlh!$C$4:$H$4</c:f>
              <c:numCache>
                <c:formatCode>0.00</c:formatCode>
                <c:ptCount val="6"/>
                <c:pt idx="0">
                  <c:v>47.56</c:v>
                </c:pt>
                <c:pt idx="1">
                  <c:v>48.38</c:v>
                </c:pt>
                <c:pt idx="2">
                  <c:v>50.04</c:v>
                </c:pt>
                <c:pt idx="3">
                  <c:v>53.31</c:v>
                </c:pt>
                <c:pt idx="4">
                  <c:v>54.81</c:v>
                </c:pt>
                <c:pt idx="5">
                  <c:v>55.26</c:v>
                </c:pt>
              </c:numCache>
            </c:numRef>
          </c:val>
          <c:extLst>
            <c:ext xmlns:c16="http://schemas.microsoft.com/office/drawing/2014/chart" uri="{C3380CC4-5D6E-409C-BE32-E72D297353CC}">
              <c16:uniqueId val="{00000001-066F-497D-A30D-9B3476F05EED}"/>
            </c:ext>
          </c:extLst>
        </c:ser>
        <c:ser>
          <c:idx val="1"/>
          <c:order val="1"/>
          <c:tx>
            <c:strRef>
              <c:f>Dlh!$B$5</c:f>
              <c:strCache>
                <c:ptCount val="1"/>
                <c:pt idx="0">
                  <c:v>Hrubý dlh</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2"/>
                    </a:solidFill>
                    <a:latin typeface="Segoe UI" panose="020B0502040204020203" pitchFamily="34" charset="0"/>
                    <a:ea typeface="+mn-ea"/>
                    <a:cs typeface="Segoe UI" panose="020B0502040204020203" pitchFamily="34" charset="0"/>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Dlh!$C$3:$H$3</c:f>
              <c:strCache>
                <c:ptCount val="6"/>
                <c:pt idx="0">
                  <c:v>2022</c:v>
                </c:pt>
                <c:pt idx="1">
                  <c:v>2023</c:v>
                </c:pt>
                <c:pt idx="2">
                  <c:v>2024 OS</c:v>
                </c:pt>
                <c:pt idx="3">
                  <c:v>2025 N</c:v>
                </c:pt>
                <c:pt idx="4">
                  <c:v>2026 N</c:v>
                </c:pt>
                <c:pt idx="5">
                  <c:v>2027 N</c:v>
                </c:pt>
              </c:strCache>
            </c:strRef>
          </c:cat>
          <c:val>
            <c:numRef>
              <c:f>Dlh!$C$5:$H$5</c:f>
              <c:numCache>
                <c:formatCode>0.00</c:formatCode>
                <c:ptCount val="6"/>
                <c:pt idx="0">
                  <c:v>57.85</c:v>
                </c:pt>
                <c:pt idx="1">
                  <c:v>56.04</c:v>
                </c:pt>
                <c:pt idx="2">
                  <c:v>58.89</c:v>
                </c:pt>
                <c:pt idx="3">
                  <c:v>59.56</c:v>
                </c:pt>
                <c:pt idx="4">
                  <c:v>60.36</c:v>
                </c:pt>
                <c:pt idx="5">
                  <c:v>60.52</c:v>
                </c:pt>
              </c:numCache>
            </c:numRef>
          </c:val>
          <c:extLst>
            <c:ext xmlns:c16="http://schemas.microsoft.com/office/drawing/2014/chart" uri="{C3380CC4-5D6E-409C-BE32-E72D297353CC}">
              <c16:uniqueId val="{00000002-066F-497D-A30D-9B3476F05EED}"/>
            </c:ext>
          </c:extLst>
        </c:ser>
        <c:ser>
          <c:idx val="2"/>
          <c:order val="2"/>
          <c:tx>
            <c:strRef>
              <c:f>Dlh!$B$6</c:f>
              <c:strCache>
                <c:ptCount val="1"/>
                <c:pt idx="0">
                  <c:v>Po jesennej notifikácii</c:v>
                </c:pt>
              </c:strCache>
            </c:strRef>
          </c:tx>
          <c:spPr>
            <a:pattFill prst="ltDnDiag">
              <a:fgClr>
                <a:schemeClr val="accent6"/>
              </a:fgClr>
              <a:bgClr>
                <a:schemeClr val="bg1"/>
              </a:bgClr>
            </a:pattFill>
            <a:ln>
              <a:solidFill>
                <a:schemeClr val="accent6"/>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solidFill>
                    <a:latin typeface="Segoe UI" panose="020B0502040204020203" pitchFamily="34" charset="0"/>
                    <a:ea typeface="+mn-ea"/>
                    <a:cs typeface="Segoe UI" panose="020B0502040204020203" pitchFamily="34" charset="0"/>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Dlh!$C$3:$H$3</c:f>
              <c:strCache>
                <c:ptCount val="6"/>
                <c:pt idx="0">
                  <c:v>2022</c:v>
                </c:pt>
                <c:pt idx="1">
                  <c:v>2023</c:v>
                </c:pt>
                <c:pt idx="2">
                  <c:v>2024 OS</c:v>
                </c:pt>
                <c:pt idx="3">
                  <c:v>2025 N</c:v>
                </c:pt>
                <c:pt idx="4">
                  <c:v>2026 N</c:v>
                </c:pt>
                <c:pt idx="5">
                  <c:v>2027 N</c:v>
                </c:pt>
              </c:strCache>
            </c:strRef>
          </c:cat>
          <c:val>
            <c:numRef>
              <c:f>Dlh!$C$6:$H$6</c:f>
              <c:numCache>
                <c:formatCode>0.00</c:formatCode>
                <c:ptCount val="6"/>
                <c:pt idx="0">
                  <c:v>57.68</c:v>
                </c:pt>
                <c:pt idx="1">
                  <c:v>56.05</c:v>
                </c:pt>
                <c:pt idx="2">
                  <c:v>58.59</c:v>
                </c:pt>
              </c:numCache>
            </c:numRef>
          </c:val>
          <c:extLst>
            <c:ext xmlns:c16="http://schemas.microsoft.com/office/drawing/2014/chart" uri="{C3380CC4-5D6E-409C-BE32-E72D297353CC}">
              <c16:uniqueId val="{00000003-066F-497D-A30D-9B3476F05EED}"/>
            </c:ext>
          </c:extLst>
        </c:ser>
        <c:dLbls>
          <c:showLegendKey val="0"/>
          <c:showVal val="0"/>
          <c:showCatName val="0"/>
          <c:showSerName val="0"/>
          <c:showPercent val="0"/>
          <c:showBubbleSize val="0"/>
        </c:dLbls>
        <c:gapWidth val="100"/>
        <c:axId val="662416495"/>
        <c:axId val="662417743"/>
      </c:barChart>
      <c:lineChart>
        <c:grouping val="standard"/>
        <c:varyColors val="0"/>
        <c:ser>
          <c:idx val="3"/>
          <c:order val="3"/>
          <c:tx>
            <c:strRef>
              <c:f>Dlh!$B$7</c:f>
              <c:strCache>
                <c:ptCount val="1"/>
                <c:pt idx="0">
                  <c:v>5. sankčné pásmo</c:v>
                </c:pt>
              </c:strCache>
            </c:strRef>
          </c:tx>
          <c:spPr>
            <a:ln w="25400" cap="rnd">
              <a:solidFill>
                <a:schemeClr val="accent5"/>
              </a:solidFill>
              <a:prstDash val="sysDash"/>
              <a:round/>
            </a:ln>
            <a:effectLst/>
          </c:spPr>
          <c:marker>
            <c:symbol val="none"/>
          </c:marker>
          <c:cat>
            <c:strRef>
              <c:f>Dlh!$C$3:$H$3</c:f>
              <c:strCache>
                <c:ptCount val="6"/>
                <c:pt idx="0">
                  <c:v>2022</c:v>
                </c:pt>
                <c:pt idx="1">
                  <c:v>2023</c:v>
                </c:pt>
                <c:pt idx="2">
                  <c:v>2024 OS</c:v>
                </c:pt>
                <c:pt idx="3">
                  <c:v>2025 N</c:v>
                </c:pt>
                <c:pt idx="4">
                  <c:v>2026 N</c:v>
                </c:pt>
                <c:pt idx="5">
                  <c:v>2027 N</c:v>
                </c:pt>
              </c:strCache>
            </c:strRef>
          </c:cat>
          <c:val>
            <c:numRef>
              <c:f>Dlh!$C$7:$H$7</c:f>
              <c:numCache>
                <c:formatCode>0.00</c:formatCode>
                <c:ptCount val="6"/>
                <c:pt idx="0">
                  <c:v>56</c:v>
                </c:pt>
                <c:pt idx="1">
                  <c:v>55</c:v>
                </c:pt>
                <c:pt idx="2">
                  <c:v>54</c:v>
                </c:pt>
                <c:pt idx="3">
                  <c:v>53</c:v>
                </c:pt>
                <c:pt idx="4">
                  <c:v>52</c:v>
                </c:pt>
                <c:pt idx="5">
                  <c:v>51</c:v>
                </c:pt>
              </c:numCache>
            </c:numRef>
          </c:val>
          <c:smooth val="0"/>
          <c:extLst>
            <c:ext xmlns:c16="http://schemas.microsoft.com/office/drawing/2014/chart" uri="{C3380CC4-5D6E-409C-BE32-E72D297353CC}">
              <c16:uniqueId val="{00000004-066F-497D-A30D-9B3476F05EED}"/>
            </c:ext>
          </c:extLst>
        </c:ser>
        <c:dLbls>
          <c:showLegendKey val="0"/>
          <c:showVal val="0"/>
          <c:showCatName val="0"/>
          <c:showSerName val="0"/>
          <c:showPercent val="0"/>
          <c:showBubbleSize val="0"/>
        </c:dLbls>
        <c:marker val="1"/>
        <c:smooth val="0"/>
        <c:axId val="662416495"/>
        <c:axId val="662417743"/>
      </c:lineChart>
      <c:catAx>
        <c:axId val="662416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662417743"/>
        <c:crosses val="autoZero"/>
        <c:auto val="1"/>
        <c:lblAlgn val="ctr"/>
        <c:lblOffset val="100"/>
        <c:noMultiLvlLbl val="0"/>
      </c:catAx>
      <c:valAx>
        <c:axId val="6624177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6624164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'V:\STANOVISKÁ\Stanovisko k návrhu ŠR 2025\[STANOVISKO_k_návrhu_ŠR_na_rok_2025.xlsx]Výdavky na dlh'!$B$5</c:f>
              <c:strCache>
                <c:ptCount val="1"/>
                <c:pt idx="0">
                  <c:v>Výdavky spojené so správou štátneho dlhu</c:v>
                </c:pt>
              </c:strCache>
            </c:strRef>
          </c:tx>
          <c:spPr>
            <a:solidFill>
              <a:srgbClr val="4472C4">
                <a:lumMod val="60000"/>
                <a:lumOff val="40000"/>
              </a:srgb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3"/>
                    </a:solidFill>
                    <a:latin typeface="Segoe UI" panose="020B0502040204020203" pitchFamily="34" charset="0"/>
                    <a:ea typeface="+mn-ea"/>
                    <a:cs typeface="Segoe UI" panose="020B0502040204020203"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'V:\STANOVISKÁ\Stanovisko k návrhu ŠR 2025\[STANOVISKO_k_návrhu_ŠR_na_rok_2025.xlsx]Výdavky na dlh'!$L$3:$T$3</c:f>
              <c:strCache>
                <c:ptCount val="9"/>
                <c:pt idx="0">
                  <c:v>2019</c:v>
                </c:pt>
                <c:pt idx="1">
                  <c:v>2020</c:v>
                </c:pt>
                <c:pt idx="2">
                  <c:v>2021</c:v>
                </c:pt>
                <c:pt idx="3">
                  <c:v>2022</c:v>
                </c:pt>
                <c:pt idx="4">
                  <c:v>2023</c:v>
                </c:pt>
                <c:pt idx="5">
                  <c:v>2024 OS</c:v>
                </c:pt>
                <c:pt idx="6">
                  <c:v>2025 N</c:v>
                </c:pt>
                <c:pt idx="7">
                  <c:v>2026 N</c:v>
                </c:pt>
                <c:pt idx="8">
                  <c:v>2027 N</c:v>
                </c:pt>
              </c:strCache>
            </c:strRef>
          </c:cat>
          <c:val>
            <c:numRef>
              <c:f>'V:\STANOVISKÁ\Stanovisko k návrhu ŠR 2025\[STANOVISKO_k_návrhu_ŠR_na_rok_2025.xlsx]Výdavky na dlh'!$L$5:$T$5</c:f>
              <c:numCache>
                <c:formatCode>General</c:formatCode>
                <c:ptCount val="9"/>
                <c:pt idx="0">
                  <c:v>1037.1780000000001</c:v>
                </c:pt>
                <c:pt idx="1">
                  <c:v>796.97299999999996</c:v>
                </c:pt>
                <c:pt idx="2">
                  <c:v>657.48800000000006</c:v>
                </c:pt>
                <c:pt idx="3">
                  <c:v>1059.3309999999999</c:v>
                </c:pt>
                <c:pt idx="4">
                  <c:v>1073.1890000000001</c:v>
                </c:pt>
                <c:pt idx="5">
                  <c:v>1264</c:v>
                </c:pt>
                <c:pt idx="6">
                  <c:v>1646</c:v>
                </c:pt>
                <c:pt idx="7">
                  <c:v>1979</c:v>
                </c:pt>
                <c:pt idx="8">
                  <c:v>2367</c:v>
                </c:pt>
              </c:numCache>
            </c:numRef>
          </c:val>
          <c:extLst xmlns:c15="http://schemas.microsoft.com/office/drawing/2012/chart">
            <c:ext xmlns:c16="http://schemas.microsoft.com/office/drawing/2014/chart" uri="{C3380CC4-5D6E-409C-BE32-E72D297353CC}">
              <c16:uniqueId val="{00000000-ABBD-4767-95A8-3E1C1CA905AE}"/>
            </c:ext>
          </c:extLst>
        </c:ser>
        <c:dLbls>
          <c:showLegendKey val="0"/>
          <c:showVal val="0"/>
          <c:showCatName val="0"/>
          <c:showSerName val="0"/>
          <c:showPercent val="0"/>
          <c:showBubbleSize val="0"/>
        </c:dLbls>
        <c:gapWidth val="100"/>
        <c:axId val="1821113199"/>
        <c:axId val="1821115279"/>
        <c:extLst/>
      </c:barChart>
      <c:catAx>
        <c:axId val="1821113199"/>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821115279"/>
        <c:crosses val="autoZero"/>
        <c:auto val="1"/>
        <c:lblAlgn val="ctr"/>
        <c:lblOffset val="100"/>
        <c:noMultiLvlLbl val="0"/>
      </c:catAx>
      <c:valAx>
        <c:axId val="18211152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821113199"/>
        <c:crosses val="autoZero"/>
        <c:crossBetween val="between"/>
      </c:valAx>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'16'!$D$2</c:f>
              <c:strCache>
                <c:ptCount val="1"/>
                <c:pt idx="0">
                  <c:v>Čerpanie za zdroj EÚ (pravá 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'16'!$B$3:$B$12</c:f>
              <c:strCache>
                <c:ptCount val="10"/>
                <c:pt idx="0">
                  <c:v>IROP</c:v>
                </c:pt>
                <c:pt idx="1">
                  <c:v>OP TP</c:v>
                </c:pt>
                <c:pt idx="2">
                  <c:v>OP II</c:v>
                </c:pt>
                <c:pt idx="3">
                  <c:v>PS INTERACT III </c:v>
                </c:pt>
                <c:pt idx="4">
                  <c:v>OP ĽZ</c:v>
                </c:pt>
                <c:pt idx="5">
                  <c:v>OP EVS</c:v>
                </c:pt>
                <c:pt idx="6">
                  <c:v>OP KŽP</c:v>
                </c:pt>
                <c:pt idx="7">
                  <c:v>Interreg V-A SK-CZ </c:v>
                </c:pt>
                <c:pt idx="8">
                  <c:v>Interreg V-A SK-AT </c:v>
                </c:pt>
                <c:pt idx="9">
                  <c:v>OP RH </c:v>
                </c:pt>
              </c:strCache>
            </c:strRef>
          </c:cat>
          <c:val>
            <c:numRef>
              <c:f>'16'!$D$3:$D$12</c:f>
              <c:numCache>
                <c:formatCode>_-* #\ ##0.0_-;\-* #\ ##0.0_-;_-* "-"??_-;_-@_-</c:formatCode>
                <c:ptCount val="10"/>
                <c:pt idx="0">
                  <c:v>2117.1414350999999</c:v>
                </c:pt>
                <c:pt idx="1">
                  <c:v>159.06311476999997</c:v>
                </c:pt>
                <c:pt idx="2">
                  <c:v>5964.2350981099999</c:v>
                </c:pt>
                <c:pt idx="3">
                  <c:v>39.115381119999995</c:v>
                </c:pt>
                <c:pt idx="4">
                  <c:v>2965.3633829730002</c:v>
                </c:pt>
                <c:pt idx="5">
                  <c:v>350.13568682999994</c:v>
                </c:pt>
                <c:pt idx="6">
                  <c:v>2786.9603015900002</c:v>
                </c:pt>
                <c:pt idx="7">
                  <c:v>87.819161744699997</c:v>
                </c:pt>
                <c:pt idx="8">
                  <c:v>69.050909829999995</c:v>
                </c:pt>
                <c:pt idx="9">
                  <c:v>4.1647171600000004</c:v>
                </c:pt>
              </c:numCache>
            </c:numRef>
          </c:val>
          <c:extLst>
            <c:ext xmlns:c16="http://schemas.microsoft.com/office/drawing/2014/chart" uri="{C3380CC4-5D6E-409C-BE32-E72D297353CC}">
              <c16:uniqueId val="{00000000-B377-41C6-99A6-94BC69262AEA}"/>
            </c:ext>
          </c:extLst>
        </c:ser>
        <c:dLbls>
          <c:showLegendKey val="0"/>
          <c:showVal val="0"/>
          <c:showCatName val="0"/>
          <c:showSerName val="0"/>
          <c:showPercent val="0"/>
          <c:showBubbleSize val="0"/>
        </c:dLbls>
        <c:gapWidth val="100"/>
        <c:axId val="282962383"/>
        <c:axId val="282961967"/>
      </c:barChart>
      <c:lineChart>
        <c:grouping val="standard"/>
        <c:varyColors val="0"/>
        <c:ser>
          <c:idx val="1"/>
          <c:order val="1"/>
          <c:tx>
            <c:strRef>
              <c:f>'16'!$E$2</c:f>
              <c:strCache>
                <c:ptCount val="1"/>
                <c:pt idx="0">
                  <c:v>Miera čerpania</c:v>
                </c:pt>
              </c:strCache>
            </c:strRef>
          </c:tx>
          <c:spPr>
            <a:ln w="25400" cap="rnd">
              <a:noFill/>
              <a:round/>
            </a:ln>
            <a:effectLst/>
          </c:spPr>
          <c:marker>
            <c:symbol val="diamond"/>
            <c:size val="5"/>
            <c:spPr>
              <a:solidFill>
                <a:schemeClr val="accent6"/>
              </a:solidFill>
              <a:ln w="9525">
                <a:solidFill>
                  <a:schemeClr val="accent6"/>
                </a:solidFill>
              </a:ln>
              <a:effectLst/>
            </c:spPr>
          </c:marker>
          <c:cat>
            <c:strRef>
              <c:f>'16'!$B$3:$B$12</c:f>
              <c:strCache>
                <c:ptCount val="10"/>
                <c:pt idx="0">
                  <c:v>IROP</c:v>
                </c:pt>
                <c:pt idx="1">
                  <c:v>OP TP</c:v>
                </c:pt>
                <c:pt idx="2">
                  <c:v>OP II</c:v>
                </c:pt>
                <c:pt idx="3">
                  <c:v>PS INTERACT III </c:v>
                </c:pt>
                <c:pt idx="4">
                  <c:v>OP ĽZ</c:v>
                </c:pt>
                <c:pt idx="5">
                  <c:v>OP EVS</c:v>
                </c:pt>
                <c:pt idx="6">
                  <c:v>OP KŽP</c:v>
                </c:pt>
                <c:pt idx="7">
                  <c:v>Interreg V-A SK-CZ </c:v>
                </c:pt>
                <c:pt idx="8">
                  <c:v>Interreg V-A SK-AT </c:v>
                </c:pt>
                <c:pt idx="9">
                  <c:v>OP RH </c:v>
                </c:pt>
              </c:strCache>
            </c:strRef>
          </c:cat>
          <c:val>
            <c:numRef>
              <c:f>'16'!$E$3:$E$12</c:f>
              <c:numCache>
                <c:formatCode>0.0%</c:formatCode>
                <c:ptCount val="10"/>
                <c:pt idx="0">
                  <c:v>1.0937202833075086</c:v>
                </c:pt>
                <c:pt idx="1">
                  <c:v>0.99994469652190998</c:v>
                </c:pt>
                <c:pt idx="2">
                  <c:v>0.99239550959624756</c:v>
                </c:pt>
                <c:pt idx="3">
                  <c:v>0.99296281732551028</c:v>
                </c:pt>
                <c:pt idx="4">
                  <c:v>0.98962315018259495</c:v>
                </c:pt>
                <c:pt idx="5">
                  <c:v>0.98725593999564132</c:v>
                </c:pt>
                <c:pt idx="6">
                  <c:v>0.98391156751881825</c:v>
                </c:pt>
                <c:pt idx="7">
                  <c:v>0.97425876327552552</c:v>
                </c:pt>
                <c:pt idx="8">
                  <c:v>0.90984939417280564</c:v>
                </c:pt>
                <c:pt idx="9">
                  <c:v>0.53831389929110951</c:v>
                </c:pt>
              </c:numCache>
            </c:numRef>
          </c:val>
          <c:smooth val="0"/>
          <c:extLst>
            <c:ext xmlns:c16="http://schemas.microsoft.com/office/drawing/2014/chart" uri="{C3380CC4-5D6E-409C-BE32-E72D297353CC}">
              <c16:uniqueId val="{00000001-B377-41C6-99A6-94BC69262AEA}"/>
            </c:ext>
          </c:extLst>
        </c:ser>
        <c:dLbls>
          <c:showLegendKey val="0"/>
          <c:showVal val="0"/>
          <c:showCatName val="0"/>
          <c:showSerName val="0"/>
          <c:showPercent val="0"/>
          <c:showBubbleSize val="0"/>
        </c:dLbls>
        <c:marker val="1"/>
        <c:smooth val="0"/>
        <c:axId val="533257183"/>
        <c:axId val="533263007"/>
      </c:lineChart>
      <c:catAx>
        <c:axId val="533257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533263007"/>
        <c:crosses val="autoZero"/>
        <c:auto val="1"/>
        <c:lblAlgn val="ctr"/>
        <c:lblOffset val="100"/>
        <c:noMultiLvlLbl val="0"/>
      </c:catAx>
      <c:valAx>
        <c:axId val="533263007"/>
        <c:scaling>
          <c:orientation val="minMax"/>
        </c:scaling>
        <c:delete val="0"/>
        <c:axPos val="l"/>
        <c:majorGridlines>
          <c:spPr>
            <a:ln w="9525" cap="flat" cmpd="sng" algn="ctr">
              <a:solidFill>
                <a:schemeClr val="tx1">
                  <a:lumMod val="15000"/>
                  <a:lumOff val="85000"/>
                </a:schemeClr>
              </a:solidFill>
              <a:round/>
            </a:ln>
            <a:effectLst/>
          </c:spPr>
        </c:majorGridlines>
        <c:numFmt formatCode="0\ %"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533257183"/>
        <c:crosses val="autoZero"/>
        <c:crossBetween val="between"/>
      </c:valAx>
      <c:valAx>
        <c:axId val="282961967"/>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282962383"/>
        <c:crosses val="max"/>
        <c:crossBetween val="between"/>
      </c:valAx>
      <c:catAx>
        <c:axId val="282962383"/>
        <c:scaling>
          <c:orientation val="minMax"/>
        </c:scaling>
        <c:delete val="1"/>
        <c:axPos val="b"/>
        <c:numFmt formatCode="General" sourceLinked="1"/>
        <c:majorTickMark val="out"/>
        <c:minorTickMark val="none"/>
        <c:tickLblPos val="nextTo"/>
        <c:crossAx val="282961967"/>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352879955426135E-2"/>
          <c:y val="6.916064130776485E-2"/>
          <c:w val="0.85265463312413048"/>
          <c:h val="0.58087215677732207"/>
        </c:manualLayout>
      </c:layout>
      <c:barChart>
        <c:barDir val="col"/>
        <c:grouping val="clustered"/>
        <c:varyColors val="0"/>
        <c:ser>
          <c:idx val="0"/>
          <c:order val="0"/>
          <c:tx>
            <c:strRef>
              <c:f>'17'!$C$2</c:f>
              <c:strCache>
                <c:ptCount val="1"/>
                <c:pt idx="0">
                  <c:v>Čerpanie z alokácie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'17'!$B$3:$B$7</c:f>
              <c:strCache>
                <c:ptCount val="5"/>
                <c:pt idx="0">
                  <c:v>Program Slovensko</c:v>
                </c:pt>
                <c:pt idx="1">
                  <c:v>Interreg SK-CZ</c:v>
                </c:pt>
                <c:pt idx="2">
                  <c:v>Interreg SK-AT</c:v>
                </c:pt>
                <c:pt idx="3">
                  <c:v>Program Rybné hospodárstvo</c:v>
                </c:pt>
                <c:pt idx="4">
                  <c:v>Interact IV</c:v>
                </c:pt>
              </c:strCache>
            </c:strRef>
          </c:cat>
          <c:val>
            <c:numRef>
              <c:f>'17'!$C$3:$C$7</c:f>
              <c:numCache>
                <c:formatCode>_-* #\ ##0.0_-;\-* #\ ##0.0_-;_-* "-"??_-;_-@_-</c:formatCode>
                <c:ptCount val="5"/>
                <c:pt idx="0">
                  <c:v>144.689438</c:v>
                </c:pt>
                <c:pt idx="1">
                  <c:v>0</c:v>
                </c:pt>
                <c:pt idx="2">
                  <c:v>0</c:v>
                </c:pt>
                <c:pt idx="3">
                  <c:v>0</c:v>
                </c:pt>
                <c:pt idx="4">
                  <c:v>4.9334499999999997</c:v>
                </c:pt>
              </c:numCache>
            </c:numRef>
          </c:val>
          <c:extLst>
            <c:ext xmlns:c16="http://schemas.microsoft.com/office/drawing/2014/chart" uri="{C3380CC4-5D6E-409C-BE32-E72D297353CC}">
              <c16:uniqueId val="{00000000-EC8D-47F0-8289-6F7DD735433B}"/>
            </c:ext>
          </c:extLst>
        </c:ser>
        <c:ser>
          <c:idx val="2"/>
          <c:order val="2"/>
          <c:tx>
            <c:strRef>
              <c:f>'17'!$E$2</c:f>
              <c:strCache>
                <c:ptCount val="1"/>
                <c:pt idx="0">
                  <c:v>Potrebné ešte vyčerpať do 31. 12. 2025 pre splnenie n+3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2"/>
                    </a:solidFill>
                    <a:latin typeface="Segoe UI" panose="020B0502040204020203" pitchFamily="34" charset="0"/>
                    <a:ea typeface="+mn-ea"/>
                    <a:cs typeface="Segoe UI" panose="020B0502040204020203" pitchFamily="34" charset="0"/>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'17'!$B$3:$B$7</c:f>
              <c:strCache>
                <c:ptCount val="5"/>
                <c:pt idx="0">
                  <c:v>Program Slovensko</c:v>
                </c:pt>
                <c:pt idx="1">
                  <c:v>Interreg SK-CZ</c:v>
                </c:pt>
                <c:pt idx="2">
                  <c:v>Interreg SK-AT</c:v>
                </c:pt>
                <c:pt idx="3">
                  <c:v>Program Rybné hospodárstvo</c:v>
                </c:pt>
                <c:pt idx="4">
                  <c:v>Interact IV</c:v>
                </c:pt>
              </c:strCache>
            </c:strRef>
          </c:cat>
          <c:val>
            <c:numRef>
              <c:f>'17'!$E$3:$E$7</c:f>
              <c:numCache>
                <c:formatCode>_-* #\ ##0.0_-;\-* #\ ##0.0_-;_-* "-"??_-;_-@_-</c:formatCode>
                <c:ptCount val="5"/>
                <c:pt idx="0">
                  <c:v>1406.29458</c:v>
                </c:pt>
                <c:pt idx="1">
                  <c:v>5.1902489999999997</c:v>
                </c:pt>
                <c:pt idx="2">
                  <c:v>3.3760750000000002</c:v>
                </c:pt>
                <c:pt idx="3">
                  <c:v>0</c:v>
                </c:pt>
                <c:pt idx="4">
                  <c:v>0</c:v>
                </c:pt>
              </c:numCache>
            </c:numRef>
          </c:val>
          <c:extLst>
            <c:ext xmlns:c16="http://schemas.microsoft.com/office/drawing/2014/chart" uri="{C3380CC4-5D6E-409C-BE32-E72D297353CC}">
              <c16:uniqueId val="{00000001-EC8D-47F0-8289-6F7DD735433B}"/>
            </c:ext>
          </c:extLst>
        </c:ser>
        <c:dLbls>
          <c:showLegendKey val="0"/>
          <c:showVal val="0"/>
          <c:showCatName val="0"/>
          <c:showSerName val="0"/>
          <c:showPercent val="0"/>
          <c:showBubbleSize val="0"/>
        </c:dLbls>
        <c:gapWidth val="100"/>
        <c:axId val="530287487"/>
        <c:axId val="530290399"/>
      </c:barChart>
      <c:lineChart>
        <c:grouping val="standard"/>
        <c:varyColors val="0"/>
        <c:ser>
          <c:idx val="1"/>
          <c:order val="1"/>
          <c:tx>
            <c:strRef>
              <c:f>'17'!$D$2</c:f>
              <c:strCache>
                <c:ptCount val="1"/>
                <c:pt idx="0">
                  <c:v>Podiel čerpania na alokácii (ľavá os)</c:v>
                </c:pt>
              </c:strCache>
            </c:strRef>
          </c:tx>
          <c:spPr>
            <a:ln w="28575" cap="rnd">
              <a:noFill/>
              <a:round/>
            </a:ln>
            <a:effectLst/>
          </c:spPr>
          <c:marker>
            <c:symbol val="diamond"/>
            <c:size val="5"/>
            <c:spPr>
              <a:solidFill>
                <a:schemeClr val="accent6"/>
              </a:solidFill>
              <a:ln w="9525">
                <a:solidFill>
                  <a:schemeClr val="accent6"/>
                </a:solidFill>
              </a:ln>
              <a:effectLst/>
            </c:spPr>
          </c:marker>
          <c:cat>
            <c:strRef>
              <c:f>'17'!$B$3:$B$7</c:f>
              <c:strCache>
                <c:ptCount val="5"/>
                <c:pt idx="0">
                  <c:v>Program Slovensko</c:v>
                </c:pt>
                <c:pt idx="1">
                  <c:v>Interreg SK-CZ</c:v>
                </c:pt>
                <c:pt idx="2">
                  <c:v>Interreg SK-AT</c:v>
                </c:pt>
                <c:pt idx="3">
                  <c:v>Program Rybné hospodárstvo</c:v>
                </c:pt>
                <c:pt idx="4">
                  <c:v>Interact IV</c:v>
                </c:pt>
              </c:strCache>
            </c:strRef>
          </c:cat>
          <c:val>
            <c:numRef>
              <c:f>'17'!$D$3:$D$7</c:f>
              <c:numCache>
                <c:formatCode>0.0%</c:formatCode>
                <c:ptCount val="5"/>
                <c:pt idx="0">
                  <c:v>1.1489001378047346E-2</c:v>
                </c:pt>
                <c:pt idx="1">
                  <c:v>0</c:v>
                </c:pt>
                <c:pt idx="2">
                  <c:v>0</c:v>
                </c:pt>
                <c:pt idx="3">
                  <c:v>0</c:v>
                </c:pt>
                <c:pt idx="4">
                  <c:v>0.10963222222222221</c:v>
                </c:pt>
              </c:numCache>
            </c:numRef>
          </c:val>
          <c:smooth val="0"/>
          <c:extLst>
            <c:ext xmlns:c16="http://schemas.microsoft.com/office/drawing/2014/chart" uri="{C3380CC4-5D6E-409C-BE32-E72D297353CC}">
              <c16:uniqueId val="{00000002-EC8D-47F0-8289-6F7DD735433B}"/>
            </c:ext>
          </c:extLst>
        </c:ser>
        <c:dLbls>
          <c:showLegendKey val="0"/>
          <c:showVal val="0"/>
          <c:showCatName val="0"/>
          <c:showSerName val="0"/>
          <c:showPercent val="0"/>
          <c:showBubbleSize val="0"/>
        </c:dLbls>
        <c:marker val="1"/>
        <c:smooth val="0"/>
        <c:axId val="601098815"/>
        <c:axId val="601115039"/>
      </c:lineChart>
      <c:catAx>
        <c:axId val="601098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601115039"/>
        <c:crosses val="autoZero"/>
        <c:auto val="1"/>
        <c:lblAlgn val="ctr"/>
        <c:lblOffset val="100"/>
        <c:noMultiLvlLbl val="0"/>
      </c:catAx>
      <c:valAx>
        <c:axId val="601115039"/>
        <c:scaling>
          <c:orientation val="minMax"/>
        </c:scaling>
        <c:delete val="0"/>
        <c:axPos val="l"/>
        <c:majorGridlines>
          <c:spPr>
            <a:ln w="9525" cap="flat" cmpd="sng" algn="ctr">
              <a:solidFill>
                <a:schemeClr val="tx1">
                  <a:lumMod val="15000"/>
                  <a:lumOff val="85000"/>
                </a:schemeClr>
              </a:solidFill>
              <a:round/>
            </a:ln>
            <a:effectLst/>
          </c:spPr>
        </c:majorGridlines>
        <c:numFmt formatCode="0\ %"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601098815"/>
        <c:crosses val="autoZero"/>
        <c:crossBetween val="between"/>
        <c:majorUnit val="2.0000000000000004E-2"/>
      </c:valAx>
      <c:valAx>
        <c:axId val="530290399"/>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530287487"/>
        <c:crosses val="max"/>
        <c:crossBetween val="between"/>
        <c:majorUnit val="250"/>
      </c:valAx>
      <c:catAx>
        <c:axId val="530287487"/>
        <c:scaling>
          <c:orientation val="minMax"/>
        </c:scaling>
        <c:delete val="1"/>
        <c:axPos val="b"/>
        <c:numFmt formatCode="General" sourceLinked="1"/>
        <c:majorTickMark val="out"/>
        <c:minorTickMark val="none"/>
        <c:tickLblPos val="nextTo"/>
        <c:crossAx val="530290399"/>
        <c:crosses val="autoZero"/>
        <c:auto val="1"/>
        <c:lblAlgn val="ctr"/>
        <c:lblOffset val="100"/>
        <c:noMultiLvlLbl val="0"/>
      </c:catAx>
      <c:spPr>
        <a:noFill/>
        <a:ln>
          <a:noFill/>
        </a:ln>
        <a:effectLst/>
      </c:spPr>
    </c:plotArea>
    <c:legend>
      <c:legendPos val="b"/>
      <c:layout>
        <c:manualLayout>
          <c:xMode val="edge"/>
          <c:yMode val="edge"/>
          <c:x val="0"/>
          <c:y val="0.80436647713911591"/>
          <c:w val="1"/>
          <c:h val="0.1579095366930123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'18'!$C$2</c:f>
              <c:strCache>
                <c:ptCount val="1"/>
                <c:pt idx="0">
                  <c:v>Alokované vo výzvach </c:v>
                </c:pt>
              </c:strCache>
            </c:strRef>
          </c:tx>
          <c:spPr>
            <a:solidFill>
              <a:schemeClr val="accent1"/>
            </a:solidFill>
            <a:ln>
              <a:noFill/>
            </a:ln>
            <a:effectLst/>
          </c:spPr>
          <c:invertIfNegative val="0"/>
          <c:cat>
            <c:strRef>
              <c:f>'18'!$B$3:$B$9</c:f>
              <c:strCache>
                <c:ptCount val="7"/>
                <c:pt idx="0">
                  <c:v>Konkuren. a inteligentnejšia Európa</c:v>
                </c:pt>
                <c:pt idx="1">
                  <c:v>Zelenšia, nízkouhlík, a odolná Európa</c:v>
                </c:pt>
                <c:pt idx="2">
                  <c:v>Prepojenejšia Európa</c:v>
                </c:pt>
                <c:pt idx="3">
                  <c:v>Sociálnejšia a inkluz. Európa</c:v>
                </c:pt>
                <c:pt idx="4">
                  <c:v>Európa bližšie k občanom</c:v>
                </c:pt>
                <c:pt idx="5">
                  <c:v>FST</c:v>
                </c:pt>
                <c:pt idx="6">
                  <c:v>Technická pomoc</c:v>
                </c:pt>
              </c:strCache>
            </c:strRef>
          </c:cat>
          <c:val>
            <c:numRef>
              <c:f>'18'!$C$3:$C$9</c:f>
              <c:numCache>
                <c:formatCode>_-* #\ ##0.0_-;\-* #\ ##0.0_-;_-* "-"??_-;_-@_-</c:formatCode>
                <c:ptCount val="7"/>
                <c:pt idx="0">
                  <c:v>521.54295022000008</c:v>
                </c:pt>
                <c:pt idx="1">
                  <c:v>2737.3973539100002</c:v>
                </c:pt>
                <c:pt idx="2">
                  <c:v>1027.5273412000001</c:v>
                </c:pt>
                <c:pt idx="3">
                  <c:v>2031.0569738199997</c:v>
                </c:pt>
                <c:pt idx="4">
                  <c:v>301.83301799999998</c:v>
                </c:pt>
                <c:pt idx="5">
                  <c:v>263.28016700000001</c:v>
                </c:pt>
                <c:pt idx="6">
                  <c:v>168.20731436</c:v>
                </c:pt>
              </c:numCache>
            </c:numRef>
          </c:val>
          <c:extLst>
            <c:ext xmlns:c16="http://schemas.microsoft.com/office/drawing/2014/chart" uri="{C3380CC4-5D6E-409C-BE32-E72D297353CC}">
              <c16:uniqueId val="{00000000-AD62-4402-ADE4-F472E9EEC7C9}"/>
            </c:ext>
          </c:extLst>
        </c:ser>
        <c:ser>
          <c:idx val="1"/>
          <c:order val="1"/>
          <c:tx>
            <c:strRef>
              <c:f>'18'!$D$2</c:f>
              <c:strCache>
                <c:ptCount val="1"/>
                <c:pt idx="0">
                  <c:v>Kontrahovanie </c:v>
                </c:pt>
              </c:strCache>
            </c:strRef>
          </c:tx>
          <c:spPr>
            <a:solidFill>
              <a:schemeClr val="accent2"/>
            </a:solidFill>
            <a:ln>
              <a:noFill/>
            </a:ln>
            <a:effectLst/>
          </c:spPr>
          <c:invertIfNegative val="0"/>
          <c:cat>
            <c:strRef>
              <c:f>'18'!$B$3:$B$9</c:f>
              <c:strCache>
                <c:ptCount val="7"/>
                <c:pt idx="0">
                  <c:v>Konkuren. a inteligentnejšia Európa</c:v>
                </c:pt>
                <c:pt idx="1">
                  <c:v>Zelenšia, nízkouhlík, a odolná Európa</c:v>
                </c:pt>
                <c:pt idx="2">
                  <c:v>Prepojenejšia Európa</c:v>
                </c:pt>
                <c:pt idx="3">
                  <c:v>Sociálnejšia a inkluz. Európa</c:v>
                </c:pt>
                <c:pt idx="4">
                  <c:v>Európa bližšie k občanom</c:v>
                </c:pt>
                <c:pt idx="5">
                  <c:v>FST</c:v>
                </c:pt>
                <c:pt idx="6">
                  <c:v>Technická pomoc</c:v>
                </c:pt>
              </c:strCache>
            </c:strRef>
          </c:cat>
          <c:val>
            <c:numRef>
              <c:f>'18'!$D$3:$D$9</c:f>
              <c:numCache>
                <c:formatCode>_-* #\ ##0.0_-;\-* #\ ##0.0_-;_-* "-"??_-;_-@_-</c:formatCode>
                <c:ptCount val="7"/>
                <c:pt idx="0">
                  <c:v>279.72738462000007</c:v>
                </c:pt>
                <c:pt idx="1">
                  <c:v>912.665076</c:v>
                </c:pt>
                <c:pt idx="2">
                  <c:v>226.42189901</c:v>
                </c:pt>
                <c:pt idx="3">
                  <c:v>1518.6432777299999</c:v>
                </c:pt>
                <c:pt idx="4">
                  <c:v>18.1847803</c:v>
                </c:pt>
                <c:pt idx="5">
                  <c:v>60.743022500000002</c:v>
                </c:pt>
                <c:pt idx="6">
                  <c:v>34.320424269999997</c:v>
                </c:pt>
              </c:numCache>
            </c:numRef>
          </c:val>
          <c:extLst>
            <c:ext xmlns:c16="http://schemas.microsoft.com/office/drawing/2014/chart" uri="{C3380CC4-5D6E-409C-BE32-E72D297353CC}">
              <c16:uniqueId val="{00000001-AD62-4402-ADE4-F472E9EEC7C9}"/>
            </c:ext>
          </c:extLst>
        </c:ser>
        <c:ser>
          <c:idx val="2"/>
          <c:order val="2"/>
          <c:tx>
            <c:strRef>
              <c:f>'18'!$E$2</c:f>
              <c:strCache>
                <c:ptCount val="1"/>
                <c:pt idx="0">
                  <c:v>Čerpanie </c:v>
                </c:pt>
              </c:strCache>
            </c:strRef>
          </c:tx>
          <c:spPr>
            <a:solidFill>
              <a:schemeClr val="accent3"/>
            </a:solidFill>
            <a:ln>
              <a:noFill/>
            </a:ln>
            <a:effectLst/>
          </c:spPr>
          <c:invertIfNegative val="0"/>
          <c:cat>
            <c:strRef>
              <c:f>'18'!$B$3:$B$9</c:f>
              <c:strCache>
                <c:ptCount val="7"/>
                <c:pt idx="0">
                  <c:v>Konkuren. a inteligentnejšia Európa</c:v>
                </c:pt>
                <c:pt idx="1">
                  <c:v>Zelenšia, nízkouhlík, a odolná Európa</c:v>
                </c:pt>
                <c:pt idx="2">
                  <c:v>Prepojenejšia Európa</c:v>
                </c:pt>
                <c:pt idx="3">
                  <c:v>Sociálnejšia a inkluz. Európa</c:v>
                </c:pt>
                <c:pt idx="4">
                  <c:v>Európa bližšie k občanom</c:v>
                </c:pt>
                <c:pt idx="5">
                  <c:v>FST</c:v>
                </c:pt>
                <c:pt idx="6">
                  <c:v>Technická pomoc</c:v>
                </c:pt>
              </c:strCache>
            </c:strRef>
          </c:cat>
          <c:val>
            <c:numRef>
              <c:f>'18'!$E$3:$E$9</c:f>
              <c:numCache>
                <c:formatCode>_-* #\ ##0.0_-;\-* #\ ##0.0_-;_-* "-"??_-;_-@_-</c:formatCode>
                <c:ptCount val="7"/>
                <c:pt idx="0">
                  <c:v>0.35333948999999998</c:v>
                </c:pt>
                <c:pt idx="1">
                  <c:v>87.432263250000005</c:v>
                </c:pt>
                <c:pt idx="2">
                  <c:v>0</c:v>
                </c:pt>
                <c:pt idx="3">
                  <c:v>53.047086379999996</c:v>
                </c:pt>
                <c:pt idx="4">
                  <c:v>0</c:v>
                </c:pt>
                <c:pt idx="5">
                  <c:v>1.6089908700000002</c:v>
                </c:pt>
                <c:pt idx="6">
                  <c:v>2.24775817</c:v>
                </c:pt>
              </c:numCache>
            </c:numRef>
          </c:val>
          <c:extLst>
            <c:ext xmlns:c16="http://schemas.microsoft.com/office/drawing/2014/chart" uri="{C3380CC4-5D6E-409C-BE32-E72D297353CC}">
              <c16:uniqueId val="{00000002-AD62-4402-ADE4-F472E9EEC7C9}"/>
            </c:ext>
          </c:extLst>
        </c:ser>
        <c:dLbls>
          <c:showLegendKey val="0"/>
          <c:showVal val="0"/>
          <c:showCatName val="0"/>
          <c:showSerName val="0"/>
          <c:showPercent val="0"/>
          <c:showBubbleSize val="0"/>
        </c:dLbls>
        <c:gapWidth val="100"/>
        <c:axId val="530248383"/>
        <c:axId val="530241727"/>
      </c:barChart>
      <c:lineChart>
        <c:grouping val="standard"/>
        <c:varyColors val="0"/>
        <c:ser>
          <c:idx val="3"/>
          <c:order val="3"/>
          <c:tx>
            <c:strRef>
              <c:f>'18'!$F$2</c:f>
              <c:strCache>
                <c:ptCount val="1"/>
                <c:pt idx="0">
                  <c:v>Miera čerpania z alokácie (ľavá os)</c:v>
                </c:pt>
              </c:strCache>
            </c:strRef>
          </c:tx>
          <c:spPr>
            <a:ln w="28575" cap="rnd">
              <a:noFill/>
              <a:round/>
            </a:ln>
            <a:effectLst/>
          </c:spPr>
          <c:marker>
            <c:symbol val="diamond"/>
            <c:size val="5"/>
            <c:spPr>
              <a:solidFill>
                <a:schemeClr val="accent6"/>
              </a:solidFill>
              <a:ln w="9525">
                <a:solidFill>
                  <a:schemeClr val="accent6"/>
                </a:solidFill>
              </a:ln>
              <a:effectLst/>
            </c:spPr>
          </c:marker>
          <c:cat>
            <c:strRef>
              <c:f>'18'!$B$3:$B$9</c:f>
              <c:strCache>
                <c:ptCount val="7"/>
                <c:pt idx="0">
                  <c:v>Konkuren. a inteligentnejšia Európa</c:v>
                </c:pt>
                <c:pt idx="1">
                  <c:v>Zelenšia, nízkouhlík, a odolná Európa</c:v>
                </c:pt>
                <c:pt idx="2">
                  <c:v>Prepojenejšia Európa</c:v>
                </c:pt>
                <c:pt idx="3">
                  <c:v>Sociálnejšia a inkluz. Európa</c:v>
                </c:pt>
                <c:pt idx="4">
                  <c:v>Európa bližšie k občanom</c:v>
                </c:pt>
                <c:pt idx="5">
                  <c:v>FST</c:v>
                </c:pt>
                <c:pt idx="6">
                  <c:v>Technická pomoc</c:v>
                </c:pt>
              </c:strCache>
            </c:strRef>
          </c:cat>
          <c:val>
            <c:numRef>
              <c:f>'18'!$F$3:$F$9</c:f>
              <c:numCache>
                <c:formatCode>0.0%</c:formatCode>
                <c:ptCount val="7"/>
                <c:pt idx="0">
                  <c:v>1.8693727481945875E-4</c:v>
                </c:pt>
                <c:pt idx="1">
                  <c:v>2.0829365074326235E-2</c:v>
                </c:pt>
                <c:pt idx="2">
                  <c:v>0</c:v>
                </c:pt>
                <c:pt idx="3">
                  <c:v>1.6314127088800881E-2</c:v>
                </c:pt>
                <c:pt idx="4">
                  <c:v>0</c:v>
                </c:pt>
                <c:pt idx="5">
                  <c:v>3.6513350180342259E-3</c:v>
                </c:pt>
                <c:pt idx="6">
                  <c:v>5.4792191772846839E-3</c:v>
                </c:pt>
              </c:numCache>
            </c:numRef>
          </c:val>
          <c:smooth val="0"/>
          <c:extLst>
            <c:ext xmlns:c16="http://schemas.microsoft.com/office/drawing/2014/chart" uri="{C3380CC4-5D6E-409C-BE32-E72D297353CC}">
              <c16:uniqueId val="{00000003-AD62-4402-ADE4-F472E9EEC7C9}"/>
            </c:ext>
          </c:extLst>
        </c:ser>
        <c:dLbls>
          <c:showLegendKey val="0"/>
          <c:showVal val="0"/>
          <c:showCatName val="0"/>
          <c:showSerName val="0"/>
          <c:showPercent val="0"/>
          <c:showBubbleSize val="0"/>
        </c:dLbls>
        <c:marker val="1"/>
        <c:smooth val="0"/>
        <c:axId val="601106719"/>
        <c:axId val="601096735"/>
      </c:lineChart>
      <c:catAx>
        <c:axId val="601106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601096735"/>
        <c:crosses val="autoZero"/>
        <c:auto val="1"/>
        <c:lblAlgn val="ctr"/>
        <c:lblOffset val="100"/>
        <c:noMultiLvlLbl val="0"/>
      </c:catAx>
      <c:valAx>
        <c:axId val="601096735"/>
        <c:scaling>
          <c:orientation val="minMax"/>
          <c:max val="3.0000000000000006E-2"/>
        </c:scaling>
        <c:delete val="0"/>
        <c:axPos val="l"/>
        <c:majorGridlines>
          <c:spPr>
            <a:ln w="9525" cap="flat" cmpd="sng" algn="ctr">
              <a:solidFill>
                <a:schemeClr val="tx1">
                  <a:lumMod val="15000"/>
                  <a:lumOff val="85000"/>
                </a:schemeClr>
              </a:solidFill>
              <a:round/>
            </a:ln>
            <a:effectLst/>
          </c:spPr>
        </c:majorGridlines>
        <c:numFmt formatCode="0.0\ %"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601106719"/>
        <c:crosses val="autoZero"/>
        <c:crossBetween val="between"/>
      </c:valAx>
      <c:valAx>
        <c:axId val="530241727"/>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530248383"/>
        <c:crosses val="max"/>
        <c:crossBetween val="between"/>
      </c:valAx>
      <c:catAx>
        <c:axId val="530248383"/>
        <c:scaling>
          <c:orientation val="minMax"/>
        </c:scaling>
        <c:delete val="1"/>
        <c:axPos val="b"/>
        <c:numFmt formatCode="General" sourceLinked="1"/>
        <c:majorTickMark val="out"/>
        <c:minorTickMark val="none"/>
        <c:tickLblPos val="nextTo"/>
        <c:crossAx val="530241727"/>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'19'!$C$2</c:f>
              <c:strCache>
                <c:ptCount val="1"/>
                <c:pt idx="0">
                  <c:v>Čerpanie</c:v>
                </c:pt>
              </c:strCache>
            </c:strRef>
          </c:tx>
          <c:spPr>
            <a:solidFill>
              <a:schemeClr val="accent1"/>
            </a:solidFill>
            <a:ln>
              <a:noFill/>
            </a:ln>
            <a:effectLst/>
          </c:spPr>
          <c:invertIfNegative val="0"/>
          <c:cat>
            <c:strRef>
              <c:f>'19'!$B$3:$B$4</c:f>
              <c:strCache>
                <c:ptCount val="2"/>
                <c:pt idx="0">
                  <c:v>EŠIF 2014 - 2020</c:v>
                </c:pt>
                <c:pt idx="1">
                  <c:v>Program Slovensko 2021 - 2027</c:v>
                </c:pt>
              </c:strCache>
            </c:strRef>
          </c:cat>
          <c:val>
            <c:numRef>
              <c:f>'19'!$C$3:$C$4</c:f>
              <c:numCache>
                <c:formatCode>_-* #\ ##0.0_-;\-* #\ ##0.0_-;_-* "-"??_-;_-@_-</c:formatCode>
                <c:ptCount val="2"/>
                <c:pt idx="0">
                  <c:v>189.65437484999998</c:v>
                </c:pt>
                <c:pt idx="1">
                  <c:v>144.68943816000001</c:v>
                </c:pt>
              </c:numCache>
            </c:numRef>
          </c:val>
          <c:extLst>
            <c:ext xmlns:c16="http://schemas.microsoft.com/office/drawing/2014/chart" uri="{C3380CC4-5D6E-409C-BE32-E72D297353CC}">
              <c16:uniqueId val="{00000000-5538-4781-B788-1B99588B65D8}"/>
            </c:ext>
          </c:extLst>
        </c:ser>
        <c:ser>
          <c:idx val="1"/>
          <c:order val="1"/>
          <c:tx>
            <c:strRef>
              <c:f>'19'!$D$2</c:f>
              <c:strCache>
                <c:ptCount val="1"/>
                <c:pt idx="0">
                  <c:v>Potrebné vyčerpať v zmysle pravidla n+3</c:v>
                </c:pt>
              </c:strCache>
            </c:strRef>
          </c:tx>
          <c:spPr>
            <a:solidFill>
              <a:schemeClr val="accent2"/>
            </a:solidFill>
            <a:ln>
              <a:noFill/>
            </a:ln>
            <a:effectLst/>
          </c:spPr>
          <c:invertIfNegative val="0"/>
          <c:cat>
            <c:strRef>
              <c:f>'19'!$B$3:$B$4</c:f>
              <c:strCache>
                <c:ptCount val="2"/>
                <c:pt idx="0">
                  <c:v>EŠIF 2014 - 2020</c:v>
                </c:pt>
                <c:pt idx="1">
                  <c:v>Program Slovensko 2021 - 2027</c:v>
                </c:pt>
              </c:strCache>
            </c:strRef>
          </c:cat>
          <c:val>
            <c:numRef>
              <c:f>'19'!$D$3:$D$4</c:f>
              <c:numCache>
                <c:formatCode>_-* #\ ##0.0_-;\-* #\ ##0.0_-;_-* "-"??_-;_-@_-</c:formatCode>
                <c:ptCount val="2"/>
                <c:pt idx="0">
                  <c:v>452.86083063000001</c:v>
                </c:pt>
                <c:pt idx="1">
                  <c:v>1406.29458</c:v>
                </c:pt>
              </c:numCache>
            </c:numRef>
          </c:val>
          <c:extLst>
            <c:ext xmlns:c16="http://schemas.microsoft.com/office/drawing/2014/chart" uri="{C3380CC4-5D6E-409C-BE32-E72D297353CC}">
              <c16:uniqueId val="{00000001-5538-4781-B788-1B99588B65D8}"/>
            </c:ext>
          </c:extLst>
        </c:ser>
        <c:dLbls>
          <c:showLegendKey val="0"/>
          <c:showVal val="0"/>
          <c:showCatName val="0"/>
          <c:showSerName val="0"/>
          <c:showPercent val="0"/>
          <c:showBubbleSize val="0"/>
        </c:dLbls>
        <c:gapWidth val="100"/>
        <c:axId val="282959471"/>
        <c:axId val="278308799"/>
      </c:barChart>
      <c:lineChart>
        <c:grouping val="standard"/>
        <c:varyColors val="0"/>
        <c:ser>
          <c:idx val="2"/>
          <c:order val="2"/>
          <c:tx>
            <c:strRef>
              <c:f>'19'!$E$2</c:f>
              <c:strCache>
                <c:ptCount val="1"/>
                <c:pt idx="0">
                  <c:v>Podiel čerpania na alokácii (ľavá os)</c:v>
                </c:pt>
              </c:strCache>
            </c:strRef>
          </c:tx>
          <c:spPr>
            <a:ln w="28575" cap="rnd">
              <a:noFill/>
              <a:round/>
            </a:ln>
            <a:effectLst/>
          </c:spPr>
          <c:marker>
            <c:symbol val="diamond"/>
            <c:size val="5"/>
            <c:spPr>
              <a:solidFill>
                <a:schemeClr val="accent6"/>
              </a:solidFill>
              <a:ln w="9525">
                <a:solidFill>
                  <a:schemeClr val="accent6"/>
                </a:solidFill>
              </a:ln>
              <a:effectLst/>
            </c:spPr>
          </c:marker>
          <c:cat>
            <c:strRef>
              <c:f>'19'!$B$3:$B$4</c:f>
              <c:strCache>
                <c:ptCount val="2"/>
                <c:pt idx="0">
                  <c:v>EŠIF 2014 - 2020</c:v>
                </c:pt>
                <c:pt idx="1">
                  <c:v>Program Slovensko 2021 - 2027</c:v>
                </c:pt>
              </c:strCache>
            </c:strRef>
          </c:cat>
          <c:val>
            <c:numRef>
              <c:f>'19'!$E$3:$E$4</c:f>
              <c:numCache>
                <c:formatCode>0.0%</c:formatCode>
                <c:ptCount val="2"/>
                <c:pt idx="0">
                  <c:v>1.3774695397509014E-2</c:v>
                </c:pt>
                <c:pt idx="1">
                  <c:v>1.1489001378047346E-2</c:v>
                </c:pt>
              </c:numCache>
            </c:numRef>
          </c:val>
          <c:smooth val="0"/>
          <c:extLst>
            <c:ext xmlns:c16="http://schemas.microsoft.com/office/drawing/2014/chart" uri="{C3380CC4-5D6E-409C-BE32-E72D297353CC}">
              <c16:uniqueId val="{00000002-5538-4781-B788-1B99588B65D8}"/>
            </c:ext>
          </c:extLst>
        </c:ser>
        <c:dLbls>
          <c:showLegendKey val="0"/>
          <c:showVal val="0"/>
          <c:showCatName val="0"/>
          <c:showSerName val="0"/>
          <c:showPercent val="0"/>
          <c:showBubbleSize val="0"/>
        </c:dLbls>
        <c:marker val="1"/>
        <c:smooth val="0"/>
        <c:axId val="525208239"/>
        <c:axId val="525209487"/>
      </c:lineChart>
      <c:catAx>
        <c:axId val="525208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525209487"/>
        <c:crosses val="autoZero"/>
        <c:auto val="1"/>
        <c:lblAlgn val="ctr"/>
        <c:lblOffset val="100"/>
        <c:noMultiLvlLbl val="0"/>
      </c:catAx>
      <c:valAx>
        <c:axId val="525209487"/>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 %"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525208239"/>
        <c:crosses val="autoZero"/>
        <c:crossBetween val="between"/>
      </c:valAx>
      <c:valAx>
        <c:axId val="278308799"/>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282959471"/>
        <c:crosses val="max"/>
        <c:crossBetween val="between"/>
      </c:valAx>
      <c:catAx>
        <c:axId val="282959471"/>
        <c:scaling>
          <c:orientation val="minMax"/>
        </c:scaling>
        <c:delete val="1"/>
        <c:axPos val="b"/>
        <c:numFmt formatCode="General" sourceLinked="1"/>
        <c:majorTickMark val="out"/>
        <c:minorTickMark val="none"/>
        <c:tickLblPos val="nextTo"/>
        <c:crossAx val="27830879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no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30121744203884443"/>
          <c:y val="6.6185318892900122E-2"/>
          <c:w val="0.67110237058757949"/>
          <c:h val="0.73201862853785871"/>
        </c:manualLayout>
      </c:layout>
      <c:barChart>
        <c:barDir val="bar"/>
        <c:grouping val="stacked"/>
        <c:varyColors val="0"/>
        <c:ser>
          <c:idx val="0"/>
          <c:order val="0"/>
          <c:tx>
            <c:strRef>
              <c:f>'Graf 2'!$B$3</c:f>
              <c:strCache>
                <c:ptCount val="1"/>
                <c:pt idx="0">
                  <c:v>Príjem do 100-tisíc eur</c:v>
                </c:pt>
              </c:strCache>
            </c:strRef>
          </c:tx>
          <c:spPr>
            <a:solidFill>
              <a:schemeClr val="accent2">
                <a:shade val="65000"/>
              </a:schemeClr>
            </a:solidFill>
            <a:ln>
              <a:noFill/>
            </a:ln>
            <a:effectLst/>
          </c:spPr>
          <c:invertIfNegative val="0"/>
          <c:dLbls>
            <c:dLbl>
              <c:idx val="1"/>
              <c:layout>
                <c:manualLayout>
                  <c:x val="1.5435501653803748E-2"/>
                  <c:y val="-3.6160003052364478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D00-4714-9F68-2C3F5FF712AE}"/>
                </c:ext>
              </c:extLst>
            </c:dLbl>
            <c:numFmt formatCode="0.0\ %"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 2'!$C$2:$D$2</c:f>
              <c:strCache>
                <c:ptCount val="2"/>
                <c:pt idx="0">
                  <c:v>Podiel nefinančných spoločností
rozdelený podľa príjmu</c:v>
                </c:pt>
                <c:pt idx="1">
                  <c:v>Podiel na DPPO v závislosti od dosiahnutého príjmu</c:v>
                </c:pt>
              </c:strCache>
            </c:strRef>
          </c:cat>
          <c:val>
            <c:numRef>
              <c:f>'Graf 2'!$C$3:$D$3</c:f>
              <c:numCache>
                <c:formatCode>0.0000</c:formatCode>
                <c:ptCount val="2"/>
                <c:pt idx="0">
                  <c:v>0.68379999999999996</c:v>
                </c:pt>
                <c:pt idx="1">
                  <c:v>4.4499999999999998E-2</c:v>
                </c:pt>
              </c:numCache>
            </c:numRef>
          </c:val>
          <c:extLst>
            <c:ext xmlns:c16="http://schemas.microsoft.com/office/drawing/2014/chart" uri="{C3380CC4-5D6E-409C-BE32-E72D297353CC}">
              <c16:uniqueId val="{00000001-DD00-4714-9F68-2C3F5FF712AE}"/>
            </c:ext>
          </c:extLst>
        </c:ser>
        <c:ser>
          <c:idx val="1"/>
          <c:order val="1"/>
          <c:tx>
            <c:strRef>
              <c:f>'Graf 2'!$B$4</c:f>
              <c:strCache>
                <c:ptCount val="1"/>
                <c:pt idx="0">
                  <c:v>Príjem od 100-tisíc do 5 mil. eur</c:v>
                </c:pt>
              </c:strCache>
            </c:strRef>
          </c:tx>
          <c:spPr>
            <a:solidFill>
              <a:schemeClr val="accent2"/>
            </a:solidFill>
            <a:ln>
              <a:noFill/>
            </a:ln>
            <a:effectLst/>
          </c:spPr>
          <c:invertIfNegative val="0"/>
          <c:dLbls>
            <c:numFmt formatCode="0.0\ %"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 2'!$C$2:$D$2</c:f>
              <c:strCache>
                <c:ptCount val="2"/>
                <c:pt idx="0">
                  <c:v>Podiel nefinančných spoločností
rozdelený podľa príjmu</c:v>
                </c:pt>
                <c:pt idx="1">
                  <c:v>Podiel na DPPO v závislosti od dosiahnutého príjmu</c:v>
                </c:pt>
              </c:strCache>
            </c:strRef>
          </c:cat>
          <c:val>
            <c:numRef>
              <c:f>'Graf 2'!$C$4:$D$4</c:f>
              <c:numCache>
                <c:formatCode>0.0000</c:formatCode>
                <c:ptCount val="2"/>
                <c:pt idx="0">
                  <c:v>0.29570000000000002</c:v>
                </c:pt>
                <c:pt idx="1">
                  <c:v>0.2545</c:v>
                </c:pt>
              </c:numCache>
            </c:numRef>
          </c:val>
          <c:extLst>
            <c:ext xmlns:c16="http://schemas.microsoft.com/office/drawing/2014/chart" uri="{C3380CC4-5D6E-409C-BE32-E72D297353CC}">
              <c16:uniqueId val="{00000002-DD00-4714-9F68-2C3F5FF712AE}"/>
            </c:ext>
          </c:extLst>
        </c:ser>
        <c:ser>
          <c:idx val="2"/>
          <c:order val="2"/>
          <c:tx>
            <c:strRef>
              <c:f>'Graf 2'!$B$5</c:f>
              <c:strCache>
                <c:ptCount val="1"/>
                <c:pt idx="0">
                  <c:v>Príjem nad 5 mil. eur</c:v>
                </c:pt>
              </c:strCache>
            </c:strRef>
          </c:tx>
          <c:spPr>
            <a:solidFill>
              <a:schemeClr val="accent2">
                <a:tint val="65000"/>
              </a:schemeClr>
            </a:solidFill>
            <a:ln>
              <a:noFill/>
            </a:ln>
            <a:effectLst/>
          </c:spPr>
          <c:invertIfNegative val="0"/>
          <c:dLbls>
            <c:numFmt formatCode="0.0\ %"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 2'!$C$2:$D$2</c:f>
              <c:strCache>
                <c:ptCount val="2"/>
                <c:pt idx="0">
                  <c:v>Podiel nefinančných spoločností
rozdelený podľa príjmu</c:v>
                </c:pt>
                <c:pt idx="1">
                  <c:v>Podiel na DPPO v závislosti od dosiahnutého príjmu</c:v>
                </c:pt>
              </c:strCache>
            </c:strRef>
          </c:cat>
          <c:val>
            <c:numRef>
              <c:f>'Graf 2'!$C$5:$D$5</c:f>
              <c:numCache>
                <c:formatCode>0.0000</c:formatCode>
                <c:ptCount val="2"/>
                <c:pt idx="0">
                  <c:v>1.95E-2</c:v>
                </c:pt>
                <c:pt idx="1">
                  <c:v>0.7</c:v>
                </c:pt>
              </c:numCache>
            </c:numRef>
          </c:val>
          <c:extLst>
            <c:ext xmlns:c16="http://schemas.microsoft.com/office/drawing/2014/chart" uri="{C3380CC4-5D6E-409C-BE32-E72D297353CC}">
              <c16:uniqueId val="{00000003-DD00-4714-9F68-2C3F5FF712AE}"/>
            </c:ext>
          </c:extLst>
        </c:ser>
        <c:dLbls>
          <c:dLblPos val="ctr"/>
          <c:showLegendKey val="0"/>
          <c:showVal val="1"/>
          <c:showCatName val="0"/>
          <c:showSerName val="0"/>
          <c:showPercent val="0"/>
          <c:showBubbleSize val="0"/>
        </c:dLbls>
        <c:gapWidth val="100"/>
        <c:overlap val="100"/>
        <c:axId val="2015272383"/>
        <c:axId val="2015284863"/>
      </c:barChart>
      <c:catAx>
        <c:axId val="2015272383"/>
        <c:scaling>
          <c:orientation val="minMax"/>
        </c:scaling>
        <c:delete val="0"/>
        <c:axPos val="l"/>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tx2"/>
                  </a:gs>
                </a:gsLst>
                <a:lin ang="10800000" scaled="0"/>
              </a:gradFill>
              <a:round/>
            </a:ln>
            <a:effectLst/>
          </c:spPr>
        </c:majorGridlines>
        <c:numFmt formatCode="@"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2015284863"/>
        <c:crosses val="autoZero"/>
        <c:auto val="0"/>
        <c:lblAlgn val="ctr"/>
        <c:lblOffset val="100"/>
        <c:noMultiLvlLbl val="0"/>
      </c:catAx>
      <c:valAx>
        <c:axId val="2015284863"/>
        <c:scaling>
          <c:orientation val="minMax"/>
          <c:max val="1"/>
        </c:scaling>
        <c:delete val="1"/>
        <c:axPos val="b"/>
        <c:numFmt formatCode="0\ %" sourceLinked="0"/>
        <c:majorTickMark val="none"/>
        <c:minorTickMark val="none"/>
        <c:tickLblPos val="nextTo"/>
        <c:crossAx val="20152723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'20'!$C$2</c:f>
              <c:strCache>
                <c:ptCount val="1"/>
                <c:pt idx="0">
                  <c:v>Vyplatené POO v ŽoP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'20'!$B$3:$B$8</c:f>
              <c:strCache>
                <c:ptCount val="6"/>
                <c:pt idx="0">
                  <c:v>Zelená ekonomika</c:v>
                </c:pt>
                <c:pt idx="1">
                  <c:v>Vzdelávanie</c:v>
                </c:pt>
                <c:pt idx="2">
                  <c:v>Veda, výskum a inovácie</c:v>
                </c:pt>
                <c:pt idx="3">
                  <c:v>Zdravie</c:v>
                </c:pt>
                <c:pt idx="4">
                  <c:v>Efektívna VS a digitalizácia</c:v>
                </c:pt>
                <c:pt idx="5">
                  <c:v> REPower EU</c:v>
                </c:pt>
              </c:strCache>
            </c:strRef>
          </c:cat>
          <c:val>
            <c:numRef>
              <c:f>'20'!$C$3:$C$8</c:f>
              <c:numCache>
                <c:formatCode>_(* #,##0.00_);_(* \(#,##0.00\);_(* "-"??_);_(@_)</c:formatCode>
                <c:ptCount val="6"/>
                <c:pt idx="0">
                  <c:v>69.084319999999991</c:v>
                </c:pt>
                <c:pt idx="1">
                  <c:v>48.986801000000007</c:v>
                </c:pt>
                <c:pt idx="2">
                  <c:v>28.258087</c:v>
                </c:pt>
                <c:pt idx="3">
                  <c:v>87.709069</c:v>
                </c:pt>
                <c:pt idx="4">
                  <c:v>34.276429</c:v>
                </c:pt>
                <c:pt idx="5">
                  <c:v>3.8849999999999998</c:v>
                </c:pt>
              </c:numCache>
            </c:numRef>
          </c:val>
          <c:extLst>
            <c:ext xmlns:c16="http://schemas.microsoft.com/office/drawing/2014/chart" uri="{C3380CC4-5D6E-409C-BE32-E72D297353CC}">
              <c16:uniqueId val="{00000000-D64A-4DB1-A7F2-61A5FE56D9DE}"/>
            </c:ext>
          </c:extLst>
        </c:ser>
        <c:ser>
          <c:idx val="1"/>
          <c:order val="1"/>
          <c:tx>
            <c:strRef>
              <c:f>'20'!$D$2</c:f>
              <c:strCache>
                <c:ptCount val="1"/>
                <c:pt idx="0">
                  <c:v>Vyplatené DPH</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2"/>
                    </a:solidFill>
                    <a:latin typeface="Segoe UI" panose="020B0502040204020203" pitchFamily="34" charset="0"/>
                    <a:ea typeface="+mn-ea"/>
                    <a:cs typeface="Segoe UI" panose="020B0502040204020203"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'20'!$B$3:$B$8</c:f>
              <c:strCache>
                <c:ptCount val="6"/>
                <c:pt idx="0">
                  <c:v>Zelená ekonomika</c:v>
                </c:pt>
                <c:pt idx="1">
                  <c:v>Vzdelávanie</c:v>
                </c:pt>
                <c:pt idx="2">
                  <c:v>Veda, výskum a inovácie</c:v>
                </c:pt>
                <c:pt idx="3">
                  <c:v>Zdravie</c:v>
                </c:pt>
                <c:pt idx="4">
                  <c:v>Efektívna VS a digitalizácia</c:v>
                </c:pt>
                <c:pt idx="5">
                  <c:v> REPower EU</c:v>
                </c:pt>
              </c:strCache>
            </c:strRef>
          </c:cat>
          <c:val>
            <c:numRef>
              <c:f>'20'!$D$3:$D$8</c:f>
              <c:numCache>
                <c:formatCode>_(* #,##0.00_);_(* \(#,##0.00\);_(* "-"??_);_(@_)</c:formatCode>
                <c:ptCount val="6"/>
                <c:pt idx="0">
                  <c:v>1.553037</c:v>
                </c:pt>
                <c:pt idx="1">
                  <c:v>5.9765470000000001</c:v>
                </c:pt>
                <c:pt idx="2">
                  <c:v>2.2106999999999998E-2</c:v>
                </c:pt>
                <c:pt idx="3">
                  <c:v>16.319725999999999</c:v>
                </c:pt>
                <c:pt idx="4">
                  <c:v>1.9780239999999998</c:v>
                </c:pt>
                <c:pt idx="5">
                  <c:v>0</c:v>
                </c:pt>
              </c:numCache>
            </c:numRef>
          </c:val>
          <c:extLst>
            <c:ext xmlns:c16="http://schemas.microsoft.com/office/drawing/2014/chart" uri="{C3380CC4-5D6E-409C-BE32-E72D297353CC}">
              <c16:uniqueId val="{00000001-D64A-4DB1-A7F2-61A5FE56D9DE}"/>
            </c:ext>
          </c:extLst>
        </c:ser>
        <c:dLbls>
          <c:dLblPos val="outEnd"/>
          <c:showLegendKey val="0"/>
          <c:showVal val="1"/>
          <c:showCatName val="0"/>
          <c:showSerName val="0"/>
          <c:showPercent val="0"/>
          <c:showBubbleSize val="0"/>
        </c:dLbls>
        <c:gapWidth val="100"/>
        <c:axId val="601106303"/>
        <c:axId val="601107135"/>
      </c:barChart>
      <c:catAx>
        <c:axId val="601106303"/>
        <c:scaling>
          <c:orientation val="minMax"/>
        </c:scaling>
        <c:delete val="0"/>
        <c:axPos val="b"/>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tx2"/>
                  </a:gs>
                </a:gsLst>
                <a:lin ang="5400000" scaled="1"/>
              </a:gra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601107135"/>
        <c:crosses val="autoZero"/>
        <c:auto val="1"/>
        <c:lblAlgn val="ctr"/>
        <c:lblOffset val="100"/>
        <c:noMultiLvlLbl val="0"/>
      </c:catAx>
      <c:valAx>
        <c:axId val="601107135"/>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601106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Obrana!$B$28</c:f>
              <c:strCache>
                <c:ptCount val="1"/>
                <c:pt idx="0">
                  <c:v>Záväzok voči NATO</c:v>
                </c:pt>
              </c:strCache>
            </c:strRef>
          </c:tx>
          <c:spPr>
            <a:ln w="25400" cap="rnd">
              <a:solidFill>
                <a:schemeClr val="accent6"/>
              </a:solidFill>
              <a:prstDash val="sysDot"/>
              <a:round/>
            </a:ln>
            <a:effectLst/>
          </c:spPr>
          <c:marker>
            <c:symbol val="none"/>
          </c:marker>
          <c:cat>
            <c:strRef>
              <c:f>Obrana!$C$27:$P$27</c:f>
              <c:strCache>
                <c:ptCount val="14"/>
                <c:pt idx="0">
                  <c:v>2014</c:v>
                </c:pt>
                <c:pt idx="1">
                  <c:v>2015</c:v>
                </c:pt>
                <c:pt idx="2">
                  <c:v>2016</c:v>
                </c:pt>
                <c:pt idx="3">
                  <c:v>2017</c:v>
                </c:pt>
                <c:pt idx="4">
                  <c:v>2018</c:v>
                </c:pt>
                <c:pt idx="5">
                  <c:v>2019</c:v>
                </c:pt>
                <c:pt idx="6">
                  <c:v>2020</c:v>
                </c:pt>
                <c:pt idx="7">
                  <c:v>2021</c:v>
                </c:pt>
                <c:pt idx="8">
                  <c:v>2022</c:v>
                </c:pt>
                <c:pt idx="9">
                  <c:v>2023</c:v>
                </c:pt>
                <c:pt idx="10">
                  <c:v>2024OS</c:v>
                </c:pt>
                <c:pt idx="11">
                  <c:v>2025N</c:v>
                </c:pt>
                <c:pt idx="12">
                  <c:v>2026N</c:v>
                </c:pt>
                <c:pt idx="13">
                  <c:v>2027N</c:v>
                </c:pt>
              </c:strCache>
            </c:strRef>
          </c:cat>
          <c:val>
            <c:numRef>
              <c:f>Obrana!$C$28:$P$28</c:f>
              <c:numCache>
                <c:formatCode>0.00%</c:formatCode>
                <c:ptCount val="14"/>
                <c:pt idx="0">
                  <c:v>0.02</c:v>
                </c:pt>
                <c:pt idx="1">
                  <c:v>0.02</c:v>
                </c:pt>
                <c:pt idx="2">
                  <c:v>0.02</c:v>
                </c:pt>
                <c:pt idx="3">
                  <c:v>0.02</c:v>
                </c:pt>
                <c:pt idx="4">
                  <c:v>0.02</c:v>
                </c:pt>
                <c:pt idx="5">
                  <c:v>0.02</c:v>
                </c:pt>
                <c:pt idx="6">
                  <c:v>0.02</c:v>
                </c:pt>
                <c:pt idx="7">
                  <c:v>0.02</c:v>
                </c:pt>
                <c:pt idx="8">
                  <c:v>0.02</c:v>
                </c:pt>
                <c:pt idx="9">
                  <c:v>0.02</c:v>
                </c:pt>
                <c:pt idx="10">
                  <c:v>0.02</c:v>
                </c:pt>
                <c:pt idx="11">
                  <c:v>0.02</c:v>
                </c:pt>
                <c:pt idx="12">
                  <c:v>0.02</c:v>
                </c:pt>
                <c:pt idx="13">
                  <c:v>0.02</c:v>
                </c:pt>
              </c:numCache>
            </c:numRef>
          </c:val>
          <c:smooth val="0"/>
          <c:extLst>
            <c:ext xmlns:c16="http://schemas.microsoft.com/office/drawing/2014/chart" uri="{C3380CC4-5D6E-409C-BE32-E72D297353CC}">
              <c16:uniqueId val="{00000000-BD1F-455B-89AF-3567DF24FBEA}"/>
            </c:ext>
          </c:extLst>
        </c:ser>
        <c:ser>
          <c:idx val="1"/>
          <c:order val="1"/>
          <c:tx>
            <c:strRef>
              <c:f>Obrana!$B$29</c:f>
              <c:strCache>
                <c:ptCount val="1"/>
                <c:pt idx="0">
                  <c:v>Slovensko</c:v>
                </c:pt>
              </c:strCache>
            </c:strRef>
          </c:tx>
          <c:spPr>
            <a:ln w="25400" cap="rnd">
              <a:solidFill>
                <a:schemeClr val="tx2"/>
              </a:solidFill>
              <a:round/>
            </a:ln>
            <a:effectLst/>
          </c:spPr>
          <c:marker>
            <c:symbol val="circle"/>
            <c:size val="5"/>
            <c:spPr>
              <a:solidFill>
                <a:schemeClr val="tx2"/>
              </a:solidFill>
              <a:ln w="9525">
                <a:solidFill>
                  <a:schemeClr val="bg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Obrana!$C$27:$P$27</c:f>
              <c:strCache>
                <c:ptCount val="14"/>
                <c:pt idx="0">
                  <c:v>2014</c:v>
                </c:pt>
                <c:pt idx="1">
                  <c:v>2015</c:v>
                </c:pt>
                <c:pt idx="2">
                  <c:v>2016</c:v>
                </c:pt>
                <c:pt idx="3">
                  <c:v>2017</c:v>
                </c:pt>
                <c:pt idx="4">
                  <c:v>2018</c:v>
                </c:pt>
                <c:pt idx="5">
                  <c:v>2019</c:v>
                </c:pt>
                <c:pt idx="6">
                  <c:v>2020</c:v>
                </c:pt>
                <c:pt idx="7">
                  <c:v>2021</c:v>
                </c:pt>
                <c:pt idx="8">
                  <c:v>2022</c:v>
                </c:pt>
                <c:pt idx="9">
                  <c:v>2023</c:v>
                </c:pt>
                <c:pt idx="10">
                  <c:v>2024OS</c:v>
                </c:pt>
                <c:pt idx="11">
                  <c:v>2025N</c:v>
                </c:pt>
                <c:pt idx="12">
                  <c:v>2026N</c:v>
                </c:pt>
                <c:pt idx="13">
                  <c:v>2027N</c:v>
                </c:pt>
              </c:strCache>
            </c:strRef>
          </c:cat>
          <c:val>
            <c:numRef>
              <c:f>Obrana!$C$29:$P$29</c:f>
              <c:numCache>
                <c:formatCode>0.00%</c:formatCode>
                <c:ptCount val="14"/>
                <c:pt idx="0">
                  <c:v>1.01E-2</c:v>
                </c:pt>
                <c:pt idx="1">
                  <c:v>1.14E-2</c:v>
                </c:pt>
                <c:pt idx="2">
                  <c:v>1.1299999999999999E-2</c:v>
                </c:pt>
                <c:pt idx="3">
                  <c:v>1.11E-2</c:v>
                </c:pt>
                <c:pt idx="4">
                  <c:v>1.23E-2</c:v>
                </c:pt>
                <c:pt idx="5">
                  <c:v>1.72E-2</c:v>
                </c:pt>
                <c:pt idx="6">
                  <c:v>1.9699999999999999E-2</c:v>
                </c:pt>
                <c:pt idx="7">
                  <c:v>1.7600000000000001E-2</c:v>
                </c:pt>
                <c:pt idx="8">
                  <c:v>1.7999999999999999E-2</c:v>
                </c:pt>
                <c:pt idx="9">
                  <c:v>1.7399999999999999E-2</c:v>
                </c:pt>
                <c:pt idx="10">
                  <c:v>1.61E-2</c:v>
                </c:pt>
                <c:pt idx="11">
                  <c:v>0.02</c:v>
                </c:pt>
                <c:pt idx="12">
                  <c:v>0.02</c:v>
                </c:pt>
                <c:pt idx="13">
                  <c:v>0.02</c:v>
                </c:pt>
              </c:numCache>
            </c:numRef>
          </c:val>
          <c:smooth val="0"/>
          <c:extLst>
            <c:ext xmlns:c16="http://schemas.microsoft.com/office/drawing/2014/chart" uri="{C3380CC4-5D6E-409C-BE32-E72D297353CC}">
              <c16:uniqueId val="{00000001-BD1F-455B-89AF-3567DF24FBEA}"/>
            </c:ext>
          </c:extLst>
        </c:ser>
        <c:dLbls>
          <c:showLegendKey val="0"/>
          <c:showVal val="0"/>
          <c:showCatName val="0"/>
          <c:showSerName val="0"/>
          <c:showPercent val="0"/>
          <c:showBubbleSize val="0"/>
        </c:dLbls>
        <c:smooth val="0"/>
        <c:axId val="980971775"/>
        <c:axId val="980983423"/>
      </c:lineChart>
      <c:catAx>
        <c:axId val="9809717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980983423"/>
        <c:crosses val="autoZero"/>
        <c:auto val="1"/>
        <c:lblAlgn val="ctr"/>
        <c:lblOffset val="100"/>
        <c:noMultiLvlLbl val="0"/>
      </c:catAx>
      <c:valAx>
        <c:axId val="980983423"/>
        <c:scaling>
          <c:orientation val="minMax"/>
          <c:max val="2.1000000000000005E-2"/>
          <c:min val="0"/>
        </c:scaling>
        <c:delete val="0"/>
        <c:axPos val="l"/>
        <c:majorGridlines>
          <c:spPr>
            <a:ln w="9525" cap="flat" cmpd="sng" algn="ctr">
              <a:solidFill>
                <a:schemeClr val="tx1">
                  <a:lumMod val="15000"/>
                  <a:lumOff val="85000"/>
                </a:schemeClr>
              </a:solidFill>
              <a:round/>
            </a:ln>
            <a:effectLst/>
          </c:spPr>
        </c:majorGridlines>
        <c:numFmt formatCode="0.0\ %"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9809717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'podiel osob výd ZZ'!$B$9</c:f>
              <c:strCache>
                <c:ptCount val="1"/>
                <c:pt idx="0">
                  <c:v>podiel výdavkov na mzdy a platy na celkových výdavkoch</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Segoe UI" panose="020B0502040204020203" pitchFamily="34" charset="0"/>
                    <a:ea typeface="+mn-ea"/>
                    <a:cs typeface="Segoe UI" panose="020B0502040204020203" pitchFamily="34" charset="0"/>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'podiel osob výd ZZ'!$C$8:$J$8</c:f>
              <c:strCache>
                <c:ptCount val="8"/>
                <c:pt idx="0">
                  <c:v>2018</c:v>
                </c:pt>
                <c:pt idx="1">
                  <c:v>2019</c:v>
                </c:pt>
                <c:pt idx="2">
                  <c:v>2020</c:v>
                </c:pt>
                <c:pt idx="3">
                  <c:v>2021</c:v>
                </c:pt>
                <c:pt idx="4">
                  <c:v>2022</c:v>
                </c:pt>
                <c:pt idx="5">
                  <c:v>2023</c:v>
                </c:pt>
                <c:pt idx="6">
                  <c:v>2024 OS</c:v>
                </c:pt>
                <c:pt idx="7">
                  <c:v>2025 N</c:v>
                </c:pt>
              </c:strCache>
            </c:strRef>
          </c:cat>
          <c:val>
            <c:numRef>
              <c:f>'podiel osob výd ZZ'!$C$9:$J$9</c:f>
              <c:numCache>
                <c:formatCode>0.0</c:formatCode>
                <c:ptCount val="8"/>
                <c:pt idx="0">
                  <c:v>37.743692945234045</c:v>
                </c:pt>
                <c:pt idx="1">
                  <c:v>37.66660029449578</c:v>
                </c:pt>
                <c:pt idx="2">
                  <c:v>39.438314122120879</c:v>
                </c:pt>
                <c:pt idx="3">
                  <c:v>40.740928330506449</c:v>
                </c:pt>
                <c:pt idx="4">
                  <c:v>40.633290518191032</c:v>
                </c:pt>
                <c:pt idx="5">
                  <c:v>43.251257414368311</c:v>
                </c:pt>
                <c:pt idx="6">
                  <c:v>40.686414337995771</c:v>
                </c:pt>
                <c:pt idx="7">
                  <c:v>46.410533640608165</c:v>
                </c:pt>
              </c:numCache>
            </c:numRef>
          </c:val>
          <c:extLst>
            <c:ext xmlns:c16="http://schemas.microsoft.com/office/drawing/2014/chart" uri="{C3380CC4-5D6E-409C-BE32-E72D297353CC}">
              <c16:uniqueId val="{00000000-CFC9-41F3-B475-F840510894A1}"/>
            </c:ext>
          </c:extLst>
        </c:ser>
        <c:ser>
          <c:idx val="1"/>
          <c:order val="1"/>
          <c:tx>
            <c:strRef>
              <c:f>'podiel osob výd ZZ'!$B$10</c:f>
              <c:strCache>
                <c:ptCount val="1"/>
                <c:pt idx="0">
                  <c:v>podiel výdavkov na poistné a prísp. do poisťovní na celkových výdavkoch</c:v>
                </c:pt>
              </c:strCache>
            </c:strRef>
          </c:tx>
          <c:spPr>
            <a:solidFill>
              <a:schemeClr val="accent2"/>
            </a:solidFill>
            <a:ln>
              <a:noFill/>
            </a:ln>
            <a:effectLst/>
          </c:spPr>
          <c:invertIfNegative val="0"/>
          <c:cat>
            <c:strRef>
              <c:f>'podiel osob výd ZZ'!$C$8:$J$8</c:f>
              <c:strCache>
                <c:ptCount val="8"/>
                <c:pt idx="0">
                  <c:v>2018</c:v>
                </c:pt>
                <c:pt idx="1">
                  <c:v>2019</c:v>
                </c:pt>
                <c:pt idx="2">
                  <c:v>2020</c:v>
                </c:pt>
                <c:pt idx="3">
                  <c:v>2021</c:v>
                </c:pt>
                <c:pt idx="4">
                  <c:v>2022</c:v>
                </c:pt>
                <c:pt idx="5">
                  <c:v>2023</c:v>
                </c:pt>
                <c:pt idx="6">
                  <c:v>2024 OS</c:v>
                </c:pt>
                <c:pt idx="7">
                  <c:v>2025 N</c:v>
                </c:pt>
              </c:strCache>
            </c:strRef>
          </c:cat>
          <c:val>
            <c:numRef>
              <c:f>'podiel osob výd ZZ'!$C$10:$J$10</c:f>
              <c:numCache>
                <c:formatCode>0.0</c:formatCode>
                <c:ptCount val="8"/>
                <c:pt idx="0">
                  <c:v>10.658111623781123</c:v>
                </c:pt>
                <c:pt idx="1">
                  <c:v>11.126483233652165</c:v>
                </c:pt>
                <c:pt idx="2">
                  <c:v>11.621101270696958</c:v>
                </c:pt>
                <c:pt idx="3">
                  <c:v>13.164683728459147</c:v>
                </c:pt>
                <c:pt idx="4">
                  <c:v>12.350816756598128</c:v>
                </c:pt>
                <c:pt idx="5">
                  <c:v>10.74066569964454</c:v>
                </c:pt>
                <c:pt idx="6">
                  <c:v>15.360733466323694</c:v>
                </c:pt>
                <c:pt idx="7">
                  <c:v>15.346469831198373</c:v>
                </c:pt>
              </c:numCache>
            </c:numRef>
          </c:val>
          <c:extLst>
            <c:ext xmlns:c16="http://schemas.microsoft.com/office/drawing/2014/chart" uri="{C3380CC4-5D6E-409C-BE32-E72D297353CC}">
              <c16:uniqueId val="{00000001-CFC9-41F3-B475-F840510894A1}"/>
            </c:ext>
          </c:extLst>
        </c:ser>
        <c:dLbls>
          <c:showLegendKey val="0"/>
          <c:showVal val="0"/>
          <c:showCatName val="0"/>
          <c:showSerName val="0"/>
          <c:showPercent val="0"/>
          <c:showBubbleSize val="0"/>
        </c:dLbls>
        <c:gapWidth val="100"/>
        <c:overlap val="100"/>
        <c:axId val="1632256239"/>
        <c:axId val="1632250415"/>
      </c:barChart>
      <c:lineChart>
        <c:grouping val="standard"/>
        <c:varyColors val="0"/>
        <c:ser>
          <c:idx val="2"/>
          <c:order val="2"/>
          <c:tx>
            <c:strRef>
              <c:f>'podiel osob výd ZZ'!$B$11</c:f>
              <c:strCache>
                <c:ptCount val="1"/>
                <c:pt idx="0">
                  <c:v>podiel osobných výdavkov na celkových výdavkoch</c:v>
                </c:pt>
              </c:strCache>
            </c:strRef>
          </c:tx>
          <c:spPr>
            <a:ln w="28575" cap="rnd">
              <a:noFill/>
              <a:round/>
            </a:ln>
            <a:effectLst/>
          </c:spPr>
          <c:marker>
            <c:symbol val="diamond"/>
            <c:size val="5"/>
            <c:spPr>
              <a:solidFill>
                <a:schemeClr val="accent6"/>
              </a:solidFill>
              <a:ln w="9525">
                <a:solidFill>
                  <a:schemeClr val="accent6"/>
                </a:solidFill>
              </a:ln>
              <a:effectLst/>
            </c:spPr>
          </c:marker>
          <c:dLbls>
            <c:spPr>
              <a:noFill/>
              <a:ln>
                <a:noFill/>
              </a:ln>
              <a:effectLst/>
            </c:spPr>
            <c:txPr>
              <a:bodyPr rot="0" spcFirstLastPara="1" vertOverflow="ellipsis" vert="horz" wrap="square" anchor="ctr" anchorCtr="1"/>
              <a:lstStyle/>
              <a:p>
                <a:pPr>
                  <a:defRPr sz="800" b="1" i="0" u="none" strike="noStrike" kern="1200" baseline="0">
                    <a:solidFill>
                      <a:schemeClr val="accent6"/>
                    </a:solidFill>
                    <a:latin typeface="Segoe UI" panose="020B0502040204020203" pitchFamily="34" charset="0"/>
                    <a:ea typeface="+mn-ea"/>
                    <a:cs typeface="Segoe UI" panose="020B0502040204020203" pitchFamily="34" charset="0"/>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'podiel osob výd ZZ'!$C$8:$J$8</c:f>
              <c:strCache>
                <c:ptCount val="8"/>
                <c:pt idx="0">
                  <c:v>2018</c:v>
                </c:pt>
                <c:pt idx="1">
                  <c:v>2019</c:v>
                </c:pt>
                <c:pt idx="2">
                  <c:v>2020</c:v>
                </c:pt>
                <c:pt idx="3">
                  <c:v>2021</c:v>
                </c:pt>
                <c:pt idx="4">
                  <c:v>2022</c:v>
                </c:pt>
                <c:pt idx="5">
                  <c:v>2023</c:v>
                </c:pt>
                <c:pt idx="6">
                  <c:v>2024 OS</c:v>
                </c:pt>
                <c:pt idx="7">
                  <c:v>2025 N</c:v>
                </c:pt>
              </c:strCache>
            </c:strRef>
          </c:cat>
          <c:val>
            <c:numRef>
              <c:f>'podiel osob výd ZZ'!$C$11:$J$11</c:f>
              <c:numCache>
                <c:formatCode>0.0</c:formatCode>
                <c:ptCount val="8"/>
                <c:pt idx="0">
                  <c:v>48.401804569015169</c:v>
                </c:pt>
                <c:pt idx="1">
                  <c:v>48.793083528147946</c:v>
                </c:pt>
                <c:pt idx="2">
                  <c:v>51.05941539281784</c:v>
                </c:pt>
                <c:pt idx="3">
                  <c:v>53.905612058965595</c:v>
                </c:pt>
                <c:pt idx="4">
                  <c:v>52.98410727478916</c:v>
                </c:pt>
                <c:pt idx="5">
                  <c:v>53.991923114012849</c:v>
                </c:pt>
                <c:pt idx="6">
                  <c:v>56.047147804319465</c:v>
                </c:pt>
                <c:pt idx="7">
                  <c:v>61.757003471806541</c:v>
                </c:pt>
              </c:numCache>
            </c:numRef>
          </c:val>
          <c:smooth val="0"/>
          <c:extLst>
            <c:ext xmlns:c16="http://schemas.microsoft.com/office/drawing/2014/chart" uri="{C3380CC4-5D6E-409C-BE32-E72D297353CC}">
              <c16:uniqueId val="{00000002-CFC9-41F3-B475-F840510894A1}"/>
            </c:ext>
          </c:extLst>
        </c:ser>
        <c:dLbls>
          <c:showLegendKey val="0"/>
          <c:showVal val="0"/>
          <c:showCatName val="0"/>
          <c:showSerName val="0"/>
          <c:showPercent val="0"/>
          <c:showBubbleSize val="0"/>
        </c:dLbls>
        <c:marker val="1"/>
        <c:smooth val="0"/>
        <c:axId val="1632256239"/>
        <c:axId val="1632250415"/>
      </c:lineChart>
      <c:catAx>
        <c:axId val="1632256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632250415"/>
        <c:crosses val="autoZero"/>
        <c:auto val="1"/>
        <c:lblAlgn val="ctr"/>
        <c:lblOffset val="100"/>
        <c:noMultiLvlLbl val="0"/>
      </c:catAx>
      <c:valAx>
        <c:axId val="16322504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6322562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VLD!$C$3</c:f>
              <c:strCache>
                <c:ptCount val="1"/>
                <c:pt idx="0">
                  <c:v>Prírastky</c:v>
                </c:pt>
              </c:strCache>
            </c:strRef>
          </c:tx>
          <c:spPr>
            <a:solidFill>
              <a:schemeClr val="accent1"/>
            </a:solidFill>
            <a:ln>
              <a:noFill/>
            </a:ln>
            <a:effectLst/>
          </c:spPr>
          <c:invertIfNegative val="0"/>
          <c:cat>
            <c:numRef>
              <c:f>VLD!$B$4:$B$24</c:f>
              <c:numCache>
                <c:formatCode>mmm\/yy</c:formatCode>
                <c:ptCount val="21"/>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pt idx="12">
                  <c:v>45292</c:v>
                </c:pt>
                <c:pt idx="13">
                  <c:v>45323</c:v>
                </c:pt>
                <c:pt idx="14">
                  <c:v>45352</c:v>
                </c:pt>
                <c:pt idx="15">
                  <c:v>45383</c:v>
                </c:pt>
                <c:pt idx="16">
                  <c:v>45413</c:v>
                </c:pt>
                <c:pt idx="17">
                  <c:v>45444</c:v>
                </c:pt>
                <c:pt idx="18">
                  <c:v>45474</c:v>
                </c:pt>
                <c:pt idx="19">
                  <c:v>45505</c:v>
                </c:pt>
                <c:pt idx="20">
                  <c:v>45536</c:v>
                </c:pt>
              </c:numCache>
            </c:numRef>
          </c:cat>
          <c:val>
            <c:numRef>
              <c:f>VLD!$C$4:$C$24</c:f>
              <c:numCache>
                <c:formatCode>0.0</c:formatCode>
                <c:ptCount val="21"/>
                <c:pt idx="0">
                  <c:v>15.02</c:v>
                </c:pt>
                <c:pt idx="1">
                  <c:v>10.620000000000001</c:v>
                </c:pt>
                <c:pt idx="2">
                  <c:v>8.629999999999999</c:v>
                </c:pt>
                <c:pt idx="3">
                  <c:v>4.4300000000000006</c:v>
                </c:pt>
                <c:pt idx="4">
                  <c:v>7.73</c:v>
                </c:pt>
                <c:pt idx="5">
                  <c:v>2.78</c:v>
                </c:pt>
                <c:pt idx="6">
                  <c:v>4.7200000000000006</c:v>
                </c:pt>
                <c:pt idx="7">
                  <c:v>1.55</c:v>
                </c:pt>
                <c:pt idx="8">
                  <c:v>4.9000000000000004</c:v>
                </c:pt>
                <c:pt idx="9">
                  <c:v>5</c:v>
                </c:pt>
                <c:pt idx="10">
                  <c:v>5.96</c:v>
                </c:pt>
                <c:pt idx="11">
                  <c:v>1.25</c:v>
                </c:pt>
                <c:pt idx="12">
                  <c:v>4.7</c:v>
                </c:pt>
                <c:pt idx="13">
                  <c:v>5.8175000000000008</c:v>
                </c:pt>
                <c:pt idx="14">
                  <c:v>2.2749999999999999</c:v>
                </c:pt>
                <c:pt idx="15">
                  <c:v>4.0625</c:v>
                </c:pt>
                <c:pt idx="16">
                  <c:v>5.75</c:v>
                </c:pt>
                <c:pt idx="17">
                  <c:v>5.843</c:v>
                </c:pt>
                <c:pt idx="18">
                  <c:v>7.6875</c:v>
                </c:pt>
                <c:pt idx="19">
                  <c:v>3</c:v>
                </c:pt>
                <c:pt idx="20">
                  <c:v>4.2249999999999996</c:v>
                </c:pt>
              </c:numCache>
            </c:numRef>
          </c:val>
          <c:extLst>
            <c:ext xmlns:c16="http://schemas.microsoft.com/office/drawing/2014/chart" uri="{C3380CC4-5D6E-409C-BE32-E72D297353CC}">
              <c16:uniqueId val="{00000000-653A-4859-88F9-03548B220E64}"/>
            </c:ext>
          </c:extLst>
        </c:ser>
        <c:ser>
          <c:idx val="1"/>
          <c:order val="1"/>
          <c:tx>
            <c:strRef>
              <c:f>VLD!$D$3</c:f>
              <c:strCache>
                <c:ptCount val="1"/>
                <c:pt idx="0">
                  <c:v>Úbytky</c:v>
                </c:pt>
              </c:strCache>
            </c:strRef>
          </c:tx>
          <c:spPr>
            <a:solidFill>
              <a:schemeClr val="accent2"/>
            </a:solidFill>
            <a:ln>
              <a:noFill/>
            </a:ln>
            <a:effectLst/>
          </c:spPr>
          <c:invertIfNegative val="0"/>
          <c:cat>
            <c:numRef>
              <c:f>VLD!$B$4:$B$24</c:f>
              <c:numCache>
                <c:formatCode>mmm\/yy</c:formatCode>
                <c:ptCount val="21"/>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pt idx="12">
                  <c:v>45292</c:v>
                </c:pt>
                <c:pt idx="13">
                  <c:v>45323</c:v>
                </c:pt>
                <c:pt idx="14">
                  <c:v>45352</c:v>
                </c:pt>
                <c:pt idx="15">
                  <c:v>45383</c:v>
                </c:pt>
                <c:pt idx="16">
                  <c:v>45413</c:v>
                </c:pt>
                <c:pt idx="17">
                  <c:v>45444</c:v>
                </c:pt>
                <c:pt idx="18">
                  <c:v>45474</c:v>
                </c:pt>
                <c:pt idx="19">
                  <c:v>45505</c:v>
                </c:pt>
                <c:pt idx="20">
                  <c:v>45536</c:v>
                </c:pt>
              </c:numCache>
            </c:numRef>
          </c:cat>
          <c:val>
            <c:numRef>
              <c:f>VLD!$D$4:$D$24</c:f>
              <c:numCache>
                <c:formatCode>0.0</c:formatCode>
                <c:ptCount val="21"/>
                <c:pt idx="0">
                  <c:v>-13.209999999999999</c:v>
                </c:pt>
                <c:pt idx="1">
                  <c:v>-10.199999999999998</c:v>
                </c:pt>
                <c:pt idx="2">
                  <c:v>-11.350000000000001</c:v>
                </c:pt>
                <c:pt idx="3">
                  <c:v>-4.33</c:v>
                </c:pt>
                <c:pt idx="4">
                  <c:v>-15.76</c:v>
                </c:pt>
                <c:pt idx="5">
                  <c:v>-10.379999999999999</c:v>
                </c:pt>
                <c:pt idx="6">
                  <c:v>-7.3599999999999994</c:v>
                </c:pt>
                <c:pt idx="7">
                  <c:v>-7.39</c:v>
                </c:pt>
                <c:pt idx="8">
                  <c:v>-6.6</c:v>
                </c:pt>
                <c:pt idx="9">
                  <c:v>-4.25</c:v>
                </c:pt>
                <c:pt idx="10">
                  <c:v>-10.1</c:v>
                </c:pt>
                <c:pt idx="11">
                  <c:v>-14.525</c:v>
                </c:pt>
                <c:pt idx="12">
                  <c:v>-6.6749999999999998</c:v>
                </c:pt>
                <c:pt idx="13">
                  <c:v>-9.1</c:v>
                </c:pt>
                <c:pt idx="14">
                  <c:v>-6</c:v>
                </c:pt>
                <c:pt idx="15">
                  <c:v>-6.75</c:v>
                </c:pt>
                <c:pt idx="16">
                  <c:v>-7.1</c:v>
                </c:pt>
                <c:pt idx="17">
                  <c:v>-13.767000000000001</c:v>
                </c:pt>
                <c:pt idx="18">
                  <c:v>-11.7575</c:v>
                </c:pt>
                <c:pt idx="19">
                  <c:v>-5.9372999999999996</c:v>
                </c:pt>
                <c:pt idx="20">
                  <c:v>-6</c:v>
                </c:pt>
              </c:numCache>
            </c:numRef>
          </c:val>
          <c:extLst>
            <c:ext xmlns:c16="http://schemas.microsoft.com/office/drawing/2014/chart" uri="{C3380CC4-5D6E-409C-BE32-E72D297353CC}">
              <c16:uniqueId val="{00000001-653A-4859-88F9-03548B220E64}"/>
            </c:ext>
          </c:extLst>
        </c:ser>
        <c:dLbls>
          <c:showLegendKey val="0"/>
          <c:showVal val="0"/>
          <c:showCatName val="0"/>
          <c:showSerName val="0"/>
          <c:showPercent val="0"/>
          <c:showBubbleSize val="0"/>
        </c:dLbls>
        <c:gapWidth val="100"/>
        <c:overlap val="100"/>
        <c:axId val="1553672656"/>
        <c:axId val="1553678064"/>
      </c:barChart>
      <c:lineChart>
        <c:grouping val="standard"/>
        <c:varyColors val="0"/>
        <c:ser>
          <c:idx val="2"/>
          <c:order val="2"/>
          <c:tx>
            <c:strRef>
              <c:f>VLD!$E$3</c:f>
              <c:strCache>
                <c:ptCount val="1"/>
                <c:pt idx="0">
                  <c:v>Počet neobsadených miest ku koncu mesiaca (pravá os)</c:v>
                </c:pt>
              </c:strCache>
            </c:strRef>
          </c:tx>
          <c:spPr>
            <a:ln w="25400" cap="rnd">
              <a:solidFill>
                <a:schemeClr val="accent6"/>
              </a:solidFill>
              <a:prstDash val="sysDash"/>
              <a:round/>
            </a:ln>
            <a:effectLst/>
          </c:spPr>
          <c:marker>
            <c:symbol val="none"/>
          </c:marker>
          <c:cat>
            <c:numRef>
              <c:f>VLD!$B$4:$B$24</c:f>
              <c:numCache>
                <c:formatCode>mmm\/yy</c:formatCode>
                <c:ptCount val="21"/>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pt idx="12">
                  <c:v>45292</c:v>
                </c:pt>
                <c:pt idx="13">
                  <c:v>45323</c:v>
                </c:pt>
                <c:pt idx="14">
                  <c:v>45352</c:v>
                </c:pt>
                <c:pt idx="15">
                  <c:v>45383</c:v>
                </c:pt>
                <c:pt idx="16">
                  <c:v>45413</c:v>
                </c:pt>
                <c:pt idx="17">
                  <c:v>45444</c:v>
                </c:pt>
                <c:pt idx="18">
                  <c:v>45474</c:v>
                </c:pt>
                <c:pt idx="19">
                  <c:v>45505</c:v>
                </c:pt>
                <c:pt idx="20">
                  <c:v>45536</c:v>
                </c:pt>
              </c:numCache>
            </c:numRef>
          </c:cat>
          <c:val>
            <c:numRef>
              <c:f>VLD!$E$4:$E$24</c:f>
              <c:numCache>
                <c:formatCode>0.0</c:formatCode>
                <c:ptCount val="21"/>
                <c:pt idx="0">
                  <c:v>-482.19</c:v>
                </c:pt>
                <c:pt idx="1">
                  <c:v>-481.77</c:v>
                </c:pt>
                <c:pt idx="2">
                  <c:v>-484.49</c:v>
                </c:pt>
                <c:pt idx="3">
                  <c:v>-484.39</c:v>
                </c:pt>
                <c:pt idx="4">
                  <c:v>-492.41999999999996</c:v>
                </c:pt>
                <c:pt idx="5">
                  <c:v>-500.02</c:v>
                </c:pt>
                <c:pt idx="6">
                  <c:v>-502.65999999999997</c:v>
                </c:pt>
                <c:pt idx="7">
                  <c:v>-508.49999999999994</c:v>
                </c:pt>
                <c:pt idx="8">
                  <c:v>-510.2</c:v>
                </c:pt>
                <c:pt idx="9">
                  <c:v>-509.45</c:v>
                </c:pt>
                <c:pt idx="10">
                  <c:v>-513.59</c:v>
                </c:pt>
                <c:pt idx="11">
                  <c:v>-526.86500000000001</c:v>
                </c:pt>
                <c:pt idx="12">
                  <c:v>-528.83999999999992</c:v>
                </c:pt>
                <c:pt idx="13">
                  <c:v>-532.12249999999995</c:v>
                </c:pt>
                <c:pt idx="14">
                  <c:v>-535.84749999999997</c:v>
                </c:pt>
                <c:pt idx="15">
                  <c:v>-538.53499999999997</c:v>
                </c:pt>
                <c:pt idx="16">
                  <c:v>-539.88499999999999</c:v>
                </c:pt>
                <c:pt idx="17">
                  <c:v>-547.80900000000008</c:v>
                </c:pt>
                <c:pt idx="18">
                  <c:v>-551.87900000000013</c:v>
                </c:pt>
                <c:pt idx="19">
                  <c:v>-554.81630000000018</c:v>
                </c:pt>
                <c:pt idx="20">
                  <c:v>-556.59130000000016</c:v>
                </c:pt>
              </c:numCache>
            </c:numRef>
          </c:val>
          <c:smooth val="0"/>
          <c:extLst>
            <c:ext xmlns:c16="http://schemas.microsoft.com/office/drawing/2014/chart" uri="{C3380CC4-5D6E-409C-BE32-E72D297353CC}">
              <c16:uniqueId val="{00000002-653A-4859-88F9-03548B220E64}"/>
            </c:ext>
          </c:extLst>
        </c:ser>
        <c:dLbls>
          <c:showLegendKey val="0"/>
          <c:showVal val="0"/>
          <c:showCatName val="0"/>
          <c:showSerName val="0"/>
          <c:showPercent val="0"/>
          <c:showBubbleSize val="0"/>
        </c:dLbls>
        <c:marker val="1"/>
        <c:smooth val="0"/>
        <c:axId val="966153040"/>
        <c:axId val="966139728"/>
      </c:lineChart>
      <c:dateAx>
        <c:axId val="1553672656"/>
        <c:scaling>
          <c:orientation val="minMax"/>
        </c:scaling>
        <c:delete val="0"/>
        <c:axPos val="b"/>
        <c:numFmt formatCode="mmm\/yy"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553678064"/>
        <c:crosses val="autoZero"/>
        <c:auto val="1"/>
        <c:lblOffset val="100"/>
        <c:baseTimeUnit val="months"/>
      </c:dateAx>
      <c:valAx>
        <c:axId val="1553678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553672656"/>
        <c:crosses val="autoZero"/>
        <c:crossBetween val="between"/>
      </c:valAx>
      <c:valAx>
        <c:axId val="966139728"/>
        <c:scaling>
          <c:orientation val="minMax"/>
          <c:max val="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966153040"/>
        <c:crosses val="max"/>
        <c:crossBetween val="between"/>
      </c:valAx>
      <c:dateAx>
        <c:axId val="966153040"/>
        <c:scaling>
          <c:orientation val="minMax"/>
        </c:scaling>
        <c:delete val="1"/>
        <c:axPos val="t"/>
        <c:numFmt formatCode="mmm\/yy" sourceLinked="1"/>
        <c:majorTickMark val="out"/>
        <c:minorTickMark val="none"/>
        <c:tickLblPos val="nextTo"/>
        <c:crossAx val="966139728"/>
        <c:crosses val="max"/>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VLDD!$C$3</c:f>
              <c:strCache>
                <c:ptCount val="1"/>
                <c:pt idx="0">
                  <c:v>Prírastky</c:v>
                </c:pt>
              </c:strCache>
            </c:strRef>
          </c:tx>
          <c:spPr>
            <a:solidFill>
              <a:schemeClr val="accent1"/>
            </a:solidFill>
            <a:ln>
              <a:noFill/>
            </a:ln>
            <a:effectLst/>
          </c:spPr>
          <c:invertIfNegative val="0"/>
          <c:cat>
            <c:numRef>
              <c:f>VLDD!$B$4:$B$24</c:f>
              <c:numCache>
                <c:formatCode>mmm\/yy</c:formatCode>
                <c:ptCount val="21"/>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pt idx="12">
                  <c:v>45292</c:v>
                </c:pt>
                <c:pt idx="13">
                  <c:v>45323</c:v>
                </c:pt>
                <c:pt idx="14">
                  <c:v>45352</c:v>
                </c:pt>
                <c:pt idx="15">
                  <c:v>45383</c:v>
                </c:pt>
                <c:pt idx="16">
                  <c:v>45413</c:v>
                </c:pt>
                <c:pt idx="17">
                  <c:v>45444</c:v>
                </c:pt>
                <c:pt idx="18">
                  <c:v>45474</c:v>
                </c:pt>
                <c:pt idx="19">
                  <c:v>45505</c:v>
                </c:pt>
                <c:pt idx="20">
                  <c:v>45536</c:v>
                </c:pt>
              </c:numCache>
            </c:numRef>
          </c:cat>
          <c:val>
            <c:numRef>
              <c:f>VLDD!$C$4:$C$24</c:f>
              <c:numCache>
                <c:formatCode>0.00</c:formatCode>
                <c:ptCount val="21"/>
                <c:pt idx="0">
                  <c:v>4.9300000000000006</c:v>
                </c:pt>
                <c:pt idx="1">
                  <c:v>5.7899999999999991</c:v>
                </c:pt>
                <c:pt idx="2">
                  <c:v>3.86</c:v>
                </c:pt>
                <c:pt idx="3">
                  <c:v>0.88</c:v>
                </c:pt>
                <c:pt idx="4">
                  <c:v>0.9</c:v>
                </c:pt>
                <c:pt idx="5">
                  <c:v>2</c:v>
                </c:pt>
                <c:pt idx="6">
                  <c:v>0</c:v>
                </c:pt>
                <c:pt idx="7">
                  <c:v>1</c:v>
                </c:pt>
                <c:pt idx="8">
                  <c:v>1</c:v>
                </c:pt>
                <c:pt idx="9">
                  <c:v>1.25</c:v>
                </c:pt>
                <c:pt idx="10">
                  <c:v>1</c:v>
                </c:pt>
                <c:pt idx="11">
                  <c:v>2.2000000000000002</c:v>
                </c:pt>
                <c:pt idx="12">
                  <c:v>6.6999999999999993</c:v>
                </c:pt>
                <c:pt idx="13">
                  <c:v>3.40625</c:v>
                </c:pt>
                <c:pt idx="14">
                  <c:v>3.65625</c:v>
                </c:pt>
                <c:pt idx="15">
                  <c:v>3</c:v>
                </c:pt>
                <c:pt idx="16">
                  <c:v>1</c:v>
                </c:pt>
                <c:pt idx="17">
                  <c:v>1.6</c:v>
                </c:pt>
                <c:pt idx="18">
                  <c:v>2.95</c:v>
                </c:pt>
                <c:pt idx="19">
                  <c:v>0</c:v>
                </c:pt>
                <c:pt idx="20">
                  <c:v>3.4</c:v>
                </c:pt>
              </c:numCache>
            </c:numRef>
          </c:val>
          <c:extLst>
            <c:ext xmlns:c16="http://schemas.microsoft.com/office/drawing/2014/chart" uri="{C3380CC4-5D6E-409C-BE32-E72D297353CC}">
              <c16:uniqueId val="{00000000-F675-4594-A966-6FCE02CF3FB6}"/>
            </c:ext>
          </c:extLst>
        </c:ser>
        <c:ser>
          <c:idx val="1"/>
          <c:order val="1"/>
          <c:tx>
            <c:strRef>
              <c:f>VLDD!$D$3</c:f>
              <c:strCache>
                <c:ptCount val="1"/>
                <c:pt idx="0">
                  <c:v>Úbytky</c:v>
                </c:pt>
              </c:strCache>
            </c:strRef>
          </c:tx>
          <c:spPr>
            <a:solidFill>
              <a:schemeClr val="accent2"/>
            </a:solidFill>
            <a:ln>
              <a:noFill/>
            </a:ln>
            <a:effectLst/>
          </c:spPr>
          <c:invertIfNegative val="0"/>
          <c:cat>
            <c:numRef>
              <c:f>VLDD!$B$4:$B$24</c:f>
              <c:numCache>
                <c:formatCode>mmm\/yy</c:formatCode>
                <c:ptCount val="21"/>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pt idx="12">
                  <c:v>45292</c:v>
                </c:pt>
                <c:pt idx="13">
                  <c:v>45323</c:v>
                </c:pt>
                <c:pt idx="14">
                  <c:v>45352</c:v>
                </c:pt>
                <c:pt idx="15">
                  <c:v>45383</c:v>
                </c:pt>
                <c:pt idx="16">
                  <c:v>45413</c:v>
                </c:pt>
                <c:pt idx="17">
                  <c:v>45444</c:v>
                </c:pt>
                <c:pt idx="18">
                  <c:v>45474</c:v>
                </c:pt>
                <c:pt idx="19">
                  <c:v>45505</c:v>
                </c:pt>
                <c:pt idx="20">
                  <c:v>45536</c:v>
                </c:pt>
              </c:numCache>
            </c:numRef>
          </c:cat>
          <c:val>
            <c:numRef>
              <c:f>VLDD!$D$4:$D$24</c:f>
              <c:numCache>
                <c:formatCode>0.00</c:formatCode>
                <c:ptCount val="21"/>
                <c:pt idx="0">
                  <c:v>-6.84</c:v>
                </c:pt>
                <c:pt idx="1">
                  <c:v>-15.040000000000003</c:v>
                </c:pt>
                <c:pt idx="2">
                  <c:v>-2.8200000000000003</c:v>
                </c:pt>
                <c:pt idx="3">
                  <c:v>-3.0300000000000002</c:v>
                </c:pt>
                <c:pt idx="4">
                  <c:v>-2.2999999999999998</c:v>
                </c:pt>
                <c:pt idx="5">
                  <c:v>-2.16</c:v>
                </c:pt>
                <c:pt idx="6">
                  <c:v>-0.1</c:v>
                </c:pt>
                <c:pt idx="7">
                  <c:v>-2.0499999999999998</c:v>
                </c:pt>
                <c:pt idx="8">
                  <c:v>-4.08</c:v>
                </c:pt>
                <c:pt idx="9">
                  <c:v>-4.5999999999999996</c:v>
                </c:pt>
                <c:pt idx="10">
                  <c:v>-1.1299999999999999</c:v>
                </c:pt>
                <c:pt idx="11">
                  <c:v>-12.887499999999999</c:v>
                </c:pt>
                <c:pt idx="12">
                  <c:v>-2.95</c:v>
                </c:pt>
                <c:pt idx="13">
                  <c:v>-2</c:v>
                </c:pt>
                <c:pt idx="14">
                  <c:v>-4.8</c:v>
                </c:pt>
                <c:pt idx="15">
                  <c:v>-7</c:v>
                </c:pt>
                <c:pt idx="16">
                  <c:v>-5.5</c:v>
                </c:pt>
                <c:pt idx="17">
                  <c:v>-8.25</c:v>
                </c:pt>
                <c:pt idx="18">
                  <c:v>-6.7625000000000002</c:v>
                </c:pt>
                <c:pt idx="19">
                  <c:v>-9.25</c:v>
                </c:pt>
                <c:pt idx="20">
                  <c:v>-5.125</c:v>
                </c:pt>
              </c:numCache>
            </c:numRef>
          </c:val>
          <c:extLst>
            <c:ext xmlns:c16="http://schemas.microsoft.com/office/drawing/2014/chart" uri="{C3380CC4-5D6E-409C-BE32-E72D297353CC}">
              <c16:uniqueId val="{00000001-F675-4594-A966-6FCE02CF3FB6}"/>
            </c:ext>
          </c:extLst>
        </c:ser>
        <c:dLbls>
          <c:showLegendKey val="0"/>
          <c:showVal val="0"/>
          <c:showCatName val="0"/>
          <c:showSerName val="0"/>
          <c:showPercent val="0"/>
          <c:showBubbleSize val="0"/>
        </c:dLbls>
        <c:gapWidth val="100"/>
        <c:overlap val="100"/>
        <c:axId val="1553672656"/>
        <c:axId val="1553678064"/>
      </c:barChart>
      <c:lineChart>
        <c:grouping val="standard"/>
        <c:varyColors val="0"/>
        <c:ser>
          <c:idx val="2"/>
          <c:order val="2"/>
          <c:tx>
            <c:strRef>
              <c:f>VLDD!$E$3</c:f>
              <c:strCache>
                <c:ptCount val="1"/>
                <c:pt idx="0">
                  <c:v>Počet neobsadených miest ku koncu mesiaca (pravá os)</c:v>
                </c:pt>
              </c:strCache>
            </c:strRef>
          </c:tx>
          <c:spPr>
            <a:ln w="25400" cap="rnd">
              <a:solidFill>
                <a:schemeClr val="accent6"/>
              </a:solidFill>
              <a:prstDash val="sysDash"/>
              <a:round/>
            </a:ln>
            <a:effectLst/>
          </c:spPr>
          <c:marker>
            <c:symbol val="none"/>
          </c:marker>
          <c:cat>
            <c:numRef>
              <c:f>VLDD!$B$4:$B$24</c:f>
              <c:numCache>
                <c:formatCode>mmm\/yy</c:formatCode>
                <c:ptCount val="21"/>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pt idx="12">
                  <c:v>45292</c:v>
                </c:pt>
                <c:pt idx="13">
                  <c:v>45323</c:v>
                </c:pt>
                <c:pt idx="14">
                  <c:v>45352</c:v>
                </c:pt>
                <c:pt idx="15">
                  <c:v>45383</c:v>
                </c:pt>
                <c:pt idx="16">
                  <c:v>45413</c:v>
                </c:pt>
                <c:pt idx="17">
                  <c:v>45444</c:v>
                </c:pt>
                <c:pt idx="18">
                  <c:v>45474</c:v>
                </c:pt>
                <c:pt idx="19">
                  <c:v>45505</c:v>
                </c:pt>
                <c:pt idx="20">
                  <c:v>45536</c:v>
                </c:pt>
              </c:numCache>
            </c:numRef>
          </c:cat>
          <c:val>
            <c:numRef>
              <c:f>VLDD!$E$4:$E$24</c:f>
              <c:numCache>
                <c:formatCode>0.00</c:formatCode>
                <c:ptCount val="21"/>
                <c:pt idx="0">
                  <c:v>-230.91</c:v>
                </c:pt>
                <c:pt idx="1">
                  <c:v>-240.16</c:v>
                </c:pt>
                <c:pt idx="2">
                  <c:v>-239.11999999999998</c:v>
                </c:pt>
                <c:pt idx="3">
                  <c:v>-241.26999999999998</c:v>
                </c:pt>
                <c:pt idx="4">
                  <c:v>-242.67</c:v>
                </c:pt>
                <c:pt idx="5">
                  <c:v>-242.82999999999998</c:v>
                </c:pt>
                <c:pt idx="6">
                  <c:v>-242.92999999999998</c:v>
                </c:pt>
                <c:pt idx="7">
                  <c:v>-243.98</c:v>
                </c:pt>
                <c:pt idx="8">
                  <c:v>-247.06</c:v>
                </c:pt>
                <c:pt idx="9">
                  <c:v>-250.41</c:v>
                </c:pt>
                <c:pt idx="10">
                  <c:v>-250.54</c:v>
                </c:pt>
                <c:pt idx="11">
                  <c:v>-261.22750000000002</c:v>
                </c:pt>
                <c:pt idx="12">
                  <c:v>-257.47750000000002</c:v>
                </c:pt>
                <c:pt idx="13">
                  <c:v>-256.07125000000002</c:v>
                </c:pt>
                <c:pt idx="14">
                  <c:v>-257.21500000000003</c:v>
                </c:pt>
                <c:pt idx="15">
                  <c:v>-261.21500000000003</c:v>
                </c:pt>
                <c:pt idx="16">
                  <c:v>-265.71500000000003</c:v>
                </c:pt>
                <c:pt idx="17">
                  <c:v>-272.36500000000001</c:v>
                </c:pt>
                <c:pt idx="18">
                  <c:v>-276.17750000000001</c:v>
                </c:pt>
                <c:pt idx="19">
                  <c:v>-285.42750000000001</c:v>
                </c:pt>
                <c:pt idx="20">
                  <c:v>-287.15250000000003</c:v>
                </c:pt>
              </c:numCache>
            </c:numRef>
          </c:val>
          <c:smooth val="0"/>
          <c:extLst>
            <c:ext xmlns:c16="http://schemas.microsoft.com/office/drawing/2014/chart" uri="{C3380CC4-5D6E-409C-BE32-E72D297353CC}">
              <c16:uniqueId val="{00000002-F675-4594-A966-6FCE02CF3FB6}"/>
            </c:ext>
          </c:extLst>
        </c:ser>
        <c:dLbls>
          <c:showLegendKey val="0"/>
          <c:showVal val="0"/>
          <c:showCatName val="0"/>
          <c:showSerName val="0"/>
          <c:showPercent val="0"/>
          <c:showBubbleSize val="0"/>
        </c:dLbls>
        <c:marker val="1"/>
        <c:smooth val="0"/>
        <c:axId val="966153040"/>
        <c:axId val="966139728"/>
      </c:lineChart>
      <c:dateAx>
        <c:axId val="1553672656"/>
        <c:scaling>
          <c:orientation val="minMax"/>
        </c:scaling>
        <c:delete val="0"/>
        <c:axPos val="b"/>
        <c:numFmt formatCode="mmm\/yy"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553678064"/>
        <c:crosses val="autoZero"/>
        <c:auto val="1"/>
        <c:lblOffset val="100"/>
        <c:baseTimeUnit val="months"/>
      </c:dateAx>
      <c:valAx>
        <c:axId val="1553678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553672656"/>
        <c:crosses val="autoZero"/>
        <c:crossBetween val="between"/>
      </c:valAx>
      <c:valAx>
        <c:axId val="966139728"/>
        <c:scaling>
          <c:orientation val="minMax"/>
          <c:min val="-30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966153040"/>
        <c:crosses val="max"/>
        <c:crossBetween val="between"/>
      </c:valAx>
      <c:dateAx>
        <c:axId val="966153040"/>
        <c:scaling>
          <c:orientation val="minMax"/>
        </c:scaling>
        <c:delete val="1"/>
        <c:axPos val="t"/>
        <c:numFmt formatCode="mmm\/yy" sourceLinked="1"/>
        <c:majorTickMark val="out"/>
        <c:minorTickMark val="none"/>
        <c:tickLblPos val="nextTo"/>
        <c:crossAx val="966139728"/>
        <c:crosses val="max"/>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682852143482065"/>
          <c:y val="0"/>
          <c:w val="0.72892103764807181"/>
          <c:h val="0.98480628007090398"/>
        </c:manualLayout>
      </c:layout>
      <c:barChart>
        <c:barDir val="bar"/>
        <c:grouping val="clustered"/>
        <c:varyColors val="0"/>
        <c:ser>
          <c:idx val="0"/>
          <c:order val="0"/>
          <c:tx>
            <c:strRef>
              <c:f>graf!$F$2</c:f>
              <c:strCache>
                <c:ptCount val="1"/>
                <c:pt idx="0">
                  <c:v>spolu s FNPO</c:v>
                </c:pt>
              </c:strCache>
            </c:strRef>
          </c:tx>
          <c:spPr>
            <a:solidFill>
              <a:schemeClr val="accent1"/>
            </a:solidFill>
            <a:ln>
              <a:noFill/>
            </a:ln>
            <a:effectLst/>
          </c:spPr>
          <c:invertIfNegative val="0"/>
          <c:dPt>
            <c:idx val="5"/>
            <c:invertIfNegative val="0"/>
            <c:bubble3D val="0"/>
            <c:spPr>
              <a:solidFill>
                <a:schemeClr val="tx2"/>
              </a:solidFill>
              <a:ln>
                <a:noFill/>
              </a:ln>
              <a:effectLst/>
            </c:spPr>
            <c:extLst>
              <c:ext xmlns:c16="http://schemas.microsoft.com/office/drawing/2014/chart" uri="{C3380CC4-5D6E-409C-BE32-E72D297353CC}">
                <c16:uniqueId val="{00000001-F481-4562-833B-447096509BC6}"/>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graf!$E$3:$E$8</c:f>
              <c:strCache>
                <c:ptCount val="6"/>
                <c:pt idx="0">
                  <c:v>Zdravotné poisťovne</c:v>
                </c:pt>
                <c:pt idx="1">
                  <c:v>Daňový úrad</c:v>
                </c:pt>
                <c:pt idx="2">
                  <c:v>Zamestnanci</c:v>
                </c:pt>
                <c:pt idx="3">
                  <c:v>Iné záväzky (bez transferov)</c:v>
                </c:pt>
                <c:pt idx="4">
                  <c:v>Dodávatelia</c:v>
                </c:pt>
                <c:pt idx="5">
                  <c:v>Sociálna poisťovňa</c:v>
                </c:pt>
              </c:strCache>
            </c:strRef>
          </c:cat>
          <c:val>
            <c:numRef>
              <c:f>graf!$F$3:$F$8</c:f>
              <c:numCache>
                <c:formatCode>0.0</c:formatCode>
                <c:ptCount val="6"/>
                <c:pt idx="0">
                  <c:v>10.934636449999999</c:v>
                </c:pt>
                <c:pt idx="1">
                  <c:v>10.935163679999999</c:v>
                </c:pt>
                <c:pt idx="2">
                  <c:v>51.450149099999997</c:v>
                </c:pt>
                <c:pt idx="3">
                  <c:v>254.97732455000002</c:v>
                </c:pt>
                <c:pt idx="4">
                  <c:v>384.44878427999998</c:v>
                </c:pt>
                <c:pt idx="5">
                  <c:v>451.56838893999992</c:v>
                </c:pt>
              </c:numCache>
            </c:numRef>
          </c:val>
          <c:extLst>
            <c:ext xmlns:c16="http://schemas.microsoft.com/office/drawing/2014/chart" uri="{C3380CC4-5D6E-409C-BE32-E72D297353CC}">
              <c16:uniqueId val="{00000002-F481-4562-833B-447096509BC6}"/>
            </c:ext>
          </c:extLst>
        </c:ser>
        <c:dLbls>
          <c:showLegendKey val="0"/>
          <c:showVal val="0"/>
          <c:showCatName val="0"/>
          <c:showSerName val="0"/>
          <c:showPercent val="0"/>
          <c:showBubbleSize val="0"/>
        </c:dLbls>
        <c:gapWidth val="100"/>
        <c:axId val="1250583951"/>
        <c:axId val="1250585615"/>
      </c:barChart>
      <c:catAx>
        <c:axId val="1250583951"/>
        <c:scaling>
          <c:orientation val="minMax"/>
        </c:scaling>
        <c:delete val="0"/>
        <c:axPos val="l"/>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tx2"/>
                  </a:gs>
                </a:gsLst>
                <a:lin ang="10800000" scaled="0"/>
              </a:gra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250585615"/>
        <c:crosses val="autoZero"/>
        <c:auto val="1"/>
        <c:lblAlgn val="ctr"/>
        <c:lblOffset val="100"/>
        <c:noMultiLvlLbl val="0"/>
      </c:catAx>
      <c:valAx>
        <c:axId val="1250585615"/>
        <c:scaling>
          <c:orientation val="minMax"/>
        </c:scaling>
        <c:delete val="1"/>
        <c:axPos val="b"/>
        <c:numFmt formatCode="0.0" sourceLinked="1"/>
        <c:majorTickMark val="none"/>
        <c:minorTickMark val="none"/>
        <c:tickLblPos val="nextTo"/>
        <c:crossAx val="125058395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211119443402904E-2"/>
          <c:y val="5.0925925925925923E-2"/>
          <c:w val="0.88868578927634045"/>
          <c:h val="0.92129629047765693"/>
        </c:manualLayout>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tx2"/>
              </a:solidFill>
              <a:ln>
                <a:noFill/>
              </a:ln>
              <a:effectLst/>
            </c:spPr>
            <c:extLst>
              <c:ext xmlns:c16="http://schemas.microsoft.com/office/drawing/2014/chart" uri="{C3380CC4-5D6E-409C-BE32-E72D297353CC}">
                <c16:uniqueId val="{00000001-2D51-49A5-A009-0CD148C8C46D}"/>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vystup!$A$2:$A$14</c:f>
              <c:strCache>
                <c:ptCount val="13"/>
                <c:pt idx="0">
                  <c:v>FNNZ</c:v>
                </c:pt>
                <c:pt idx="1">
                  <c:v>DFNBB</c:v>
                </c:pt>
                <c:pt idx="2">
                  <c:v>UNM</c:v>
                </c:pt>
                <c:pt idx="3">
                  <c:v>DFNKE</c:v>
                </c:pt>
                <c:pt idx="4">
                  <c:v>FNTT</c:v>
                </c:pt>
                <c:pt idx="5">
                  <c:v>FNNR</c:v>
                </c:pt>
                <c:pt idx="6">
                  <c:v>FNPO</c:v>
                </c:pt>
                <c:pt idx="7">
                  <c:v>NÚDCH</c:v>
                </c:pt>
                <c:pt idx="8">
                  <c:v>UNKE</c:v>
                </c:pt>
                <c:pt idx="9">
                  <c:v>FNZA</c:v>
                </c:pt>
                <c:pt idx="10">
                  <c:v>FNBB</c:v>
                </c:pt>
                <c:pt idx="11">
                  <c:v>FNTN</c:v>
                </c:pt>
                <c:pt idx="12">
                  <c:v>UNB</c:v>
                </c:pt>
              </c:strCache>
            </c:strRef>
          </c:cat>
          <c:val>
            <c:numRef>
              <c:f>vystup!$H$2:$H$14</c:f>
              <c:numCache>
                <c:formatCode>0.0%</c:formatCode>
                <c:ptCount val="13"/>
                <c:pt idx="0">
                  <c:v>0.26245831384478124</c:v>
                </c:pt>
                <c:pt idx="1">
                  <c:v>0.27929578123722787</c:v>
                </c:pt>
                <c:pt idx="2">
                  <c:v>0.30360278297551813</c:v>
                </c:pt>
                <c:pt idx="3">
                  <c:v>0.3884555723987706</c:v>
                </c:pt>
                <c:pt idx="4">
                  <c:v>0.42932637925854589</c:v>
                </c:pt>
                <c:pt idx="5">
                  <c:v>0.49485711681451128</c:v>
                </c:pt>
                <c:pt idx="6">
                  <c:v>0.57349571483432005</c:v>
                </c:pt>
                <c:pt idx="7">
                  <c:v>0.57583610281284092</c:v>
                </c:pt>
                <c:pt idx="8">
                  <c:v>0.6137971693320573</c:v>
                </c:pt>
                <c:pt idx="9">
                  <c:v>0.61697996950765654</c:v>
                </c:pt>
                <c:pt idx="10">
                  <c:v>0.65601409373071728</c:v>
                </c:pt>
                <c:pt idx="11">
                  <c:v>0.75273770195793543</c:v>
                </c:pt>
                <c:pt idx="12">
                  <c:v>0.83821758920552147</c:v>
                </c:pt>
              </c:numCache>
            </c:numRef>
          </c:val>
          <c:extLst>
            <c:ext xmlns:c16="http://schemas.microsoft.com/office/drawing/2014/chart" uri="{C3380CC4-5D6E-409C-BE32-E72D297353CC}">
              <c16:uniqueId val="{00000002-2D51-49A5-A009-0CD148C8C46D}"/>
            </c:ext>
          </c:extLst>
        </c:ser>
        <c:dLbls>
          <c:showLegendKey val="0"/>
          <c:showVal val="0"/>
          <c:showCatName val="0"/>
          <c:showSerName val="0"/>
          <c:showPercent val="0"/>
          <c:showBubbleSize val="0"/>
        </c:dLbls>
        <c:gapWidth val="100"/>
        <c:axId val="1250583951"/>
        <c:axId val="1250585615"/>
      </c:barChart>
      <c:catAx>
        <c:axId val="1250583951"/>
        <c:scaling>
          <c:orientation val="minMax"/>
        </c:scaling>
        <c:delete val="0"/>
        <c:axPos val="l"/>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tx2"/>
                  </a:gs>
                </a:gsLst>
                <a:lin ang="10800000" scaled="0"/>
              </a:gra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250585615"/>
        <c:crosses val="autoZero"/>
        <c:auto val="1"/>
        <c:lblAlgn val="ctr"/>
        <c:lblOffset val="100"/>
        <c:noMultiLvlLbl val="0"/>
      </c:catAx>
      <c:valAx>
        <c:axId val="1250585615"/>
        <c:scaling>
          <c:orientation val="minMax"/>
        </c:scaling>
        <c:delete val="1"/>
        <c:axPos val="b"/>
        <c:numFmt formatCode="0.0%" sourceLinked="1"/>
        <c:majorTickMark val="none"/>
        <c:minorTickMark val="none"/>
        <c:tickLblPos val="nextTo"/>
        <c:crossAx val="125058395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Lieky!$B$4</c:f>
              <c:strCache>
                <c:ptCount val="1"/>
                <c:pt idx="0">
                  <c:v>Rozpočet</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Lieky!$C$3:$I$3</c:f>
              <c:strCache>
                <c:ptCount val="7"/>
                <c:pt idx="0">
                  <c:v>2021</c:v>
                </c:pt>
                <c:pt idx="1">
                  <c:v>2022</c:v>
                </c:pt>
                <c:pt idx="2">
                  <c:v>2023</c:v>
                </c:pt>
                <c:pt idx="3">
                  <c:v>2024 OS</c:v>
                </c:pt>
                <c:pt idx="4">
                  <c:v>2025 N</c:v>
                </c:pt>
                <c:pt idx="5">
                  <c:v>2026 N</c:v>
                </c:pt>
                <c:pt idx="6">
                  <c:v>2027 N</c:v>
                </c:pt>
              </c:strCache>
            </c:strRef>
          </c:cat>
          <c:val>
            <c:numRef>
              <c:f>Lieky!$C$4:$I$4</c:f>
              <c:numCache>
                <c:formatCode>0.0</c:formatCode>
                <c:ptCount val="7"/>
                <c:pt idx="0">
                  <c:v>1129</c:v>
                </c:pt>
                <c:pt idx="1">
                  <c:v>1095</c:v>
                </c:pt>
                <c:pt idx="2">
                  <c:v>1326</c:v>
                </c:pt>
                <c:pt idx="3">
                  <c:v>1499.0840000000001</c:v>
                </c:pt>
                <c:pt idx="4">
                  <c:v>1915.61736113291</c:v>
                </c:pt>
                <c:pt idx="5">
                  <c:v>2115.61736113291</c:v>
                </c:pt>
                <c:pt idx="6">
                  <c:v>2315.61736113291</c:v>
                </c:pt>
              </c:numCache>
            </c:numRef>
          </c:val>
          <c:extLst>
            <c:ext xmlns:c16="http://schemas.microsoft.com/office/drawing/2014/chart" uri="{C3380CC4-5D6E-409C-BE32-E72D297353CC}">
              <c16:uniqueId val="{00000000-A493-4550-A6B5-855A081F707F}"/>
            </c:ext>
          </c:extLst>
        </c:ser>
        <c:ser>
          <c:idx val="1"/>
          <c:order val="1"/>
          <c:tx>
            <c:strRef>
              <c:f>Lieky!$B$5</c:f>
              <c:strCache>
                <c:ptCount val="1"/>
                <c:pt idx="0">
                  <c:v>Skutočnosť</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2"/>
                    </a:solidFill>
                    <a:latin typeface="Segoe UI" panose="020B0502040204020203" pitchFamily="34" charset="0"/>
                    <a:ea typeface="+mn-ea"/>
                    <a:cs typeface="Segoe UI" panose="020B0502040204020203"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Lieky!$C$3:$I$3</c:f>
              <c:strCache>
                <c:ptCount val="7"/>
                <c:pt idx="0">
                  <c:v>2021</c:v>
                </c:pt>
                <c:pt idx="1">
                  <c:v>2022</c:v>
                </c:pt>
                <c:pt idx="2">
                  <c:v>2023</c:v>
                </c:pt>
                <c:pt idx="3">
                  <c:v>2024 OS</c:v>
                </c:pt>
                <c:pt idx="4">
                  <c:v>2025 N</c:v>
                </c:pt>
                <c:pt idx="5">
                  <c:v>2026 N</c:v>
                </c:pt>
                <c:pt idx="6">
                  <c:v>2027 N</c:v>
                </c:pt>
              </c:strCache>
            </c:strRef>
          </c:cat>
          <c:val>
            <c:numRef>
              <c:f>Lieky!$C$5:$I$5</c:f>
              <c:numCache>
                <c:formatCode>0.0</c:formatCode>
                <c:ptCount val="7"/>
                <c:pt idx="0">
                  <c:v>1262.5</c:v>
                </c:pt>
                <c:pt idx="1">
                  <c:v>1401.7</c:v>
                </c:pt>
                <c:pt idx="2">
                  <c:v>1526.6</c:v>
                </c:pt>
                <c:pt idx="3">
                  <c:v>1722.9</c:v>
                </c:pt>
              </c:numCache>
            </c:numRef>
          </c:val>
          <c:extLst>
            <c:ext xmlns:c16="http://schemas.microsoft.com/office/drawing/2014/chart" uri="{C3380CC4-5D6E-409C-BE32-E72D297353CC}">
              <c16:uniqueId val="{00000001-A493-4550-A6B5-855A081F707F}"/>
            </c:ext>
          </c:extLst>
        </c:ser>
        <c:dLbls>
          <c:dLblPos val="outEnd"/>
          <c:showLegendKey val="0"/>
          <c:showVal val="1"/>
          <c:showCatName val="0"/>
          <c:showSerName val="0"/>
          <c:showPercent val="0"/>
          <c:showBubbleSize val="0"/>
        </c:dLbls>
        <c:gapWidth val="100"/>
        <c:axId val="1282133520"/>
        <c:axId val="1282117712"/>
      </c:barChart>
      <c:catAx>
        <c:axId val="128213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282117712"/>
        <c:crosses val="autoZero"/>
        <c:auto val="1"/>
        <c:lblAlgn val="ctr"/>
        <c:lblOffset val="100"/>
        <c:noMultiLvlLbl val="0"/>
      </c:catAx>
      <c:valAx>
        <c:axId val="1282117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282133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'Hárok 1'!$A$24</c:f>
              <c:strCache>
                <c:ptCount val="1"/>
                <c:pt idx="0">
                  <c:v>Pedagogickí zamestnanci základných škôl</c:v>
                </c:pt>
              </c:strCache>
            </c:strRef>
          </c:tx>
          <c:spPr>
            <a:ln w="28575" cap="rnd">
              <a:solidFill>
                <a:schemeClr val="accent1"/>
              </a:solidFill>
              <a:round/>
            </a:ln>
            <a:effectLst/>
          </c:spPr>
          <c:marker>
            <c:symbol val="circle"/>
            <c:size val="5"/>
            <c:spPr>
              <a:solidFill>
                <a:schemeClr val="accent1"/>
              </a:solidFill>
              <a:ln w="9525">
                <a:solidFill>
                  <a:schemeClr val="bg1"/>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0-ECBF-4D2D-8228-190171F9BAA9}"/>
                </c:ext>
              </c:extLst>
            </c:dLbl>
            <c:spPr>
              <a:noFill/>
              <a:ln>
                <a:noFill/>
              </a:ln>
              <a:effectLst/>
            </c:spPr>
            <c:txPr>
              <a:bodyPr rot="0" spcFirstLastPara="1" vertOverflow="ellipsis" vert="horz" wrap="square" anchor="ctr" anchorCtr="1"/>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 1'!$B$23:$G$23</c:f>
              <c:numCache>
                <c:formatCode>General</c:formatCode>
                <c:ptCount val="5"/>
                <c:pt idx="0">
                  <c:v>2021</c:v>
                </c:pt>
                <c:pt idx="1">
                  <c:v>2022</c:v>
                </c:pt>
                <c:pt idx="2">
                  <c:v>2023</c:v>
                </c:pt>
                <c:pt idx="3">
                  <c:v>2024</c:v>
                </c:pt>
                <c:pt idx="4">
                  <c:v>2025</c:v>
                </c:pt>
              </c:numCache>
              <c:extLst/>
            </c:numRef>
          </c:cat>
          <c:val>
            <c:numRef>
              <c:f>'Hárok 1'!$B$24:$G$24</c:f>
              <c:numCache>
                <c:formatCode>0.0</c:formatCode>
                <c:ptCount val="5"/>
                <c:pt idx="0" formatCode="General">
                  <c:v>100</c:v>
                </c:pt>
                <c:pt idx="1">
                  <c:v>90.176175287685183</c:v>
                </c:pt>
                <c:pt idx="2">
                  <c:v>91.777370904213939</c:v>
                </c:pt>
                <c:pt idx="3">
                  <c:v>95.109763437436357</c:v>
                </c:pt>
                <c:pt idx="4">
                  <c:v>90.234433260941103</c:v>
                </c:pt>
              </c:numCache>
              <c:extLst/>
            </c:numRef>
          </c:val>
          <c:smooth val="0"/>
          <c:extLst>
            <c:ext xmlns:c16="http://schemas.microsoft.com/office/drawing/2014/chart" uri="{C3380CC4-5D6E-409C-BE32-E72D297353CC}">
              <c16:uniqueId val="{00000001-ECBF-4D2D-8228-190171F9BAA9}"/>
            </c:ext>
          </c:extLst>
        </c:ser>
        <c:ser>
          <c:idx val="1"/>
          <c:order val="1"/>
          <c:tx>
            <c:strRef>
              <c:f>'Hárok 1'!$A$25</c:f>
              <c:strCache>
                <c:ptCount val="1"/>
                <c:pt idx="0">
                  <c:v>Hospodárstvo</c:v>
                </c:pt>
              </c:strCache>
            </c:strRef>
          </c:tx>
          <c:spPr>
            <a:ln w="28575" cap="rnd">
              <a:solidFill>
                <a:schemeClr val="accent2"/>
              </a:solidFill>
              <a:round/>
            </a:ln>
            <a:effectLst/>
          </c:spPr>
          <c:marker>
            <c:symbol val="circle"/>
            <c:size val="5"/>
            <c:spPr>
              <a:solidFill>
                <a:schemeClr val="accent2"/>
              </a:solidFill>
              <a:ln w="9525">
                <a:solidFill>
                  <a:schemeClr val="bg1"/>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ECBF-4D2D-8228-190171F9BAA9}"/>
                </c:ext>
              </c:extLst>
            </c:dLbl>
            <c:spPr>
              <a:noFill/>
              <a:ln>
                <a:noFill/>
              </a:ln>
              <a:effectLst/>
            </c:spPr>
            <c:txPr>
              <a:bodyPr rot="0" spcFirstLastPara="1" vertOverflow="ellipsis" vert="horz" wrap="square" anchor="ctr" anchorCtr="1"/>
              <a:lstStyle/>
              <a:p>
                <a:pPr>
                  <a:defRPr sz="800" b="1" i="0" u="none" strike="noStrike" kern="1200" baseline="0">
                    <a:solidFill>
                      <a:schemeClr val="accent2"/>
                    </a:solidFill>
                    <a:latin typeface="Segoe UI" panose="020B0502040204020203" pitchFamily="34" charset="0"/>
                    <a:ea typeface="+mn-ea"/>
                    <a:cs typeface="Segoe UI" panose="020B0502040204020203" pitchFamily="34" charset="0"/>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 1'!$B$23:$G$23</c:f>
              <c:numCache>
                <c:formatCode>General</c:formatCode>
                <c:ptCount val="5"/>
                <c:pt idx="0">
                  <c:v>2021</c:v>
                </c:pt>
                <c:pt idx="1">
                  <c:v>2022</c:v>
                </c:pt>
                <c:pt idx="2">
                  <c:v>2023</c:v>
                </c:pt>
                <c:pt idx="3">
                  <c:v>2024</c:v>
                </c:pt>
                <c:pt idx="4">
                  <c:v>2025</c:v>
                </c:pt>
              </c:numCache>
              <c:extLst/>
            </c:numRef>
          </c:cat>
          <c:val>
            <c:numRef>
              <c:f>'Hárok 1'!$B$25:$G$25</c:f>
              <c:numCache>
                <c:formatCode>0.0</c:formatCode>
                <c:ptCount val="5"/>
                <c:pt idx="0" formatCode="General">
                  <c:v>100</c:v>
                </c:pt>
                <c:pt idx="1">
                  <c:v>95.478218408558618</c:v>
                </c:pt>
                <c:pt idx="2">
                  <c:v>94.722691864165441</c:v>
                </c:pt>
                <c:pt idx="3">
                  <c:v>98.487526291862167</c:v>
                </c:pt>
                <c:pt idx="4">
                  <c:v>98.942660935470897</c:v>
                </c:pt>
              </c:numCache>
              <c:extLst/>
            </c:numRef>
          </c:val>
          <c:smooth val="0"/>
          <c:extLst>
            <c:ext xmlns:c16="http://schemas.microsoft.com/office/drawing/2014/chart" uri="{C3380CC4-5D6E-409C-BE32-E72D297353CC}">
              <c16:uniqueId val="{00000003-ECBF-4D2D-8228-190171F9BAA9}"/>
            </c:ext>
          </c:extLst>
        </c:ser>
        <c:dLbls>
          <c:showLegendKey val="0"/>
          <c:showVal val="0"/>
          <c:showCatName val="0"/>
          <c:showSerName val="0"/>
          <c:showPercent val="0"/>
          <c:showBubbleSize val="0"/>
        </c:dLbls>
        <c:marker val="1"/>
        <c:smooth val="0"/>
        <c:axId val="265056432"/>
        <c:axId val="265058512"/>
      </c:lineChart>
      <c:catAx>
        <c:axId val="26505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265058512"/>
        <c:crosses val="autoZero"/>
        <c:auto val="1"/>
        <c:lblAlgn val="ctr"/>
        <c:lblOffset val="100"/>
        <c:noMultiLvlLbl val="0"/>
      </c:catAx>
      <c:valAx>
        <c:axId val="265058512"/>
        <c:scaling>
          <c:orientation val="minMax"/>
          <c:max val="105"/>
          <c:min val="8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265056432"/>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'Odbory a programy'!$I$2</c:f>
              <c:strCache>
                <c:ptCount val="1"/>
                <c:pt idx="0">
                  <c:v>Učiteľské študijné programy</c:v>
                </c:pt>
              </c:strCache>
            </c:strRef>
          </c:tx>
          <c:spPr>
            <a:solidFill>
              <a:schemeClr val="accent1"/>
            </a:solidFill>
            <a:ln>
              <a:noFill/>
            </a:ln>
            <a:effectLst/>
          </c:spPr>
          <c:invertIfNegative val="0"/>
          <c:dLbls>
            <c:numFmt formatCode="0\ %" sourceLinked="0"/>
            <c:spPr>
              <a:noFill/>
              <a:ln>
                <a:noFill/>
              </a:ln>
              <a:effectLst/>
            </c:spPr>
            <c:txPr>
              <a:bodyPr rot="0" spcFirstLastPara="1" vertOverflow="ellipsis" vert="horz" wrap="square" anchor="ctr" anchorCtr="1"/>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'Odbory a programy'!$H$3:$H$8</c:f>
              <c:strCache>
                <c:ptCount val="6"/>
                <c:pt idx="0">
                  <c:v>Biológia</c:v>
                </c:pt>
                <c:pt idx="1">
                  <c:v>Geografia</c:v>
                </c:pt>
                <c:pt idx="2">
                  <c:v>História</c:v>
                </c:pt>
                <c:pt idx="3">
                  <c:v>Chémia</c:v>
                </c:pt>
                <c:pt idx="4">
                  <c:v>Informatika</c:v>
                </c:pt>
                <c:pt idx="5">
                  <c:v>Matematika</c:v>
                </c:pt>
              </c:strCache>
            </c:strRef>
          </c:cat>
          <c:val>
            <c:numRef>
              <c:f>'Odbory a programy'!$I$3:$I$8</c:f>
              <c:numCache>
                <c:formatCode>0.0%</c:formatCode>
                <c:ptCount val="6"/>
                <c:pt idx="0">
                  <c:v>0.6767676767676768</c:v>
                </c:pt>
                <c:pt idx="1">
                  <c:v>0.55384615384615388</c:v>
                </c:pt>
                <c:pt idx="2">
                  <c:v>0.58235294117647063</c:v>
                </c:pt>
                <c:pt idx="3">
                  <c:v>0.87931034482758619</c:v>
                </c:pt>
                <c:pt idx="4">
                  <c:v>0.33962264150943394</c:v>
                </c:pt>
                <c:pt idx="5">
                  <c:v>0.72727272727272729</c:v>
                </c:pt>
              </c:numCache>
            </c:numRef>
          </c:val>
          <c:extLst>
            <c:ext xmlns:c16="http://schemas.microsoft.com/office/drawing/2014/chart" uri="{C3380CC4-5D6E-409C-BE32-E72D297353CC}">
              <c16:uniqueId val="{00000000-D29C-4FF0-BCA5-D3F82F0D2017}"/>
            </c:ext>
          </c:extLst>
        </c:ser>
        <c:ser>
          <c:idx val="1"/>
          <c:order val="1"/>
          <c:tx>
            <c:strRef>
              <c:f>'Odbory a programy'!$J$2</c:f>
              <c:strCache>
                <c:ptCount val="1"/>
                <c:pt idx="0">
                  <c:v>Neučiteľské študijné programy</c:v>
                </c:pt>
              </c:strCache>
            </c:strRef>
          </c:tx>
          <c:spPr>
            <a:solidFill>
              <a:schemeClr val="accent2"/>
            </a:solidFill>
            <a:ln>
              <a:noFill/>
            </a:ln>
            <a:effectLst/>
          </c:spPr>
          <c:invertIfNegative val="0"/>
          <c:dLbls>
            <c:numFmt formatCode="0\ %" sourceLinked="0"/>
            <c:spPr>
              <a:noFill/>
              <a:ln>
                <a:noFill/>
              </a:ln>
              <a:effectLst/>
            </c:spPr>
            <c:txPr>
              <a:bodyPr rot="0" spcFirstLastPara="1" vertOverflow="ellipsis" vert="horz" wrap="square" anchor="ctr" anchorCtr="1"/>
              <a:lstStyle/>
              <a:p>
                <a:pPr>
                  <a:defRPr sz="800" b="1" i="0" u="none" strike="noStrike" kern="1200" baseline="0">
                    <a:solidFill>
                      <a:schemeClr val="accent2"/>
                    </a:solidFill>
                    <a:latin typeface="Segoe UI" panose="020B0502040204020203" pitchFamily="34" charset="0"/>
                    <a:ea typeface="+mn-ea"/>
                    <a:cs typeface="Segoe UI" panose="020B0502040204020203" pitchFamily="34" charset="0"/>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'Odbory a programy'!$H$3:$H$8</c:f>
              <c:strCache>
                <c:ptCount val="6"/>
                <c:pt idx="0">
                  <c:v>Biológia</c:v>
                </c:pt>
                <c:pt idx="1">
                  <c:v>Geografia</c:v>
                </c:pt>
                <c:pt idx="2">
                  <c:v>História</c:v>
                </c:pt>
                <c:pt idx="3">
                  <c:v>Chémia</c:v>
                </c:pt>
                <c:pt idx="4">
                  <c:v>Informatika</c:v>
                </c:pt>
                <c:pt idx="5">
                  <c:v>Matematika</c:v>
                </c:pt>
              </c:strCache>
            </c:strRef>
          </c:cat>
          <c:val>
            <c:numRef>
              <c:f>'Odbory a programy'!$J$3:$J$8</c:f>
              <c:numCache>
                <c:formatCode>0.0%</c:formatCode>
                <c:ptCount val="6"/>
                <c:pt idx="0">
                  <c:v>0.79261363636363635</c:v>
                </c:pt>
                <c:pt idx="1">
                  <c:v>0.86206896551724133</c:v>
                </c:pt>
                <c:pt idx="2">
                  <c:v>0.54545454545454541</c:v>
                </c:pt>
                <c:pt idx="3">
                  <c:v>0.84916201117318435</c:v>
                </c:pt>
                <c:pt idx="4">
                  <c:v>0.41260404280618312</c:v>
                </c:pt>
                <c:pt idx="5">
                  <c:v>0.92481203007518797</c:v>
                </c:pt>
              </c:numCache>
            </c:numRef>
          </c:val>
          <c:extLst>
            <c:ext xmlns:c16="http://schemas.microsoft.com/office/drawing/2014/chart" uri="{C3380CC4-5D6E-409C-BE32-E72D297353CC}">
              <c16:uniqueId val="{00000001-D29C-4FF0-BCA5-D3F82F0D2017}"/>
            </c:ext>
          </c:extLst>
        </c:ser>
        <c:dLbls>
          <c:showLegendKey val="0"/>
          <c:showVal val="0"/>
          <c:showCatName val="0"/>
          <c:showSerName val="0"/>
          <c:showPercent val="0"/>
          <c:showBubbleSize val="0"/>
        </c:dLbls>
        <c:gapWidth val="100"/>
        <c:axId val="808563743"/>
        <c:axId val="808564991"/>
      </c:barChart>
      <c:catAx>
        <c:axId val="808563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808564991"/>
        <c:crosses val="autoZero"/>
        <c:auto val="1"/>
        <c:lblAlgn val="ctr"/>
        <c:lblOffset val="100"/>
        <c:noMultiLvlLbl val="0"/>
      </c:catAx>
      <c:valAx>
        <c:axId val="808564991"/>
        <c:scaling>
          <c:orientation val="minMax"/>
        </c:scaling>
        <c:delete val="0"/>
        <c:axPos val="l"/>
        <c:majorGridlines>
          <c:spPr>
            <a:ln w="9525" cap="flat" cmpd="sng" algn="ctr">
              <a:solidFill>
                <a:schemeClr val="tx1">
                  <a:lumMod val="15000"/>
                  <a:lumOff val="85000"/>
                </a:schemeClr>
              </a:solidFill>
              <a:round/>
            </a:ln>
            <a:effectLst/>
          </c:spPr>
        </c:majorGridlines>
        <c:numFmt formatCode="0\ %"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808563743"/>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'Zdravotne odvody'!$B$26</c:f>
              <c:strCache>
                <c:ptCount val="1"/>
                <c:pt idx="0">
                  <c:v>Zaplatené ročné poistné za poistencov štátu (v mil. eur) pravá os)</c:v>
                </c:pt>
              </c:strCache>
            </c:strRef>
          </c:tx>
          <c:spPr>
            <a:solidFill>
              <a:schemeClr val="accent2"/>
            </a:solidFill>
            <a:ln>
              <a:noFill/>
            </a:ln>
            <a:effectLst/>
          </c:spPr>
          <c:invertIfNegative val="0"/>
          <c:cat>
            <c:strRef>
              <c:f>'Zdravotne odvody'!$C$24:$O$24</c:f>
              <c:strCache>
                <c:ptCount val="13"/>
                <c:pt idx="0">
                  <c:v>2013</c:v>
                </c:pt>
                <c:pt idx="1">
                  <c:v>2014</c:v>
                </c:pt>
                <c:pt idx="2">
                  <c:v>2015</c:v>
                </c:pt>
                <c:pt idx="3">
                  <c:v>2016</c:v>
                </c:pt>
                <c:pt idx="4">
                  <c:v>2017</c:v>
                </c:pt>
                <c:pt idx="5">
                  <c:v>2018</c:v>
                </c:pt>
                <c:pt idx="6">
                  <c:v>2019</c:v>
                </c:pt>
                <c:pt idx="7">
                  <c:v>2020</c:v>
                </c:pt>
                <c:pt idx="8">
                  <c:v>2021</c:v>
                </c:pt>
                <c:pt idx="9">
                  <c:v>2022</c:v>
                </c:pt>
                <c:pt idx="10">
                  <c:v>2023</c:v>
                </c:pt>
                <c:pt idx="11">
                  <c:v>2024 OS</c:v>
                </c:pt>
                <c:pt idx="12">
                  <c:v>2025 N</c:v>
                </c:pt>
              </c:strCache>
            </c:strRef>
          </c:cat>
          <c:val>
            <c:numRef>
              <c:f>'Zdravotne odvody'!$C$26:$O$26</c:f>
              <c:numCache>
                <c:formatCode>General</c:formatCode>
                <c:ptCount val="13"/>
                <c:pt idx="0">
                  <c:v>1276.8</c:v>
                </c:pt>
                <c:pt idx="1">
                  <c:v>1211.5</c:v>
                </c:pt>
                <c:pt idx="2">
                  <c:v>1348.9</c:v>
                </c:pt>
                <c:pt idx="3">
                  <c:v>1392.1</c:v>
                </c:pt>
                <c:pt idx="4">
                  <c:v>1299.3</c:v>
                </c:pt>
                <c:pt idx="5">
                  <c:v>1189</c:v>
                </c:pt>
                <c:pt idx="6" formatCode="0">
                  <c:v>1202.8</c:v>
                </c:pt>
                <c:pt idx="7" formatCode="0">
                  <c:v>1167.03</c:v>
                </c:pt>
                <c:pt idx="8" formatCode="0">
                  <c:v>1292.0999999999999</c:v>
                </c:pt>
                <c:pt idx="9" formatCode="0">
                  <c:v>1289</c:v>
                </c:pt>
                <c:pt idx="10" formatCode="0">
                  <c:v>2081.277</c:v>
                </c:pt>
                <c:pt idx="11" formatCode="0">
                  <c:v>2083.1</c:v>
                </c:pt>
              </c:numCache>
            </c:numRef>
          </c:val>
          <c:extLst>
            <c:ext xmlns:c16="http://schemas.microsoft.com/office/drawing/2014/chart" uri="{C3380CC4-5D6E-409C-BE32-E72D297353CC}">
              <c16:uniqueId val="{00000000-38CC-45C7-BAFB-37F6B579342A}"/>
            </c:ext>
          </c:extLst>
        </c:ser>
        <c:ser>
          <c:idx val="3"/>
          <c:order val="3"/>
          <c:tx>
            <c:strRef>
              <c:f>'Zdravotne odvody'!$B$28</c:f>
              <c:strCache>
                <c:ptCount val="1"/>
                <c:pt idx="0">
                  <c:v>Zaplatené ročné poistné EAO (v mil. eur) pravá os)</c:v>
                </c:pt>
              </c:strCache>
            </c:strRef>
          </c:tx>
          <c:spPr>
            <a:solidFill>
              <a:schemeClr val="tx2"/>
            </a:solidFill>
            <a:ln>
              <a:noFill/>
            </a:ln>
            <a:effectLst/>
          </c:spPr>
          <c:invertIfNegative val="0"/>
          <c:cat>
            <c:strRef>
              <c:f>'Zdravotne odvody'!$C$24:$O$24</c:f>
              <c:strCache>
                <c:ptCount val="13"/>
                <c:pt idx="0">
                  <c:v>2013</c:v>
                </c:pt>
                <c:pt idx="1">
                  <c:v>2014</c:v>
                </c:pt>
                <c:pt idx="2">
                  <c:v>2015</c:v>
                </c:pt>
                <c:pt idx="3">
                  <c:v>2016</c:v>
                </c:pt>
                <c:pt idx="4">
                  <c:v>2017</c:v>
                </c:pt>
                <c:pt idx="5">
                  <c:v>2018</c:v>
                </c:pt>
                <c:pt idx="6">
                  <c:v>2019</c:v>
                </c:pt>
                <c:pt idx="7">
                  <c:v>2020</c:v>
                </c:pt>
                <c:pt idx="8">
                  <c:v>2021</c:v>
                </c:pt>
                <c:pt idx="9">
                  <c:v>2022</c:v>
                </c:pt>
                <c:pt idx="10">
                  <c:v>2023</c:v>
                </c:pt>
                <c:pt idx="11">
                  <c:v>2024 OS</c:v>
                </c:pt>
                <c:pt idx="12">
                  <c:v>2025 N</c:v>
                </c:pt>
              </c:strCache>
            </c:strRef>
          </c:cat>
          <c:val>
            <c:numRef>
              <c:f>'Zdravotne odvody'!$C$28:$O$28</c:f>
              <c:numCache>
                <c:formatCode>General</c:formatCode>
                <c:ptCount val="13"/>
                <c:pt idx="0">
                  <c:v>2572.9699999999998</c:v>
                </c:pt>
                <c:pt idx="1">
                  <c:v>2769.95</c:v>
                </c:pt>
                <c:pt idx="2">
                  <c:v>2880.08</c:v>
                </c:pt>
                <c:pt idx="3">
                  <c:v>2952.66</c:v>
                </c:pt>
                <c:pt idx="4">
                  <c:v>3292.16</c:v>
                </c:pt>
                <c:pt idx="5">
                  <c:v>3629.92</c:v>
                </c:pt>
                <c:pt idx="6">
                  <c:v>3978.64</c:v>
                </c:pt>
                <c:pt idx="7">
                  <c:v>4024.78</c:v>
                </c:pt>
                <c:pt idx="8">
                  <c:v>4334.7</c:v>
                </c:pt>
                <c:pt idx="9">
                  <c:v>4688.7</c:v>
                </c:pt>
                <c:pt idx="10">
                  <c:v>5163.2020000000002</c:v>
                </c:pt>
                <c:pt idx="11">
                  <c:v>5893.6</c:v>
                </c:pt>
                <c:pt idx="12">
                  <c:v>6270</c:v>
                </c:pt>
              </c:numCache>
            </c:numRef>
          </c:val>
          <c:extLst>
            <c:ext xmlns:c16="http://schemas.microsoft.com/office/drawing/2014/chart" uri="{C3380CC4-5D6E-409C-BE32-E72D297353CC}">
              <c16:uniqueId val="{00000001-38CC-45C7-BAFB-37F6B579342A}"/>
            </c:ext>
          </c:extLst>
        </c:ser>
        <c:dLbls>
          <c:showLegendKey val="0"/>
          <c:showVal val="0"/>
          <c:showCatName val="0"/>
          <c:showSerName val="0"/>
          <c:showPercent val="0"/>
          <c:showBubbleSize val="0"/>
        </c:dLbls>
        <c:gapWidth val="75"/>
        <c:axId val="2061190528"/>
        <c:axId val="2061197184"/>
      </c:barChart>
      <c:lineChart>
        <c:grouping val="standard"/>
        <c:varyColors val="0"/>
        <c:ser>
          <c:idx val="0"/>
          <c:order val="0"/>
          <c:tx>
            <c:strRef>
              <c:f>'Zdravotne odvody'!$B$25</c:f>
              <c:strCache>
                <c:ptCount val="1"/>
                <c:pt idx="0">
                  <c:v>Priemerné poistné za poist. štátu (v eur) ľavá os)</c:v>
                </c:pt>
              </c:strCache>
            </c:strRef>
          </c:tx>
          <c:spPr>
            <a:ln w="25400" cap="rnd">
              <a:solidFill>
                <a:schemeClr val="accent6"/>
              </a:solidFill>
              <a:prstDash val="sysDash"/>
              <a:round/>
            </a:ln>
            <a:effectLst/>
          </c:spPr>
          <c:marker>
            <c:symbol val="none"/>
          </c:marker>
          <c:cat>
            <c:strRef>
              <c:f>'Zdravotne odvody'!$C$24:$O$24</c:f>
              <c:strCache>
                <c:ptCount val="13"/>
                <c:pt idx="0">
                  <c:v>2013</c:v>
                </c:pt>
                <c:pt idx="1">
                  <c:v>2014</c:v>
                </c:pt>
                <c:pt idx="2">
                  <c:v>2015</c:v>
                </c:pt>
                <c:pt idx="3">
                  <c:v>2016</c:v>
                </c:pt>
                <c:pt idx="4">
                  <c:v>2017</c:v>
                </c:pt>
                <c:pt idx="5">
                  <c:v>2018</c:v>
                </c:pt>
                <c:pt idx="6">
                  <c:v>2019</c:v>
                </c:pt>
                <c:pt idx="7">
                  <c:v>2020</c:v>
                </c:pt>
                <c:pt idx="8">
                  <c:v>2021</c:v>
                </c:pt>
                <c:pt idx="9">
                  <c:v>2022</c:v>
                </c:pt>
                <c:pt idx="10">
                  <c:v>2023</c:v>
                </c:pt>
                <c:pt idx="11">
                  <c:v>2024 OS</c:v>
                </c:pt>
                <c:pt idx="12">
                  <c:v>2025 N</c:v>
                </c:pt>
              </c:strCache>
            </c:strRef>
          </c:cat>
          <c:val>
            <c:numRef>
              <c:f>'Zdravotne odvody'!$C$25:$O$25</c:f>
              <c:numCache>
                <c:formatCode>0.0</c:formatCode>
                <c:ptCount val="13"/>
                <c:pt idx="0">
                  <c:v>33.4</c:v>
                </c:pt>
                <c:pt idx="1">
                  <c:v>32.200000000000003</c:v>
                </c:pt>
                <c:pt idx="2">
                  <c:v>36.5</c:v>
                </c:pt>
                <c:pt idx="3">
                  <c:v>37.840000000000003</c:v>
                </c:pt>
                <c:pt idx="4">
                  <c:v>36.159999999999997</c:v>
                </c:pt>
                <c:pt idx="5">
                  <c:v>33.840000000000003</c:v>
                </c:pt>
                <c:pt idx="6">
                  <c:v>34.340000000000003</c:v>
                </c:pt>
                <c:pt idx="7">
                  <c:v>32.42</c:v>
                </c:pt>
                <c:pt idx="8">
                  <c:v>36.74</c:v>
                </c:pt>
                <c:pt idx="9">
                  <c:v>37</c:v>
                </c:pt>
                <c:pt idx="10">
                  <c:v>60</c:v>
                </c:pt>
                <c:pt idx="11">
                  <c:v>60</c:v>
                </c:pt>
              </c:numCache>
            </c:numRef>
          </c:val>
          <c:smooth val="0"/>
          <c:extLst>
            <c:ext xmlns:c16="http://schemas.microsoft.com/office/drawing/2014/chart" uri="{C3380CC4-5D6E-409C-BE32-E72D297353CC}">
              <c16:uniqueId val="{00000002-38CC-45C7-BAFB-37F6B579342A}"/>
            </c:ext>
          </c:extLst>
        </c:ser>
        <c:ser>
          <c:idx val="2"/>
          <c:order val="2"/>
          <c:tx>
            <c:strRef>
              <c:f>'Zdravotne odvody'!$B$27</c:f>
              <c:strCache>
                <c:ptCount val="1"/>
                <c:pt idx="0">
                  <c:v>Priemerné poistné EAO (v eur) ľavá os)</c:v>
                </c:pt>
              </c:strCache>
            </c:strRef>
          </c:tx>
          <c:spPr>
            <a:ln w="25400" cap="rnd">
              <a:solidFill>
                <a:schemeClr val="accent5"/>
              </a:solidFill>
              <a:prstDash val="sysDash"/>
              <a:round/>
            </a:ln>
            <a:effectLst/>
          </c:spPr>
          <c:marker>
            <c:symbol val="none"/>
          </c:marker>
          <c:cat>
            <c:strRef>
              <c:f>'Zdravotne odvody'!$C$24:$O$24</c:f>
              <c:strCache>
                <c:ptCount val="13"/>
                <c:pt idx="0">
                  <c:v>2013</c:v>
                </c:pt>
                <c:pt idx="1">
                  <c:v>2014</c:v>
                </c:pt>
                <c:pt idx="2">
                  <c:v>2015</c:v>
                </c:pt>
                <c:pt idx="3">
                  <c:v>2016</c:v>
                </c:pt>
                <c:pt idx="4">
                  <c:v>2017</c:v>
                </c:pt>
                <c:pt idx="5">
                  <c:v>2018</c:v>
                </c:pt>
                <c:pt idx="6">
                  <c:v>2019</c:v>
                </c:pt>
                <c:pt idx="7">
                  <c:v>2020</c:v>
                </c:pt>
                <c:pt idx="8">
                  <c:v>2021</c:v>
                </c:pt>
                <c:pt idx="9">
                  <c:v>2022</c:v>
                </c:pt>
                <c:pt idx="10">
                  <c:v>2023</c:v>
                </c:pt>
                <c:pt idx="11">
                  <c:v>2024 OS</c:v>
                </c:pt>
                <c:pt idx="12">
                  <c:v>2025 N</c:v>
                </c:pt>
              </c:strCache>
            </c:strRef>
          </c:cat>
          <c:val>
            <c:numRef>
              <c:f>'Zdravotne odvody'!$C$27:$O$27</c:f>
              <c:numCache>
                <c:formatCode>0.0</c:formatCode>
                <c:ptCount val="13"/>
                <c:pt idx="0">
                  <c:v>99.44</c:v>
                </c:pt>
                <c:pt idx="1">
                  <c:v>104.31</c:v>
                </c:pt>
                <c:pt idx="2">
                  <c:v>112.98</c:v>
                </c:pt>
                <c:pt idx="3">
                  <c:v>116.81</c:v>
                </c:pt>
                <c:pt idx="4">
                  <c:v>120.25</c:v>
                </c:pt>
                <c:pt idx="5">
                  <c:v>131.36000000000001</c:v>
                </c:pt>
                <c:pt idx="6">
                  <c:v>143.32</c:v>
                </c:pt>
                <c:pt idx="7">
                  <c:v>151.38</c:v>
                </c:pt>
                <c:pt idx="8">
                  <c:v>161.44999999999999</c:v>
                </c:pt>
                <c:pt idx="9">
                  <c:v>172</c:v>
                </c:pt>
                <c:pt idx="10">
                  <c:v>188</c:v>
                </c:pt>
                <c:pt idx="11">
                  <c:v>215</c:v>
                </c:pt>
              </c:numCache>
            </c:numRef>
          </c:val>
          <c:smooth val="0"/>
          <c:extLst>
            <c:ext xmlns:c16="http://schemas.microsoft.com/office/drawing/2014/chart" uri="{C3380CC4-5D6E-409C-BE32-E72D297353CC}">
              <c16:uniqueId val="{00000003-38CC-45C7-BAFB-37F6B579342A}"/>
            </c:ext>
          </c:extLst>
        </c:ser>
        <c:dLbls>
          <c:showLegendKey val="0"/>
          <c:showVal val="0"/>
          <c:showCatName val="0"/>
          <c:showSerName val="0"/>
          <c:showPercent val="0"/>
          <c:showBubbleSize val="0"/>
        </c:dLbls>
        <c:marker val="1"/>
        <c:smooth val="0"/>
        <c:axId val="2014670864"/>
        <c:axId val="2014665456"/>
      </c:lineChart>
      <c:valAx>
        <c:axId val="2061197184"/>
        <c:scaling>
          <c:orientation val="minMax"/>
        </c:scaling>
        <c:delete val="0"/>
        <c:axPos val="r"/>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2061190528"/>
        <c:crosses val="max"/>
        <c:crossBetween val="between"/>
      </c:valAx>
      <c:catAx>
        <c:axId val="206119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2061197184"/>
        <c:crosses val="autoZero"/>
        <c:auto val="1"/>
        <c:lblAlgn val="ctr"/>
        <c:lblOffset val="100"/>
        <c:noMultiLvlLbl val="0"/>
      </c:catAx>
      <c:valAx>
        <c:axId val="2014665456"/>
        <c:scaling>
          <c:orientation val="minMax"/>
          <c:max val="350"/>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2014670864"/>
        <c:crosses val="autoZero"/>
        <c:crossBetween val="between"/>
      </c:valAx>
      <c:catAx>
        <c:axId val="2014670864"/>
        <c:scaling>
          <c:orientation val="minMax"/>
        </c:scaling>
        <c:delete val="1"/>
        <c:axPos val="b"/>
        <c:numFmt formatCode="General" sourceLinked="1"/>
        <c:majorTickMark val="out"/>
        <c:minorTickMark val="none"/>
        <c:tickLblPos val="nextTo"/>
        <c:crossAx val="2014665456"/>
        <c:crosses val="autoZero"/>
        <c:auto val="1"/>
        <c:lblAlgn val="ctr"/>
        <c:lblOffset val="100"/>
        <c:noMultiLvlLbl val="0"/>
      </c:catAx>
      <c:spPr>
        <a:noFill/>
        <a:ln>
          <a:noFill/>
        </a:ln>
        <a:effectLst/>
      </c:spPr>
    </c:plotArea>
    <c:legend>
      <c:legendPos val="b"/>
      <c:layout>
        <c:manualLayout>
          <c:xMode val="edge"/>
          <c:yMode val="edge"/>
          <c:x val="6.0735243055555554E-2"/>
          <c:y val="6.7173148148148121E-2"/>
          <c:w val="0.61174114583333339"/>
          <c:h val="0.32134537037037036"/>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PdF!$B$7</c:f>
              <c:strCache>
                <c:ptCount val="1"/>
                <c:pt idx="0">
                  <c:v>Denná</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PdF!$C$6:$G$6</c:f>
              <c:numCache>
                <c:formatCode>General</c:formatCode>
                <c:ptCount val="4"/>
                <c:pt idx="0">
                  <c:v>2021</c:v>
                </c:pt>
                <c:pt idx="1">
                  <c:v>2022</c:v>
                </c:pt>
                <c:pt idx="2">
                  <c:v>2023</c:v>
                </c:pt>
                <c:pt idx="3">
                  <c:v>2024</c:v>
                </c:pt>
              </c:numCache>
            </c:numRef>
          </c:cat>
          <c:val>
            <c:numRef>
              <c:f>PdF!$C$7:$G$7</c:f>
              <c:numCache>
                <c:formatCode>0.00</c:formatCode>
                <c:ptCount val="4"/>
                <c:pt idx="0">
                  <c:v>1.3324764</c:v>
                </c:pt>
                <c:pt idx="1">
                  <c:v>1.3422171000000001</c:v>
                </c:pt>
                <c:pt idx="2">
                  <c:v>1.4221822</c:v>
                </c:pt>
                <c:pt idx="3">
                  <c:v>1.5040442999999999</c:v>
                </c:pt>
              </c:numCache>
            </c:numRef>
          </c:val>
          <c:extLst>
            <c:ext xmlns:c16="http://schemas.microsoft.com/office/drawing/2014/chart" uri="{C3380CC4-5D6E-409C-BE32-E72D297353CC}">
              <c16:uniqueId val="{00000000-EB3D-499E-9B4A-01C3141D9F49}"/>
            </c:ext>
          </c:extLst>
        </c:ser>
        <c:dLbls>
          <c:showLegendKey val="0"/>
          <c:showVal val="0"/>
          <c:showCatName val="0"/>
          <c:showSerName val="0"/>
          <c:showPercent val="0"/>
          <c:showBubbleSize val="0"/>
        </c:dLbls>
        <c:gapWidth val="219"/>
        <c:overlap val="-27"/>
        <c:axId val="236618239"/>
        <c:axId val="236610751"/>
        <c:extLst>
          <c:ext xmlns:c15="http://schemas.microsoft.com/office/drawing/2012/chart" uri="{02D57815-91ED-43cb-92C2-25804820EDAC}">
            <c15:filteredBarSeries>
              <c15:ser>
                <c:idx val="1"/>
                <c:order val="1"/>
                <c:tx>
                  <c:strRef>
                    <c:extLst>
                      <c:ext uri="{02D57815-91ED-43cb-92C2-25804820EDAC}">
                        <c15:formulaRef>
                          <c15:sqref>PdF!$B$8</c15:sqref>
                        </c15:formulaRef>
                      </c:ext>
                    </c:extLst>
                    <c:strCache>
                      <c:ptCount val="1"/>
                      <c:pt idx="0">
                        <c:v>Externá</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PdF!$C$6:$G$6</c15:sqref>
                        </c15:formulaRef>
                      </c:ext>
                    </c:extLst>
                    <c:numCache>
                      <c:formatCode>General</c:formatCode>
                      <c:ptCount val="4"/>
                      <c:pt idx="0">
                        <c:v>2021</c:v>
                      </c:pt>
                      <c:pt idx="1">
                        <c:v>2022</c:v>
                      </c:pt>
                      <c:pt idx="2">
                        <c:v>2023</c:v>
                      </c:pt>
                      <c:pt idx="3">
                        <c:v>2024</c:v>
                      </c:pt>
                    </c:numCache>
                  </c:numRef>
                </c:cat>
                <c:val>
                  <c:numRef>
                    <c:extLst>
                      <c:ext uri="{02D57815-91ED-43cb-92C2-25804820EDAC}">
                        <c15:formulaRef>
                          <c15:sqref>PdF!$C$8:$G$8</c15:sqref>
                        </c15:formulaRef>
                      </c:ext>
                    </c:extLst>
                    <c:numCache>
                      <c:formatCode>0.00</c:formatCode>
                      <c:ptCount val="4"/>
                      <c:pt idx="0">
                        <c:v>1.9243503</c:v>
                      </c:pt>
                      <c:pt idx="1">
                        <c:v>1.7961727999999999</c:v>
                      </c:pt>
                      <c:pt idx="2">
                        <c:v>1.6742528999999999</c:v>
                      </c:pt>
                      <c:pt idx="3">
                        <c:v>2.0414952999999998</c:v>
                      </c:pt>
                    </c:numCache>
                  </c:numRef>
                </c:val>
                <c:extLst>
                  <c:ext xmlns:c16="http://schemas.microsoft.com/office/drawing/2014/chart" uri="{C3380CC4-5D6E-409C-BE32-E72D297353CC}">
                    <c16:uniqueId val="{00000001-EB3D-499E-9B4A-01C3141D9F49}"/>
                  </c:ext>
                </c:extLst>
              </c15:ser>
            </c15:filteredBarSeries>
          </c:ext>
        </c:extLst>
      </c:barChart>
      <c:catAx>
        <c:axId val="236618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236610751"/>
        <c:crosses val="autoZero"/>
        <c:auto val="1"/>
        <c:lblAlgn val="ctr"/>
        <c:lblOffset val="100"/>
        <c:noMultiLvlLbl val="0"/>
      </c:catAx>
      <c:valAx>
        <c:axId val="236610751"/>
        <c:scaling>
          <c:orientation val="minMax"/>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r>
                  <a:rPr lang="sk-SK"/>
                  <a:t>Priemer známok z internej časti maturitnej skúšky</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23661823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Programy!$L$3</c:f>
              <c:strCache>
                <c:ptCount val="1"/>
                <c:pt idx="0">
                  <c:v>2021</c:v>
                </c:pt>
              </c:strCache>
            </c:strRef>
          </c:tx>
          <c:spPr>
            <a:solidFill>
              <a:schemeClr val="accent2"/>
            </a:solidFill>
            <a:ln>
              <a:noFill/>
            </a:ln>
            <a:effectLst/>
          </c:spPr>
          <c:invertIfNegative val="0"/>
          <c:cat>
            <c:strRef>
              <c:f>Programy!$J$4:$J$8</c:f>
              <c:strCache>
                <c:ptCount val="5"/>
                <c:pt idx="0">
                  <c:v>Učiteľstvo cudzieho jazyka (v komb.)</c:v>
                </c:pt>
                <c:pt idx="1">
                  <c:v>Učiteľstvo histórie (v komb.)</c:v>
                </c:pt>
                <c:pt idx="2">
                  <c:v>Učiteľstvo výchovy k občianstvu (v komb.)</c:v>
                </c:pt>
                <c:pt idx="3">
                  <c:v>Učiteľstvo slovenského jazyka a literatúry (v komb.)</c:v>
                </c:pt>
                <c:pt idx="4">
                  <c:v>Špeciálna pedagogika</c:v>
                </c:pt>
              </c:strCache>
            </c:strRef>
          </c:cat>
          <c:val>
            <c:numRef>
              <c:f>Programy!$L$4:$L$8</c:f>
              <c:numCache>
                <c:formatCode>0.00</c:formatCode>
                <c:ptCount val="5"/>
                <c:pt idx="0">
                  <c:v>1.3230841</c:v>
                </c:pt>
                <c:pt idx="1">
                  <c:v>1.3071429000000001</c:v>
                </c:pt>
                <c:pt idx="2">
                  <c:v>1.3114034999999999</c:v>
                </c:pt>
                <c:pt idx="3">
                  <c:v>1.2550725</c:v>
                </c:pt>
                <c:pt idx="4">
                  <c:v>1.5304054</c:v>
                </c:pt>
              </c:numCache>
            </c:numRef>
          </c:val>
          <c:extLst>
            <c:ext xmlns:c16="http://schemas.microsoft.com/office/drawing/2014/chart" uri="{C3380CC4-5D6E-409C-BE32-E72D297353CC}">
              <c16:uniqueId val="{00000000-2DAD-4952-8BFE-BC7D20E1DEE3}"/>
            </c:ext>
          </c:extLst>
        </c:ser>
        <c:ser>
          <c:idx val="2"/>
          <c:order val="2"/>
          <c:tx>
            <c:strRef>
              <c:f>Programy!$M$3</c:f>
              <c:strCache>
                <c:ptCount val="1"/>
                <c:pt idx="0">
                  <c:v>2022</c:v>
                </c:pt>
              </c:strCache>
            </c:strRef>
          </c:tx>
          <c:spPr>
            <a:solidFill>
              <a:schemeClr val="accent3"/>
            </a:solidFill>
            <a:ln>
              <a:noFill/>
            </a:ln>
            <a:effectLst/>
          </c:spPr>
          <c:invertIfNegative val="0"/>
          <c:cat>
            <c:strRef>
              <c:f>Programy!$J$4:$J$8</c:f>
              <c:strCache>
                <c:ptCount val="5"/>
                <c:pt idx="0">
                  <c:v>Učiteľstvo cudzieho jazyka (v komb.)</c:v>
                </c:pt>
                <c:pt idx="1">
                  <c:v>Učiteľstvo histórie (v komb.)</c:v>
                </c:pt>
                <c:pt idx="2">
                  <c:v>Učiteľstvo výchovy k občianstvu (v komb.)</c:v>
                </c:pt>
                <c:pt idx="3">
                  <c:v>Učiteľstvo slovenského jazyka a literatúry (v komb.)</c:v>
                </c:pt>
                <c:pt idx="4">
                  <c:v>Špeciálna pedagogika</c:v>
                </c:pt>
              </c:strCache>
            </c:strRef>
          </c:cat>
          <c:val>
            <c:numRef>
              <c:f>Programy!$M$4:$M$8</c:f>
              <c:numCache>
                <c:formatCode>0.00</c:formatCode>
                <c:ptCount val="5"/>
                <c:pt idx="0">
                  <c:v>1.3165574</c:v>
                </c:pt>
                <c:pt idx="1">
                  <c:v>1.2341772</c:v>
                </c:pt>
                <c:pt idx="2">
                  <c:v>1.3484848</c:v>
                </c:pt>
                <c:pt idx="3">
                  <c:v>1.2469136000000001</c:v>
                </c:pt>
                <c:pt idx="4">
                  <c:v>1.6116667</c:v>
                </c:pt>
              </c:numCache>
            </c:numRef>
          </c:val>
          <c:extLst>
            <c:ext xmlns:c16="http://schemas.microsoft.com/office/drawing/2014/chart" uri="{C3380CC4-5D6E-409C-BE32-E72D297353CC}">
              <c16:uniqueId val="{00000001-2DAD-4952-8BFE-BC7D20E1DEE3}"/>
            </c:ext>
          </c:extLst>
        </c:ser>
        <c:ser>
          <c:idx val="3"/>
          <c:order val="3"/>
          <c:tx>
            <c:strRef>
              <c:f>Programy!$N$3</c:f>
              <c:strCache>
                <c:ptCount val="1"/>
                <c:pt idx="0">
                  <c:v>2023</c:v>
                </c:pt>
              </c:strCache>
            </c:strRef>
          </c:tx>
          <c:spPr>
            <a:solidFill>
              <a:schemeClr val="accent4"/>
            </a:solidFill>
            <a:ln>
              <a:noFill/>
            </a:ln>
            <a:effectLst/>
          </c:spPr>
          <c:invertIfNegative val="0"/>
          <c:cat>
            <c:strRef>
              <c:f>Programy!$J$4:$J$8</c:f>
              <c:strCache>
                <c:ptCount val="5"/>
                <c:pt idx="0">
                  <c:v>Učiteľstvo cudzieho jazyka (v komb.)</c:v>
                </c:pt>
                <c:pt idx="1">
                  <c:v>Učiteľstvo histórie (v komb.)</c:v>
                </c:pt>
                <c:pt idx="2">
                  <c:v>Učiteľstvo výchovy k občianstvu (v komb.)</c:v>
                </c:pt>
                <c:pt idx="3">
                  <c:v>Učiteľstvo slovenského jazyka a literatúry (v komb.)</c:v>
                </c:pt>
                <c:pt idx="4">
                  <c:v>Špeciálna pedagogika</c:v>
                </c:pt>
              </c:strCache>
            </c:strRef>
          </c:cat>
          <c:val>
            <c:numRef>
              <c:f>Programy!$N$4:$N$8</c:f>
              <c:numCache>
                <c:formatCode>0.00</c:formatCode>
                <c:ptCount val="5"/>
                <c:pt idx="0">
                  <c:v>1.4461413000000001</c:v>
                </c:pt>
                <c:pt idx="1">
                  <c:v>1.4569696999999999</c:v>
                </c:pt>
                <c:pt idx="2">
                  <c:v>1.4919047999999999</c:v>
                </c:pt>
                <c:pt idx="3">
                  <c:v>1.4008571000000001</c:v>
                </c:pt>
                <c:pt idx="4">
                  <c:v>1.5152542</c:v>
                </c:pt>
              </c:numCache>
            </c:numRef>
          </c:val>
          <c:extLst>
            <c:ext xmlns:c16="http://schemas.microsoft.com/office/drawing/2014/chart" uri="{C3380CC4-5D6E-409C-BE32-E72D297353CC}">
              <c16:uniqueId val="{00000002-2DAD-4952-8BFE-BC7D20E1DEE3}"/>
            </c:ext>
          </c:extLst>
        </c:ser>
        <c:ser>
          <c:idx val="4"/>
          <c:order val="4"/>
          <c:tx>
            <c:strRef>
              <c:f>Programy!$O$3</c:f>
              <c:strCache>
                <c:ptCount val="1"/>
                <c:pt idx="0">
                  <c:v>2024</c:v>
                </c:pt>
              </c:strCache>
            </c:strRef>
          </c:tx>
          <c:spPr>
            <a:solidFill>
              <a:schemeClr val="accent5"/>
            </a:solidFill>
            <a:ln>
              <a:noFill/>
            </a:ln>
            <a:effectLst/>
          </c:spPr>
          <c:invertIfNegative val="0"/>
          <c:cat>
            <c:strRef>
              <c:f>Programy!$J$4:$J$8</c:f>
              <c:strCache>
                <c:ptCount val="5"/>
                <c:pt idx="0">
                  <c:v>Učiteľstvo cudzieho jazyka (v komb.)</c:v>
                </c:pt>
                <c:pt idx="1">
                  <c:v>Učiteľstvo histórie (v komb.)</c:v>
                </c:pt>
                <c:pt idx="2">
                  <c:v>Učiteľstvo výchovy k občianstvu (v komb.)</c:v>
                </c:pt>
                <c:pt idx="3">
                  <c:v>Učiteľstvo slovenského jazyka a literatúry (v komb.)</c:v>
                </c:pt>
                <c:pt idx="4">
                  <c:v>Špeciálna pedagogika</c:v>
                </c:pt>
              </c:strCache>
            </c:strRef>
          </c:cat>
          <c:val>
            <c:numRef>
              <c:f>Programy!$O$4:$O$8</c:f>
              <c:numCache>
                <c:formatCode>0.00</c:formatCode>
                <c:ptCount val="5"/>
                <c:pt idx="0">
                  <c:v>1.4570349</c:v>
                </c:pt>
                <c:pt idx="1">
                  <c:v>1.569186</c:v>
                </c:pt>
                <c:pt idx="2">
                  <c:v>1.5149254000000001</c:v>
                </c:pt>
                <c:pt idx="3">
                  <c:v>1.3483145999999999</c:v>
                </c:pt>
                <c:pt idx="4">
                  <c:v>1.4932099000000001</c:v>
                </c:pt>
              </c:numCache>
            </c:numRef>
          </c:val>
          <c:extLst>
            <c:ext xmlns:c16="http://schemas.microsoft.com/office/drawing/2014/chart" uri="{C3380CC4-5D6E-409C-BE32-E72D297353CC}">
              <c16:uniqueId val="{00000003-2DAD-4952-8BFE-BC7D20E1DEE3}"/>
            </c:ext>
          </c:extLst>
        </c:ser>
        <c:dLbls>
          <c:showLegendKey val="0"/>
          <c:showVal val="0"/>
          <c:showCatName val="0"/>
          <c:showSerName val="0"/>
          <c:showPercent val="0"/>
          <c:showBubbleSize val="0"/>
        </c:dLbls>
        <c:gapWidth val="219"/>
        <c:overlap val="-27"/>
        <c:axId val="337476815"/>
        <c:axId val="337465583"/>
        <c:extLst>
          <c:ext xmlns:c15="http://schemas.microsoft.com/office/drawing/2012/chart" uri="{02D57815-91ED-43cb-92C2-25804820EDAC}">
            <c15:filteredBarSeries>
              <c15:ser>
                <c:idx val="0"/>
                <c:order val="0"/>
                <c:tx>
                  <c:strRef>
                    <c:extLst>
                      <c:ext uri="{02D57815-91ED-43cb-92C2-25804820EDAC}">
                        <c15:formulaRef>
                          <c15:sqref>Programy!$K$3</c15:sqref>
                        </c15:formulaRef>
                      </c:ext>
                    </c:extLst>
                    <c:strCache>
                      <c:ptCount val="1"/>
                      <c:pt idx="0">
                        <c:v>2020</c:v>
                      </c:pt>
                    </c:strCache>
                  </c:strRef>
                </c:tx>
                <c:spPr>
                  <a:solidFill>
                    <a:schemeClr val="accent1"/>
                  </a:solidFill>
                  <a:ln>
                    <a:noFill/>
                  </a:ln>
                  <a:effectLst/>
                </c:spPr>
                <c:invertIfNegative val="0"/>
                <c:cat>
                  <c:strRef>
                    <c:extLst>
                      <c:ext uri="{02D57815-91ED-43cb-92C2-25804820EDAC}">
                        <c15:formulaRef>
                          <c15:sqref>Programy!$J$4:$J$8</c15:sqref>
                        </c15:formulaRef>
                      </c:ext>
                    </c:extLst>
                    <c:strCache>
                      <c:ptCount val="5"/>
                      <c:pt idx="0">
                        <c:v>Učiteľstvo cudzieho jazyka (v komb.)</c:v>
                      </c:pt>
                      <c:pt idx="1">
                        <c:v>Učiteľstvo histórie (v komb.)</c:v>
                      </c:pt>
                      <c:pt idx="2">
                        <c:v>Učiteľstvo výchovy k občianstvu (v komb.)</c:v>
                      </c:pt>
                      <c:pt idx="3">
                        <c:v>Učiteľstvo slovenského jazyka a literatúry (v komb.)</c:v>
                      </c:pt>
                      <c:pt idx="4">
                        <c:v>Špeciálna pedagogika</c:v>
                      </c:pt>
                    </c:strCache>
                  </c:strRef>
                </c:cat>
                <c:val>
                  <c:numRef>
                    <c:extLst>
                      <c:ext uri="{02D57815-91ED-43cb-92C2-25804820EDAC}">
                        <c15:formulaRef>
                          <c15:sqref>Programy!$K$4:$K$8</c15:sqref>
                        </c15:formulaRef>
                      </c:ext>
                    </c:extLst>
                    <c:numCache>
                      <c:formatCode>0.00</c:formatCode>
                      <c:ptCount val="5"/>
                      <c:pt idx="0">
                        <c:v>1.4834350999999999</c:v>
                      </c:pt>
                      <c:pt idx="1">
                        <c:v>1.5288136000000001</c:v>
                      </c:pt>
                      <c:pt idx="2">
                        <c:v>1.4235849</c:v>
                      </c:pt>
                      <c:pt idx="3">
                        <c:v>1.3957895</c:v>
                      </c:pt>
                      <c:pt idx="4">
                        <c:v>1.6985294</c:v>
                      </c:pt>
                    </c:numCache>
                  </c:numRef>
                </c:val>
                <c:extLst>
                  <c:ext xmlns:c16="http://schemas.microsoft.com/office/drawing/2014/chart" uri="{C3380CC4-5D6E-409C-BE32-E72D297353CC}">
                    <c16:uniqueId val="{00000004-2DAD-4952-8BFE-BC7D20E1DEE3}"/>
                  </c:ext>
                </c:extLst>
              </c15:ser>
            </c15:filteredBarSeries>
          </c:ext>
        </c:extLst>
      </c:barChart>
      <c:catAx>
        <c:axId val="337476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337465583"/>
        <c:crosses val="autoZero"/>
        <c:auto val="1"/>
        <c:lblAlgn val="ctr"/>
        <c:lblOffset val="100"/>
        <c:noMultiLvlLbl val="0"/>
      </c:catAx>
      <c:valAx>
        <c:axId val="337465583"/>
        <c:scaling>
          <c:orientation val="minMax"/>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2"/>
                    </a:solidFill>
                    <a:latin typeface="Segoe UI" panose="020B0502040204020203" pitchFamily="34" charset="0"/>
                    <a:ea typeface="+mn-ea"/>
                    <a:cs typeface="Segoe UI" panose="020B0502040204020203" pitchFamily="34" charset="0"/>
                  </a:defRPr>
                </a:pPr>
                <a:r>
                  <a:rPr lang="sk-SK" sz="700"/>
                  <a:t>Priemer známok z internej časti maturitnej skúšky</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3374768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úvod!$B$7</c:f>
              <c:strCache>
                <c:ptCount val="1"/>
                <c:pt idx="0">
                  <c:v>Počet znevýhodnených detí na jedného asistenta učiteľa</c:v>
                </c:pt>
              </c:strCache>
            </c:strRef>
          </c:tx>
          <c:spPr>
            <a:ln w="28575" cap="rnd">
              <a:solidFill>
                <a:schemeClr val="accent1"/>
              </a:solidFill>
              <a:round/>
            </a:ln>
            <a:effectLst/>
          </c:spPr>
          <c:marker>
            <c:symbol val="circle"/>
            <c:size val="5"/>
            <c:spPr>
              <a:solidFill>
                <a:schemeClr val="accent1"/>
              </a:solidFill>
              <a:ln w="9525">
                <a:solidFill>
                  <a:schemeClr val="bg1"/>
                </a:solidFill>
              </a:ln>
              <a:effectLst/>
            </c:spPr>
          </c:marker>
          <c:dLbls>
            <c:numFmt formatCode="#,##0.0" sourceLinked="0"/>
            <c:spPr>
              <a:noFill/>
              <a:ln>
                <a:noFill/>
              </a:ln>
              <a:effectLst/>
            </c:spPr>
            <c:txPr>
              <a:bodyPr rot="0" spcFirstLastPara="1" vertOverflow="ellipsis" vert="horz" wrap="square" anchor="ctr" anchorCtr="1"/>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úvod!$C$2:$G$2</c:f>
              <c:strCache>
                <c:ptCount val="5"/>
                <c:pt idx="0">
                  <c:v>2020</c:v>
                </c:pt>
                <c:pt idx="1">
                  <c:v>2021 (zavedenie povinného predprimárneho vzdelávanie pre 5-ročné deti)</c:v>
                </c:pt>
                <c:pt idx="2">
                  <c:v>2022</c:v>
                </c:pt>
                <c:pt idx="3">
                  <c:v>2023</c:v>
                </c:pt>
                <c:pt idx="4">
                  <c:v>2024 (odhad)</c:v>
                </c:pt>
              </c:strCache>
            </c:strRef>
          </c:cat>
          <c:val>
            <c:numRef>
              <c:f>úvod!$C$7:$G$7</c:f>
              <c:numCache>
                <c:formatCode>0.0</c:formatCode>
                <c:ptCount val="5"/>
                <c:pt idx="0">
                  <c:v>2.5873983739837398</c:v>
                </c:pt>
                <c:pt idx="1">
                  <c:v>4.6828793774319069</c:v>
                </c:pt>
                <c:pt idx="2">
                  <c:v>4.7182080924855487</c:v>
                </c:pt>
                <c:pt idx="3">
                  <c:v>4.33167701863354</c:v>
                </c:pt>
                <c:pt idx="4">
                  <c:v>2.6797735059760939</c:v>
                </c:pt>
              </c:numCache>
            </c:numRef>
          </c:val>
          <c:smooth val="0"/>
          <c:extLst>
            <c:ext xmlns:c16="http://schemas.microsoft.com/office/drawing/2014/chart" uri="{C3380CC4-5D6E-409C-BE32-E72D297353CC}">
              <c16:uniqueId val="{00000000-4F4D-4D5B-9500-03C096CACBB0}"/>
            </c:ext>
          </c:extLst>
        </c:ser>
        <c:dLbls>
          <c:showLegendKey val="0"/>
          <c:showVal val="0"/>
          <c:showCatName val="0"/>
          <c:showSerName val="0"/>
          <c:showPercent val="0"/>
          <c:showBubbleSize val="0"/>
        </c:dLbls>
        <c:marker val="1"/>
        <c:smooth val="0"/>
        <c:axId val="1070619279"/>
        <c:axId val="1070620943"/>
      </c:lineChart>
      <c:catAx>
        <c:axId val="10706192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070620943"/>
        <c:crosses val="autoZero"/>
        <c:auto val="1"/>
        <c:lblAlgn val="ctr"/>
        <c:lblOffset val="100"/>
        <c:noMultiLvlLbl val="0"/>
      </c:catAx>
      <c:valAx>
        <c:axId val="10706209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070619279"/>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'Pre-primary education 2022'!$E$2:$E$11</c:f>
              <c:strCache>
                <c:ptCount val="10"/>
                <c:pt idx="0">
                  <c:v>Švédsko</c:v>
                </c:pt>
                <c:pt idx="1">
                  <c:v>Slovinsko</c:v>
                </c:pt>
                <c:pt idx="2">
                  <c:v>Dánsko</c:v>
                </c:pt>
                <c:pt idx="3">
                  <c:v>Francúzsko</c:v>
                </c:pt>
                <c:pt idx="4">
                  <c:v>Rakúsko</c:v>
                </c:pt>
                <c:pt idx="5">
                  <c:v>Litva</c:v>
                </c:pt>
                <c:pt idx="6">
                  <c:v>Holandsko</c:v>
                </c:pt>
                <c:pt idx="7">
                  <c:v>Nemecko</c:v>
                </c:pt>
                <c:pt idx="8">
                  <c:v>Rumunsko</c:v>
                </c:pt>
                <c:pt idx="9">
                  <c:v>Slovensko</c:v>
                </c:pt>
              </c:strCache>
            </c:strRef>
          </c:cat>
          <c:val>
            <c:numRef>
              <c:f>'Pre-primary education 2022'!$H$2:$H$11</c:f>
              <c:numCache>
                <c:formatCode>#,##0</c:formatCode>
                <c:ptCount val="10"/>
                <c:pt idx="0">
                  <c:v>1245.1577489086965</c:v>
                </c:pt>
                <c:pt idx="1">
                  <c:v>1050.8221225710015</c:v>
                </c:pt>
                <c:pt idx="2">
                  <c:v>855.03895451118376</c:v>
                </c:pt>
                <c:pt idx="3">
                  <c:v>747.36561405923385</c:v>
                </c:pt>
                <c:pt idx="4">
                  <c:v>670.15724170893543</c:v>
                </c:pt>
                <c:pt idx="5">
                  <c:v>552.39960822722821</c:v>
                </c:pt>
                <c:pt idx="6">
                  <c:v>278.34856602584307</c:v>
                </c:pt>
                <c:pt idx="7">
                  <c:v>127.934921728687</c:v>
                </c:pt>
                <c:pt idx="8">
                  <c:v>52.33552087354547</c:v>
                </c:pt>
                <c:pt idx="9">
                  <c:v>32.764505119453922</c:v>
                </c:pt>
              </c:numCache>
            </c:numRef>
          </c:val>
          <c:extLst>
            <c:ext xmlns:c16="http://schemas.microsoft.com/office/drawing/2014/chart" uri="{C3380CC4-5D6E-409C-BE32-E72D297353CC}">
              <c16:uniqueId val="{00000000-333C-4206-94A1-2F88216719EE}"/>
            </c:ext>
          </c:extLst>
        </c:ser>
        <c:dLbls>
          <c:showLegendKey val="0"/>
          <c:showVal val="0"/>
          <c:showCatName val="0"/>
          <c:showSerName val="0"/>
          <c:showPercent val="0"/>
          <c:showBubbleSize val="0"/>
        </c:dLbls>
        <c:gapWidth val="100"/>
        <c:axId val="1620081360"/>
        <c:axId val="1620079280"/>
      </c:barChart>
      <c:catAx>
        <c:axId val="162008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620079280"/>
        <c:crosses val="autoZero"/>
        <c:auto val="1"/>
        <c:lblAlgn val="ctr"/>
        <c:lblOffset val="100"/>
        <c:noMultiLvlLbl val="0"/>
      </c:catAx>
      <c:valAx>
        <c:axId val="1620079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6200813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'[graf veda a technika.xlsx]Hárok1'!$B$4</c:f>
              <c:strCache>
                <c:ptCount val="1"/>
                <c:pt idx="0">
                  <c:v>Výdavky na vedu a techniku celkom</c:v>
                </c:pt>
              </c:strCache>
            </c:strRef>
          </c:tx>
          <c:spPr>
            <a:ln w="28575" cap="rnd">
              <a:solidFill>
                <a:schemeClr val="accent1"/>
              </a:solidFill>
              <a:round/>
            </a:ln>
            <a:effectLst/>
          </c:spPr>
          <c:marker>
            <c:symbol val="circle"/>
            <c:size val="5"/>
            <c:spPr>
              <a:solidFill>
                <a:schemeClr val="accent1"/>
              </a:solidFill>
              <a:ln w="9525">
                <a:solidFill>
                  <a:sysClr val="window" lastClr="FFFFFF"/>
                </a:solidFill>
              </a:ln>
              <a:effectLst/>
            </c:spPr>
          </c:marker>
          <c:dPt>
            <c:idx val="0"/>
            <c:marker>
              <c:symbol val="circle"/>
              <c:size val="5"/>
              <c:spPr>
                <a:solidFill>
                  <a:schemeClr val="accent1"/>
                </a:solidFill>
                <a:ln w="9525">
                  <a:solidFill>
                    <a:sysClr val="window" lastClr="FFFFFF"/>
                  </a:solidFill>
                </a:ln>
                <a:effectLst/>
              </c:spPr>
            </c:marker>
            <c:bubble3D val="0"/>
            <c:spPr>
              <a:ln w="28575" cap="rnd">
                <a:solidFill>
                  <a:schemeClr val="accent1"/>
                </a:solidFill>
                <a:round/>
              </a:ln>
              <a:effectLst/>
            </c:spPr>
            <c:extLst>
              <c:ext xmlns:c16="http://schemas.microsoft.com/office/drawing/2014/chart" uri="{C3380CC4-5D6E-409C-BE32-E72D297353CC}">
                <c16:uniqueId val="{00000001-3372-4470-8879-0B93B2447C6E}"/>
              </c:ext>
            </c:extLst>
          </c:dPt>
          <c:dPt>
            <c:idx val="1"/>
            <c:marker>
              <c:symbol val="circle"/>
              <c:size val="5"/>
              <c:spPr>
                <a:solidFill>
                  <a:schemeClr val="accent1"/>
                </a:solidFill>
                <a:ln w="9525">
                  <a:solidFill>
                    <a:sysClr val="window" lastClr="FFFFFF"/>
                  </a:solidFill>
                </a:ln>
                <a:effectLst/>
              </c:spPr>
            </c:marker>
            <c:bubble3D val="0"/>
            <c:spPr>
              <a:ln w="28575" cap="rnd">
                <a:solidFill>
                  <a:schemeClr val="accent1"/>
                </a:solidFill>
                <a:round/>
              </a:ln>
              <a:effectLst/>
            </c:spPr>
            <c:extLst>
              <c:ext xmlns:c16="http://schemas.microsoft.com/office/drawing/2014/chart" uri="{C3380CC4-5D6E-409C-BE32-E72D297353CC}">
                <c16:uniqueId val="{00000003-3372-4470-8879-0B93B2447C6E}"/>
              </c:ext>
            </c:extLst>
          </c:dPt>
          <c:dPt>
            <c:idx val="2"/>
            <c:marker>
              <c:symbol val="circle"/>
              <c:size val="5"/>
              <c:spPr>
                <a:solidFill>
                  <a:schemeClr val="accent1"/>
                </a:solidFill>
                <a:ln w="9525">
                  <a:solidFill>
                    <a:sysClr val="window" lastClr="FFFFFF"/>
                  </a:solidFill>
                </a:ln>
                <a:effectLst/>
              </c:spPr>
            </c:marker>
            <c:bubble3D val="0"/>
            <c:spPr>
              <a:ln w="28575" cap="rnd">
                <a:solidFill>
                  <a:schemeClr val="accent1"/>
                </a:solidFill>
                <a:round/>
              </a:ln>
              <a:effectLst/>
            </c:spPr>
            <c:extLst>
              <c:ext xmlns:c16="http://schemas.microsoft.com/office/drawing/2014/chart" uri="{C3380CC4-5D6E-409C-BE32-E72D297353CC}">
                <c16:uniqueId val="{00000005-3372-4470-8879-0B93B2447C6E}"/>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 veda a technika.xlsx]Hárok1'!$C$3:$H$3</c:f>
              <c:strCache>
                <c:ptCount val="6"/>
                <c:pt idx="0">
                  <c:v>2022 S</c:v>
                </c:pt>
                <c:pt idx="1">
                  <c:v>2023 S</c:v>
                </c:pt>
                <c:pt idx="2">
                  <c:v>2024 OS</c:v>
                </c:pt>
                <c:pt idx="3">
                  <c:v>2025 N</c:v>
                </c:pt>
                <c:pt idx="4">
                  <c:v>2026 N</c:v>
                </c:pt>
                <c:pt idx="5">
                  <c:v>2027 N</c:v>
                </c:pt>
              </c:strCache>
            </c:strRef>
          </c:cat>
          <c:val>
            <c:numRef>
              <c:f>'[graf veda a technika.xlsx]Hárok1'!$C$4:$H$4</c:f>
              <c:numCache>
                <c:formatCode>0.0</c:formatCode>
                <c:ptCount val="6"/>
                <c:pt idx="0">
                  <c:v>467.79</c:v>
                </c:pt>
                <c:pt idx="1">
                  <c:v>531.53399999999999</c:v>
                </c:pt>
                <c:pt idx="2">
                  <c:v>563.84900000000005</c:v>
                </c:pt>
                <c:pt idx="3">
                  <c:v>552.35599999999999</c:v>
                </c:pt>
                <c:pt idx="4">
                  <c:v>621.10500000000002</c:v>
                </c:pt>
                <c:pt idx="5">
                  <c:v>637.86599999999999</c:v>
                </c:pt>
              </c:numCache>
            </c:numRef>
          </c:val>
          <c:smooth val="0"/>
          <c:extLst>
            <c:ext xmlns:c16="http://schemas.microsoft.com/office/drawing/2014/chart" uri="{C3380CC4-5D6E-409C-BE32-E72D297353CC}">
              <c16:uniqueId val="{00000006-3372-4470-8879-0B93B2447C6E}"/>
            </c:ext>
          </c:extLst>
        </c:ser>
        <c:dLbls>
          <c:showLegendKey val="0"/>
          <c:showVal val="0"/>
          <c:showCatName val="0"/>
          <c:showSerName val="0"/>
          <c:showPercent val="0"/>
          <c:showBubbleSize val="0"/>
        </c:dLbls>
        <c:marker val="1"/>
        <c:smooth val="0"/>
        <c:axId val="2001356319"/>
        <c:axId val="2001364223"/>
      </c:lineChart>
      <c:catAx>
        <c:axId val="2001356319"/>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2001364223"/>
        <c:crosses val="autoZero"/>
        <c:auto val="1"/>
        <c:lblAlgn val="ctr"/>
        <c:lblOffset val="100"/>
        <c:noMultiLvlLbl val="0"/>
      </c:catAx>
      <c:valAx>
        <c:axId val="20013642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200135631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Miera pripojenia v 2022</c:v>
          </c:tx>
          <c:spPr>
            <a:solidFill>
              <a:srgbClr val="9CB9EC"/>
            </a:solidFill>
            <a:ln>
              <a:noFill/>
            </a:ln>
            <a:effectLst/>
          </c:spPr>
          <c:invertIfNegative val="0"/>
          <c:dPt>
            <c:idx val="18"/>
            <c:invertIfNegative val="0"/>
            <c:bubble3D val="0"/>
            <c:spPr>
              <a:solidFill>
                <a:srgbClr val="F55647"/>
              </a:solidFill>
              <a:ln>
                <a:noFill/>
              </a:ln>
              <a:effectLst/>
            </c:spPr>
            <c:extLst>
              <c:ext xmlns:c16="http://schemas.microsoft.com/office/drawing/2014/chart" uri="{C3380CC4-5D6E-409C-BE32-E72D297353CC}">
                <c16:uniqueId val="{00000001-9940-48F2-AC48-F990E1BF0781}"/>
              </c:ext>
            </c:extLst>
          </c:dPt>
          <c:cat>
            <c:strRef>
              <c:f>'[Technická príloha.xlsx]Graf 1'!$A$2:$A$28</c:f>
              <c:strCache>
                <c:ptCount val="27"/>
                <c:pt idx="0">
                  <c:v>NL</c:v>
                </c:pt>
                <c:pt idx="1">
                  <c:v>AT</c:v>
                </c:pt>
                <c:pt idx="2">
                  <c:v>DK</c:v>
                </c:pt>
                <c:pt idx="3">
                  <c:v>*LU</c:v>
                </c:pt>
                <c:pt idx="4">
                  <c:v>*DE</c:v>
                </c:pt>
                <c:pt idx="5">
                  <c:v>*SE</c:v>
                </c:pt>
                <c:pt idx="6">
                  <c:v>GR</c:v>
                </c:pt>
                <c:pt idx="7">
                  <c:v>*ES</c:v>
                </c:pt>
                <c:pt idx="8">
                  <c:v>FI</c:v>
                </c:pt>
                <c:pt idx="9">
                  <c:v>CZ</c:v>
                </c:pt>
                <c:pt idx="10">
                  <c:v>BE</c:v>
                </c:pt>
                <c:pt idx="11">
                  <c:v>*CY</c:v>
                </c:pt>
                <c:pt idx="12">
                  <c:v>EE</c:v>
                </c:pt>
                <c:pt idx="13">
                  <c:v>HU</c:v>
                </c:pt>
                <c:pt idx="14">
                  <c:v>FR</c:v>
                </c:pt>
                <c:pt idx="15">
                  <c:v>LV</c:v>
                </c:pt>
                <c:pt idx="16">
                  <c:v>LT</c:v>
                </c:pt>
                <c:pt idx="17">
                  <c:v>PL</c:v>
                </c:pt>
                <c:pt idx="18">
                  <c:v>SK</c:v>
                </c:pt>
                <c:pt idx="19">
                  <c:v>SI</c:v>
                </c:pt>
                <c:pt idx="20">
                  <c:v>*BG</c:v>
                </c:pt>
                <c:pt idx="21">
                  <c:v>IE</c:v>
                </c:pt>
                <c:pt idx="22">
                  <c:v>*IT</c:v>
                </c:pt>
                <c:pt idx="23">
                  <c:v>*PT</c:v>
                </c:pt>
                <c:pt idx="24">
                  <c:v>RO</c:v>
                </c:pt>
                <c:pt idx="25">
                  <c:v>*HR</c:v>
                </c:pt>
                <c:pt idx="26">
                  <c:v>MT</c:v>
                </c:pt>
              </c:strCache>
            </c:strRef>
          </c:cat>
          <c:val>
            <c:numRef>
              <c:f>'[Technická príloha.xlsx]Graf 1'!$B$2:$B$28</c:f>
              <c:numCache>
                <c:formatCode>#\ ##0.#########</c:formatCode>
                <c:ptCount val="27"/>
                <c:pt idx="0" formatCode="#\ ##0.########">
                  <c:v>99.7</c:v>
                </c:pt>
                <c:pt idx="1">
                  <c:v>99.2</c:v>
                </c:pt>
                <c:pt idx="2">
                  <c:v>97.9</c:v>
                </c:pt>
                <c:pt idx="3" formatCode="#,##0">
                  <c:v>97</c:v>
                </c:pt>
                <c:pt idx="4" formatCode="#\ ##0.0">
                  <c:v>96.32</c:v>
                </c:pt>
                <c:pt idx="5" formatCode="#,##0">
                  <c:v>96</c:v>
                </c:pt>
                <c:pt idx="6">
                  <c:v>94.9</c:v>
                </c:pt>
                <c:pt idx="7" formatCode="#\ ##0.0">
                  <c:v>86.93</c:v>
                </c:pt>
                <c:pt idx="8" formatCode="#\ ##0.#############">
                  <c:v>85</c:v>
                </c:pt>
                <c:pt idx="9">
                  <c:v>84.9</c:v>
                </c:pt>
                <c:pt idx="10">
                  <c:v>84</c:v>
                </c:pt>
                <c:pt idx="11" formatCode="#\ ##0.0">
                  <c:v>83.5</c:v>
                </c:pt>
                <c:pt idx="12">
                  <c:v>82</c:v>
                </c:pt>
                <c:pt idx="13">
                  <c:v>81.7</c:v>
                </c:pt>
                <c:pt idx="14">
                  <c:v>79.599999999999994</c:v>
                </c:pt>
                <c:pt idx="15">
                  <c:v>77.2</c:v>
                </c:pt>
                <c:pt idx="16">
                  <c:v>76</c:v>
                </c:pt>
                <c:pt idx="17">
                  <c:v>75.7</c:v>
                </c:pt>
                <c:pt idx="18">
                  <c:v>70.599999999999994</c:v>
                </c:pt>
                <c:pt idx="19">
                  <c:v>68.5</c:v>
                </c:pt>
                <c:pt idx="20" formatCode="#\ ##0.0">
                  <c:v>65.3</c:v>
                </c:pt>
                <c:pt idx="21">
                  <c:v>64.7</c:v>
                </c:pt>
                <c:pt idx="22" formatCode="#\ ##0.0">
                  <c:v>59.6</c:v>
                </c:pt>
                <c:pt idx="23" formatCode="#\ ##0.0">
                  <c:v>55.8</c:v>
                </c:pt>
                <c:pt idx="24">
                  <c:v>53.9</c:v>
                </c:pt>
                <c:pt idx="25" formatCode="#\ ##0.0">
                  <c:v>31.39</c:v>
                </c:pt>
                <c:pt idx="26" formatCode="#\ ##0.#######">
                  <c:v>7.4</c:v>
                </c:pt>
              </c:numCache>
            </c:numRef>
          </c:val>
          <c:extLst>
            <c:ext xmlns:c16="http://schemas.microsoft.com/office/drawing/2014/chart" uri="{C3380CC4-5D6E-409C-BE32-E72D297353CC}">
              <c16:uniqueId val="{00000002-9940-48F2-AC48-F990E1BF0781}"/>
            </c:ext>
          </c:extLst>
        </c:ser>
        <c:dLbls>
          <c:showLegendKey val="0"/>
          <c:showVal val="0"/>
          <c:showCatName val="0"/>
          <c:showSerName val="0"/>
          <c:showPercent val="0"/>
          <c:showBubbleSize val="0"/>
        </c:dLbls>
        <c:gapWidth val="100"/>
        <c:axId val="283186879"/>
        <c:axId val="283184799"/>
      </c:barChart>
      <c:lineChart>
        <c:grouping val="standard"/>
        <c:varyColors val="0"/>
        <c:ser>
          <c:idx val="1"/>
          <c:order val="1"/>
          <c:tx>
            <c:v>EÚ 27</c:v>
          </c:tx>
          <c:spPr>
            <a:ln w="28575" cap="rnd">
              <a:solidFill>
                <a:srgbClr val="314364"/>
              </a:solidFill>
              <a:round/>
            </a:ln>
            <a:effectLst/>
          </c:spPr>
          <c:marker>
            <c:symbol val="none"/>
          </c:marker>
          <c:dLbls>
            <c:dLbl>
              <c:idx val="23"/>
              <c:tx>
                <c:rich>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fld id="{34142D9D-C7A1-46BD-A86C-3F5AC14AA2C3}" type="SERIESNAME">
                      <a:rPr lang="en-US" b="1"/>
                      <a:pPr>
                        <a:defRPr/>
                      </a:pPr>
                      <a:t>[NÁZOV RADU]</a:t>
                    </a:fld>
                    <a:r>
                      <a:rPr lang="en-US" baseline="0"/>
                      <a:t> – </a:t>
                    </a:r>
                    <a:fld id="{F8C979BE-3FCE-4937-B9E7-60C92610107E}" type="VALUE">
                      <a:rPr lang="en-US" b="1" baseline="0"/>
                      <a:pPr>
                        <a:defRPr/>
                      </a:pPr>
                      <a:t>[HODNOTA]</a:t>
                    </a:fld>
                    <a:endParaRPr lang="en-US" baseline="0"/>
                  </a:p>
                </c:rich>
              </c:tx>
              <c:spPr>
                <a:noFill/>
                <a:ln>
                  <a:solidFill>
                    <a:srgbClr val="314364"/>
                  </a:solid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t"/>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940-48F2-AC48-F990E1BF078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'[Technická príloha.xlsx]Graf 1'!$A$2:$A$28</c:f>
              <c:strCache>
                <c:ptCount val="27"/>
                <c:pt idx="0">
                  <c:v>NL</c:v>
                </c:pt>
                <c:pt idx="1">
                  <c:v>AT</c:v>
                </c:pt>
                <c:pt idx="2">
                  <c:v>DK</c:v>
                </c:pt>
                <c:pt idx="3">
                  <c:v>*LU</c:v>
                </c:pt>
                <c:pt idx="4">
                  <c:v>*DE</c:v>
                </c:pt>
                <c:pt idx="5">
                  <c:v>*SE</c:v>
                </c:pt>
                <c:pt idx="6">
                  <c:v>GR</c:v>
                </c:pt>
                <c:pt idx="7">
                  <c:v>*ES</c:v>
                </c:pt>
                <c:pt idx="8">
                  <c:v>FI</c:v>
                </c:pt>
                <c:pt idx="9">
                  <c:v>CZ</c:v>
                </c:pt>
                <c:pt idx="10">
                  <c:v>BE</c:v>
                </c:pt>
                <c:pt idx="11">
                  <c:v>*CY</c:v>
                </c:pt>
                <c:pt idx="12">
                  <c:v>EE</c:v>
                </c:pt>
                <c:pt idx="13">
                  <c:v>HU</c:v>
                </c:pt>
                <c:pt idx="14">
                  <c:v>FR</c:v>
                </c:pt>
                <c:pt idx="15">
                  <c:v>LV</c:v>
                </c:pt>
                <c:pt idx="16">
                  <c:v>LT</c:v>
                </c:pt>
                <c:pt idx="17">
                  <c:v>PL</c:v>
                </c:pt>
                <c:pt idx="18">
                  <c:v>SK</c:v>
                </c:pt>
                <c:pt idx="19">
                  <c:v>SI</c:v>
                </c:pt>
                <c:pt idx="20">
                  <c:v>*BG</c:v>
                </c:pt>
                <c:pt idx="21">
                  <c:v>IE</c:v>
                </c:pt>
                <c:pt idx="22">
                  <c:v>*IT</c:v>
                </c:pt>
                <c:pt idx="23">
                  <c:v>*PT</c:v>
                </c:pt>
                <c:pt idx="24">
                  <c:v>RO</c:v>
                </c:pt>
                <c:pt idx="25">
                  <c:v>*HR</c:v>
                </c:pt>
                <c:pt idx="26">
                  <c:v>MT</c:v>
                </c:pt>
              </c:strCache>
            </c:strRef>
          </c:cat>
          <c:val>
            <c:numRef>
              <c:f>'[Technická príloha.xlsx]Graf 1'!$C$2:$C$28</c:f>
              <c:numCache>
                <c:formatCode>#\ ##0.##</c:formatCode>
                <c:ptCount val="27"/>
                <c:pt idx="0">
                  <c:v>76.101481481481471</c:v>
                </c:pt>
                <c:pt idx="1">
                  <c:v>76.101481481481471</c:v>
                </c:pt>
                <c:pt idx="2">
                  <c:v>76.101481481481471</c:v>
                </c:pt>
                <c:pt idx="3">
                  <c:v>76.101481481481471</c:v>
                </c:pt>
                <c:pt idx="4">
                  <c:v>76.101481481481471</c:v>
                </c:pt>
                <c:pt idx="5">
                  <c:v>76.101481481481471</c:v>
                </c:pt>
                <c:pt idx="6">
                  <c:v>76.101481481481471</c:v>
                </c:pt>
                <c:pt idx="7">
                  <c:v>76.101481481481471</c:v>
                </c:pt>
                <c:pt idx="8">
                  <c:v>76.101481481481471</c:v>
                </c:pt>
                <c:pt idx="9">
                  <c:v>76.101481481481471</c:v>
                </c:pt>
                <c:pt idx="10">
                  <c:v>76.101481481481471</c:v>
                </c:pt>
                <c:pt idx="11">
                  <c:v>76.101481481481471</c:v>
                </c:pt>
                <c:pt idx="12">
                  <c:v>76.101481481481471</c:v>
                </c:pt>
                <c:pt idx="13">
                  <c:v>76.101481481481471</c:v>
                </c:pt>
                <c:pt idx="14">
                  <c:v>76.101481481481471</c:v>
                </c:pt>
                <c:pt idx="15">
                  <c:v>76.101481481481471</c:v>
                </c:pt>
                <c:pt idx="16">
                  <c:v>76.101481481481471</c:v>
                </c:pt>
                <c:pt idx="17">
                  <c:v>76.101481481481471</c:v>
                </c:pt>
                <c:pt idx="18">
                  <c:v>76.101481481481471</c:v>
                </c:pt>
                <c:pt idx="19">
                  <c:v>76.101481481481471</c:v>
                </c:pt>
                <c:pt idx="20">
                  <c:v>76.101481481481471</c:v>
                </c:pt>
                <c:pt idx="21">
                  <c:v>76.101481481481471</c:v>
                </c:pt>
                <c:pt idx="22">
                  <c:v>76.101481481481471</c:v>
                </c:pt>
                <c:pt idx="23">
                  <c:v>76.101481481481471</c:v>
                </c:pt>
                <c:pt idx="24">
                  <c:v>76.101481481481471</c:v>
                </c:pt>
                <c:pt idx="25">
                  <c:v>76.101481481481471</c:v>
                </c:pt>
                <c:pt idx="26">
                  <c:v>76.101481481481471</c:v>
                </c:pt>
              </c:numCache>
            </c:numRef>
          </c:val>
          <c:smooth val="0"/>
          <c:extLst>
            <c:ext xmlns:c16="http://schemas.microsoft.com/office/drawing/2014/chart" uri="{C3380CC4-5D6E-409C-BE32-E72D297353CC}">
              <c16:uniqueId val="{00000004-9940-48F2-AC48-F990E1BF0781}"/>
            </c:ext>
          </c:extLst>
        </c:ser>
        <c:dLbls>
          <c:showLegendKey val="0"/>
          <c:showVal val="0"/>
          <c:showCatName val="0"/>
          <c:showSerName val="0"/>
          <c:showPercent val="0"/>
          <c:showBubbleSize val="0"/>
        </c:dLbls>
        <c:marker val="1"/>
        <c:smooth val="0"/>
        <c:axId val="283186879"/>
        <c:axId val="283184799"/>
      </c:lineChart>
      <c:catAx>
        <c:axId val="283186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283184799"/>
        <c:crosses val="autoZero"/>
        <c:auto val="1"/>
        <c:lblAlgn val="ctr"/>
        <c:lblOffset val="100"/>
        <c:noMultiLvlLbl val="0"/>
      </c:catAx>
      <c:valAx>
        <c:axId val="283184799"/>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28318687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Hárok1!$C$2</c:f>
              <c:strCache>
                <c:ptCount val="1"/>
                <c:pt idx="0">
                  <c:v>SR</c:v>
                </c:pt>
              </c:strCache>
            </c:strRef>
          </c:tx>
          <c:spPr>
            <a:ln w="25400" cap="rnd">
              <a:solidFill>
                <a:schemeClr val="accent1"/>
              </a:solidFill>
              <a:round/>
            </a:ln>
            <a:effectLst/>
          </c:spPr>
          <c:marker>
            <c:symbol val="circle"/>
            <c:size val="5"/>
            <c:spPr>
              <a:solidFill>
                <a:schemeClr val="accent1"/>
              </a:solidFill>
              <a:ln w="12700">
                <a:solidFill>
                  <a:schemeClr val="bg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Hárok1!$D$1:$H$1</c:f>
              <c:numCache>
                <c:formatCode>General</c:formatCode>
                <c:ptCount val="5"/>
                <c:pt idx="0">
                  <c:v>2020</c:v>
                </c:pt>
                <c:pt idx="1">
                  <c:v>2021</c:v>
                </c:pt>
                <c:pt idx="2">
                  <c:v>2022</c:v>
                </c:pt>
                <c:pt idx="3">
                  <c:v>2023</c:v>
                </c:pt>
                <c:pt idx="4">
                  <c:v>2024</c:v>
                </c:pt>
              </c:numCache>
            </c:numRef>
          </c:cat>
          <c:val>
            <c:numRef>
              <c:f>Hárok1!$D$2:$H$2</c:f>
              <c:numCache>
                <c:formatCode>General</c:formatCode>
                <c:ptCount val="5"/>
                <c:pt idx="0">
                  <c:v>33</c:v>
                </c:pt>
                <c:pt idx="1">
                  <c:v>37</c:v>
                </c:pt>
                <c:pt idx="2">
                  <c:v>37</c:v>
                </c:pt>
                <c:pt idx="3">
                  <c:v>60</c:v>
                </c:pt>
                <c:pt idx="4">
                  <c:v>60</c:v>
                </c:pt>
              </c:numCache>
            </c:numRef>
          </c:val>
          <c:smooth val="0"/>
          <c:extLst>
            <c:ext xmlns:c16="http://schemas.microsoft.com/office/drawing/2014/chart" uri="{C3380CC4-5D6E-409C-BE32-E72D297353CC}">
              <c16:uniqueId val="{00000000-F2E3-4AD9-BA3E-65379D7154E9}"/>
            </c:ext>
          </c:extLst>
        </c:ser>
        <c:ser>
          <c:idx val="1"/>
          <c:order val="1"/>
          <c:tx>
            <c:strRef>
              <c:f>Hárok1!$C$3</c:f>
              <c:strCache>
                <c:ptCount val="1"/>
                <c:pt idx="0">
                  <c:v>ČR</c:v>
                </c:pt>
              </c:strCache>
            </c:strRef>
          </c:tx>
          <c:spPr>
            <a:ln w="25400" cap="rnd">
              <a:solidFill>
                <a:schemeClr val="accent2"/>
              </a:solidFill>
              <a:round/>
            </a:ln>
            <a:effectLst/>
          </c:spPr>
          <c:marker>
            <c:symbol val="circle"/>
            <c:size val="5"/>
            <c:spPr>
              <a:solidFill>
                <a:schemeClr val="accent2"/>
              </a:solidFill>
              <a:ln w="12700">
                <a:solidFill>
                  <a:schemeClr val="bg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2"/>
                    </a:solidFill>
                    <a:latin typeface="Segoe UI" panose="020B0502040204020203" pitchFamily="34" charset="0"/>
                    <a:ea typeface="+mn-ea"/>
                    <a:cs typeface="Segoe UI" panose="020B0502040204020203" pitchFamily="34" charset="0"/>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Hárok1!$D$1:$H$1</c:f>
              <c:numCache>
                <c:formatCode>General</c:formatCode>
                <c:ptCount val="5"/>
                <c:pt idx="0">
                  <c:v>2020</c:v>
                </c:pt>
                <c:pt idx="1">
                  <c:v>2021</c:v>
                </c:pt>
                <c:pt idx="2">
                  <c:v>2022</c:v>
                </c:pt>
                <c:pt idx="3">
                  <c:v>2023</c:v>
                </c:pt>
                <c:pt idx="4">
                  <c:v>2024</c:v>
                </c:pt>
              </c:numCache>
            </c:numRef>
          </c:cat>
          <c:val>
            <c:numRef>
              <c:f>Hárok1!$D$3:$H$3</c:f>
              <c:numCache>
                <c:formatCode>General</c:formatCode>
                <c:ptCount val="5"/>
                <c:pt idx="0">
                  <c:v>51</c:v>
                </c:pt>
                <c:pt idx="1">
                  <c:v>69</c:v>
                </c:pt>
                <c:pt idx="2">
                  <c:v>74</c:v>
                </c:pt>
                <c:pt idx="3">
                  <c:v>79</c:v>
                </c:pt>
                <c:pt idx="4">
                  <c:v>83</c:v>
                </c:pt>
              </c:numCache>
            </c:numRef>
          </c:val>
          <c:smooth val="0"/>
          <c:extLst>
            <c:ext xmlns:c16="http://schemas.microsoft.com/office/drawing/2014/chart" uri="{C3380CC4-5D6E-409C-BE32-E72D297353CC}">
              <c16:uniqueId val="{00000001-F2E3-4AD9-BA3E-65379D7154E9}"/>
            </c:ext>
          </c:extLst>
        </c:ser>
        <c:dLbls>
          <c:dLblPos val="t"/>
          <c:showLegendKey val="0"/>
          <c:showVal val="1"/>
          <c:showCatName val="0"/>
          <c:showSerName val="0"/>
          <c:showPercent val="0"/>
          <c:showBubbleSize val="0"/>
        </c:dLbls>
        <c:marker val="1"/>
        <c:smooth val="0"/>
        <c:axId val="1252035695"/>
        <c:axId val="1252032367"/>
      </c:lineChart>
      <c:catAx>
        <c:axId val="1252035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252032367"/>
        <c:crosses val="autoZero"/>
        <c:auto val="1"/>
        <c:lblAlgn val="ctr"/>
        <c:lblOffset val="100"/>
        <c:noMultiLvlLbl val="0"/>
      </c:catAx>
      <c:valAx>
        <c:axId val="12520323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252035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004186807624707"/>
          <c:y val="7.6388888888888895E-2"/>
          <c:w val="0.72493427400002297"/>
          <c:h val="0.39351231977060136"/>
        </c:manualLayout>
      </c:layout>
      <c:lineChart>
        <c:grouping val="standard"/>
        <c:varyColors val="0"/>
        <c:ser>
          <c:idx val="1"/>
          <c:order val="0"/>
          <c:tx>
            <c:strRef>
              <c:f>'Výdavky dôch. poistenia 14-23'!$B$19</c:f>
              <c:strCache>
                <c:ptCount val="1"/>
                <c:pt idx="0">
                  <c:v>SD</c:v>
                </c:pt>
              </c:strCache>
            </c:strRef>
          </c:tx>
          <c:spPr>
            <a:ln w="25400" cap="rnd">
              <a:solidFill>
                <a:schemeClr val="bg2"/>
              </a:solidFill>
              <a:round/>
            </a:ln>
            <a:effectLst/>
          </c:spPr>
          <c:marker>
            <c:symbol val="circle"/>
            <c:size val="5"/>
            <c:spPr>
              <a:solidFill>
                <a:schemeClr val="accent2"/>
              </a:solidFill>
              <a:ln w="12700">
                <a:solidFill>
                  <a:schemeClr val="bg1"/>
                </a:solidFill>
              </a:ln>
              <a:effectLst/>
            </c:spPr>
          </c:marker>
          <c:cat>
            <c:strRef>
              <c:f>'Výdavky dôch. poistenia 14-23'!$C$18:$T$18</c:f>
              <c:strCache>
                <c:ptCount val="14"/>
                <c:pt idx="0">
                  <c:v>2014</c:v>
                </c:pt>
                <c:pt idx="1">
                  <c:v>2015</c:v>
                </c:pt>
                <c:pt idx="2">
                  <c:v>2016</c:v>
                </c:pt>
                <c:pt idx="3">
                  <c:v>2017</c:v>
                </c:pt>
                <c:pt idx="4">
                  <c:v>2018</c:v>
                </c:pt>
                <c:pt idx="5">
                  <c:v>2019</c:v>
                </c:pt>
                <c:pt idx="6">
                  <c:v>2020</c:v>
                </c:pt>
                <c:pt idx="7">
                  <c:v>2021</c:v>
                </c:pt>
                <c:pt idx="8">
                  <c:v>2022</c:v>
                </c:pt>
                <c:pt idx="9">
                  <c:v>2023</c:v>
                </c:pt>
                <c:pt idx="10">
                  <c:v>2024 OS</c:v>
                </c:pt>
                <c:pt idx="11">
                  <c:v>2025  N</c:v>
                </c:pt>
                <c:pt idx="12">
                  <c:v>2026 N</c:v>
                </c:pt>
                <c:pt idx="13">
                  <c:v>2027 N</c:v>
                </c:pt>
              </c:strCache>
            </c:strRef>
          </c:cat>
          <c:val>
            <c:numRef>
              <c:f>'Výdavky dôch. poistenia 14-23'!$C$19:$T$19</c:f>
              <c:numCache>
                <c:formatCode>#\ ##0.0</c:formatCode>
                <c:ptCount val="14"/>
                <c:pt idx="0">
                  <c:v>4722.0990000000002</c:v>
                </c:pt>
                <c:pt idx="1">
                  <c:v>4884.527</c:v>
                </c:pt>
                <c:pt idx="2">
                  <c:v>4957.402</c:v>
                </c:pt>
                <c:pt idx="3">
                  <c:v>5192.47</c:v>
                </c:pt>
                <c:pt idx="4">
                  <c:v>5472.7420000000002</c:v>
                </c:pt>
                <c:pt idx="5">
                  <c:v>5751.3209999999999</c:v>
                </c:pt>
                <c:pt idx="6">
                  <c:v>6097.0619999999999</c:v>
                </c:pt>
                <c:pt idx="7">
                  <c:v>6358.2860000000001</c:v>
                </c:pt>
                <c:pt idx="8">
                  <c:v>6575.5219999999999</c:v>
                </c:pt>
                <c:pt idx="9">
                  <c:v>7976.0249999999996</c:v>
                </c:pt>
                <c:pt idx="10">
                  <c:v>9573.0249999999996</c:v>
                </c:pt>
                <c:pt idx="11">
                  <c:v>10008.120000000001</c:v>
                </c:pt>
                <c:pt idx="12">
                  <c:v>10783.288</c:v>
                </c:pt>
                <c:pt idx="13">
                  <c:v>11096.137000000001</c:v>
                </c:pt>
              </c:numCache>
            </c:numRef>
          </c:val>
          <c:smooth val="0"/>
          <c:extLst>
            <c:ext xmlns:c16="http://schemas.microsoft.com/office/drawing/2014/chart" uri="{C3380CC4-5D6E-409C-BE32-E72D297353CC}">
              <c16:uniqueId val="{00000000-F01F-44D7-9A53-6058E798BB1F}"/>
            </c:ext>
          </c:extLst>
        </c:ser>
        <c:dLbls>
          <c:showLegendKey val="0"/>
          <c:showVal val="0"/>
          <c:showCatName val="0"/>
          <c:showSerName val="0"/>
          <c:showPercent val="0"/>
          <c:showBubbleSize val="0"/>
        </c:dLbls>
        <c:marker val="1"/>
        <c:smooth val="0"/>
        <c:axId val="1476727808"/>
        <c:axId val="1476728640"/>
      </c:lineChart>
      <c:lineChart>
        <c:grouping val="standard"/>
        <c:varyColors val="0"/>
        <c:ser>
          <c:idx val="2"/>
          <c:order val="1"/>
          <c:tx>
            <c:strRef>
              <c:f>'Výdavky dôch. poistenia 14-23'!$B$20</c:f>
              <c:strCache>
                <c:ptCount val="1"/>
                <c:pt idx="0">
                  <c:v>PSD (pravá os)</c:v>
                </c:pt>
              </c:strCache>
            </c:strRef>
          </c:tx>
          <c:spPr>
            <a:ln w="25400" cap="rnd">
              <a:solidFill>
                <a:schemeClr val="tx2"/>
              </a:solidFill>
              <a:round/>
            </a:ln>
            <a:effectLst/>
          </c:spPr>
          <c:marker>
            <c:symbol val="circle"/>
            <c:size val="5"/>
            <c:spPr>
              <a:solidFill>
                <a:schemeClr val="tx2"/>
              </a:solidFill>
              <a:ln w="12700">
                <a:solidFill>
                  <a:schemeClr val="bg1"/>
                </a:solidFill>
              </a:ln>
              <a:effectLst/>
            </c:spPr>
          </c:marker>
          <c:cat>
            <c:strRef>
              <c:f>'Výdavky dôch. poistenia 14-23'!$C$18:$T$18</c:f>
              <c:strCache>
                <c:ptCount val="14"/>
                <c:pt idx="0">
                  <c:v>2014</c:v>
                </c:pt>
                <c:pt idx="1">
                  <c:v>2015</c:v>
                </c:pt>
                <c:pt idx="2">
                  <c:v>2016</c:v>
                </c:pt>
                <c:pt idx="3">
                  <c:v>2017</c:v>
                </c:pt>
                <c:pt idx="4">
                  <c:v>2018</c:v>
                </c:pt>
                <c:pt idx="5">
                  <c:v>2019</c:v>
                </c:pt>
                <c:pt idx="6">
                  <c:v>2020</c:v>
                </c:pt>
                <c:pt idx="7">
                  <c:v>2021</c:v>
                </c:pt>
                <c:pt idx="8">
                  <c:v>2022</c:v>
                </c:pt>
                <c:pt idx="9">
                  <c:v>2023</c:v>
                </c:pt>
                <c:pt idx="10">
                  <c:v>2024 OS</c:v>
                </c:pt>
                <c:pt idx="11">
                  <c:v>2025  N</c:v>
                </c:pt>
                <c:pt idx="12">
                  <c:v>2026 N</c:v>
                </c:pt>
                <c:pt idx="13">
                  <c:v>2027 N</c:v>
                </c:pt>
              </c:strCache>
            </c:strRef>
          </c:cat>
          <c:val>
            <c:numRef>
              <c:f>'Výdavky dôch. poistenia 14-23'!$C$20:$T$20</c:f>
              <c:numCache>
                <c:formatCode>#\ ##0.0</c:formatCode>
                <c:ptCount val="14"/>
                <c:pt idx="0">
                  <c:v>102.89</c:v>
                </c:pt>
                <c:pt idx="1">
                  <c:v>101.88500000000001</c:v>
                </c:pt>
                <c:pt idx="2">
                  <c:v>104.57599999999999</c:v>
                </c:pt>
                <c:pt idx="3">
                  <c:v>111.316</c:v>
                </c:pt>
                <c:pt idx="4">
                  <c:v>93.768000000000001</c:v>
                </c:pt>
                <c:pt idx="5">
                  <c:v>88.602999999999994</c:v>
                </c:pt>
                <c:pt idx="6">
                  <c:v>90.072999999999993</c:v>
                </c:pt>
                <c:pt idx="7">
                  <c:v>89.744</c:v>
                </c:pt>
                <c:pt idx="8">
                  <c:v>90.332999999999998</c:v>
                </c:pt>
                <c:pt idx="9">
                  <c:v>144.60300000000001</c:v>
                </c:pt>
                <c:pt idx="10">
                  <c:v>466.92899999999997</c:v>
                </c:pt>
                <c:pt idx="11">
                  <c:v>563.52099999999996</c:v>
                </c:pt>
                <c:pt idx="12">
                  <c:v>370.72699999999998</c:v>
                </c:pt>
                <c:pt idx="13">
                  <c:v>280.23399999999998</c:v>
                </c:pt>
              </c:numCache>
            </c:numRef>
          </c:val>
          <c:smooth val="0"/>
          <c:extLst>
            <c:ext xmlns:c16="http://schemas.microsoft.com/office/drawing/2014/chart" uri="{C3380CC4-5D6E-409C-BE32-E72D297353CC}">
              <c16:uniqueId val="{00000001-F01F-44D7-9A53-6058E798BB1F}"/>
            </c:ext>
          </c:extLst>
        </c:ser>
        <c:ser>
          <c:idx val="0"/>
          <c:order val="2"/>
          <c:tx>
            <c:strRef>
              <c:f>'Výdavky dôch. poistenia 14-23'!$B$21</c:f>
              <c:strCache>
                <c:ptCount val="1"/>
                <c:pt idx="0">
                  <c:v>Rodičovský dôchodok (pravá os)</c:v>
                </c:pt>
              </c:strCache>
            </c:strRef>
          </c:tx>
          <c:spPr>
            <a:ln w="25400" cap="rnd">
              <a:solidFill>
                <a:schemeClr val="accent6"/>
              </a:solidFill>
              <a:round/>
            </a:ln>
            <a:effectLst/>
          </c:spPr>
          <c:marker>
            <c:symbol val="diamond"/>
            <c:size val="7"/>
            <c:spPr>
              <a:solidFill>
                <a:schemeClr val="accent6"/>
              </a:solidFill>
              <a:ln w="12700">
                <a:solidFill>
                  <a:schemeClr val="bg1"/>
                </a:solidFill>
              </a:ln>
              <a:effectLst/>
            </c:spPr>
          </c:marker>
          <c:cat>
            <c:strRef>
              <c:f>'Výdavky dôch. poistenia 14-23'!$C$18:$T$18</c:f>
              <c:strCache>
                <c:ptCount val="14"/>
                <c:pt idx="0">
                  <c:v>2014</c:v>
                </c:pt>
                <c:pt idx="1">
                  <c:v>2015</c:v>
                </c:pt>
                <c:pt idx="2">
                  <c:v>2016</c:v>
                </c:pt>
                <c:pt idx="3">
                  <c:v>2017</c:v>
                </c:pt>
                <c:pt idx="4">
                  <c:v>2018</c:v>
                </c:pt>
                <c:pt idx="5">
                  <c:v>2019</c:v>
                </c:pt>
                <c:pt idx="6">
                  <c:v>2020</c:v>
                </c:pt>
                <c:pt idx="7">
                  <c:v>2021</c:v>
                </c:pt>
                <c:pt idx="8">
                  <c:v>2022</c:v>
                </c:pt>
                <c:pt idx="9">
                  <c:v>2023</c:v>
                </c:pt>
                <c:pt idx="10">
                  <c:v>2024 OS</c:v>
                </c:pt>
                <c:pt idx="11">
                  <c:v>2025  N</c:v>
                </c:pt>
                <c:pt idx="12">
                  <c:v>2026 N</c:v>
                </c:pt>
                <c:pt idx="13">
                  <c:v>2027 N</c:v>
                </c:pt>
              </c:strCache>
            </c:strRef>
          </c:cat>
          <c:val>
            <c:numRef>
              <c:f>'Výdavky dôch. poistenia 14-23'!$C$21:$T$21</c:f>
              <c:numCache>
                <c:formatCode>General</c:formatCode>
                <c:ptCount val="14"/>
                <c:pt idx="9" formatCode="#\ ##0.0">
                  <c:v>286.06799999999998</c:v>
                </c:pt>
                <c:pt idx="10" formatCode="#\ ##0.0">
                  <c:v>313.89999999999998</c:v>
                </c:pt>
              </c:numCache>
            </c:numRef>
          </c:val>
          <c:smooth val="0"/>
          <c:extLst>
            <c:ext xmlns:c16="http://schemas.microsoft.com/office/drawing/2014/chart" uri="{C3380CC4-5D6E-409C-BE32-E72D297353CC}">
              <c16:uniqueId val="{00000002-F01F-44D7-9A53-6058E798BB1F}"/>
            </c:ext>
          </c:extLst>
        </c:ser>
        <c:dLbls>
          <c:showLegendKey val="0"/>
          <c:showVal val="0"/>
          <c:showCatName val="0"/>
          <c:showSerName val="0"/>
          <c:showPercent val="0"/>
          <c:showBubbleSize val="0"/>
        </c:dLbls>
        <c:marker val="1"/>
        <c:smooth val="0"/>
        <c:axId val="143631840"/>
        <c:axId val="143631008"/>
      </c:lineChart>
      <c:catAx>
        <c:axId val="14767278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476728640"/>
        <c:crosses val="autoZero"/>
        <c:auto val="1"/>
        <c:lblAlgn val="ctr"/>
        <c:lblOffset val="100"/>
        <c:noMultiLvlLbl val="0"/>
      </c:catAx>
      <c:valAx>
        <c:axId val="1476728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476727808"/>
        <c:crosses val="autoZero"/>
        <c:crossBetween val="between"/>
      </c:valAx>
      <c:valAx>
        <c:axId val="143631008"/>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43631840"/>
        <c:crosses val="max"/>
        <c:crossBetween val="between"/>
      </c:valAx>
      <c:catAx>
        <c:axId val="143631840"/>
        <c:scaling>
          <c:orientation val="minMax"/>
        </c:scaling>
        <c:delete val="1"/>
        <c:axPos val="b"/>
        <c:numFmt formatCode="General" sourceLinked="1"/>
        <c:majorTickMark val="out"/>
        <c:minorTickMark val="none"/>
        <c:tickLblPos val="nextTo"/>
        <c:crossAx val="143631008"/>
        <c:crosses val="autoZero"/>
        <c:auto val="1"/>
        <c:lblAlgn val="ctr"/>
        <c:lblOffset val="100"/>
        <c:noMultiLvlLbl val="0"/>
      </c:catAx>
      <c:spPr>
        <a:noFill/>
        <a:ln>
          <a:noFill/>
        </a:ln>
        <a:effectLst/>
      </c:spPr>
    </c:plotArea>
    <c:legend>
      <c:legendPos val="b"/>
      <c:layout>
        <c:manualLayout>
          <c:xMode val="edge"/>
          <c:yMode val="edge"/>
          <c:x val="5.8549130287359807E-2"/>
          <c:y val="0.72181772983222925"/>
          <c:w val="0.84961694641508689"/>
          <c:h val="0.2365153144403205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'13. dôchodok'!$B$40</c:f>
              <c:strCache>
                <c:ptCount val="1"/>
                <c:pt idx="0">
                  <c:v>13. dôchodok, resp. vianočný príspevok dôchodcom</c:v>
                </c:pt>
              </c:strCache>
            </c:strRef>
          </c:tx>
          <c:spPr>
            <a:solidFill>
              <a:schemeClr val="accent1"/>
            </a:solidFill>
            <a:ln>
              <a:noFill/>
            </a:ln>
            <a:effectLst/>
          </c:spPr>
          <c:invertIfNegative val="0"/>
          <c:dLbls>
            <c:delete val="1"/>
          </c:dLbls>
          <c:cat>
            <c:strRef>
              <c:f>'13. dôchodok'!$C$39:$Q$39</c:f>
              <c:strCache>
                <c:ptCount val="14"/>
                <c:pt idx="0">
                  <c:v>2014</c:v>
                </c:pt>
                <c:pt idx="1">
                  <c:v>2015</c:v>
                </c:pt>
                <c:pt idx="2">
                  <c:v>2016</c:v>
                </c:pt>
                <c:pt idx="3">
                  <c:v>2017</c:v>
                </c:pt>
                <c:pt idx="4">
                  <c:v>2018</c:v>
                </c:pt>
                <c:pt idx="5">
                  <c:v>2019</c:v>
                </c:pt>
                <c:pt idx="6">
                  <c:v>2020</c:v>
                </c:pt>
                <c:pt idx="7">
                  <c:v>2021</c:v>
                </c:pt>
                <c:pt idx="8">
                  <c:v>2022</c:v>
                </c:pt>
                <c:pt idx="9">
                  <c:v>2023</c:v>
                </c:pt>
                <c:pt idx="10">
                  <c:v>2024 OS</c:v>
                </c:pt>
                <c:pt idx="11">
                  <c:v>2025 N</c:v>
                </c:pt>
                <c:pt idx="12">
                  <c:v>2026 N</c:v>
                </c:pt>
                <c:pt idx="13">
                  <c:v>2027 N</c:v>
                </c:pt>
              </c:strCache>
            </c:strRef>
          </c:cat>
          <c:val>
            <c:numRef>
              <c:f>'13. dôchodok'!$C$40:$Q$40</c:f>
              <c:numCache>
                <c:formatCode>#\ ##0.0</c:formatCode>
                <c:ptCount val="14"/>
                <c:pt idx="0">
                  <c:v>81.3</c:v>
                </c:pt>
                <c:pt idx="1">
                  <c:v>81.522093680000012</c:v>
                </c:pt>
                <c:pt idx="2">
                  <c:v>81.3</c:v>
                </c:pt>
                <c:pt idx="3">
                  <c:v>80.070789829999995</c:v>
                </c:pt>
                <c:pt idx="4">
                  <c:v>80</c:v>
                </c:pt>
                <c:pt idx="5">
                  <c:v>154.31857299999999</c:v>
                </c:pt>
                <c:pt idx="6">
                  <c:v>305.50893230000003</c:v>
                </c:pt>
                <c:pt idx="7">
                  <c:v>305.47644360999999</c:v>
                </c:pt>
                <c:pt idx="8">
                  <c:v>512.65023687999997</c:v>
                </c:pt>
                <c:pt idx="9">
                  <c:v>746.32992646000002</c:v>
                </c:pt>
                <c:pt idx="10">
                  <c:v>831.88300000000004</c:v>
                </c:pt>
                <c:pt idx="11">
                  <c:v>920.779</c:v>
                </c:pt>
                <c:pt idx="12">
                  <c:v>972.25599999999997</c:v>
                </c:pt>
                <c:pt idx="13">
                  <c:v>1026.838</c:v>
                </c:pt>
              </c:numCache>
            </c:numRef>
          </c:val>
          <c:extLst>
            <c:ext xmlns:c16="http://schemas.microsoft.com/office/drawing/2014/chart" uri="{C3380CC4-5D6E-409C-BE32-E72D297353CC}">
              <c16:uniqueId val="{00000000-2653-454A-9D60-5C8C3ABB4169}"/>
            </c:ext>
          </c:extLst>
        </c:ser>
        <c:dLbls>
          <c:dLblPos val="outEnd"/>
          <c:showLegendKey val="0"/>
          <c:showVal val="1"/>
          <c:showCatName val="0"/>
          <c:showSerName val="0"/>
          <c:showPercent val="0"/>
          <c:showBubbleSize val="0"/>
        </c:dLbls>
        <c:gapWidth val="100"/>
        <c:axId val="1853831424"/>
        <c:axId val="1853832256"/>
      </c:barChart>
      <c:catAx>
        <c:axId val="185383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853832256"/>
        <c:crosses val="autoZero"/>
        <c:auto val="1"/>
        <c:lblAlgn val="ctr"/>
        <c:lblOffset val="100"/>
        <c:noMultiLvlLbl val="0"/>
      </c:catAx>
      <c:valAx>
        <c:axId val="1853832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853831424"/>
        <c:crosses val="autoZero"/>
        <c:crossBetween val="between"/>
        <c:majorUnit val="2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'transfer zo šr'!$B$6</c:f>
              <c:strCache>
                <c:ptCount val="1"/>
                <c:pt idx="0">
                  <c:v>Transfer zo ŠR</c:v>
                </c:pt>
              </c:strCache>
            </c:strRef>
          </c:tx>
          <c:spPr>
            <a:ln w="25400" cap="rnd">
              <a:solidFill>
                <a:schemeClr val="accent1"/>
              </a:solidFill>
              <a:round/>
            </a:ln>
            <a:effectLst/>
          </c:spPr>
          <c:marker>
            <c:symbol val="circle"/>
            <c:size val="5"/>
            <c:spPr>
              <a:solidFill>
                <a:schemeClr val="accent1"/>
              </a:solidFill>
              <a:ln w="12700">
                <a:solidFill>
                  <a:schemeClr val="bg1"/>
                </a:solidFill>
              </a:ln>
              <a:effectLst/>
            </c:spPr>
          </c:marker>
          <c:dLbls>
            <c:dLbl>
              <c:idx val="1"/>
              <c:layout>
                <c:manualLayout>
                  <c:x val="-5.2192801237176685E-2"/>
                  <c:y val="-8.48264800233304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82-45F1-8D63-6C4499FD9580}"/>
                </c:ext>
              </c:extLst>
            </c:dLbl>
            <c:dLbl>
              <c:idx val="3"/>
              <c:layout>
                <c:manualLayout>
                  <c:x val="-4.9694050612489077E-2"/>
                  <c:y val="-9.40857392825896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82-45F1-8D63-6C4499FD9580}"/>
                </c:ext>
              </c:extLst>
            </c:dLbl>
            <c:dLbl>
              <c:idx val="5"/>
              <c:layout>
                <c:manualLayout>
                  <c:x val="-4.0698548363613467E-2"/>
                  <c:y val="-8.94561096529600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C82-45F1-8D63-6C4499FD9580}"/>
                </c:ext>
              </c:extLst>
            </c:dLbl>
            <c:dLbl>
              <c:idx val="7"/>
              <c:layout>
                <c:manualLayout>
                  <c:x val="-3.9699048113738408E-2"/>
                  <c:y val="-5.7048702245552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C82-45F1-8D63-6C4499FD9580}"/>
                </c:ext>
              </c:extLst>
            </c:dLbl>
            <c:dLbl>
              <c:idx val="8"/>
              <c:layout>
                <c:manualLayout>
                  <c:x val="-5.7190302486552089E-2"/>
                  <c:y val="-0.1403820355788860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C82-45F1-8D63-6C4499FD9580}"/>
                </c:ext>
              </c:extLst>
            </c:dLbl>
            <c:dLbl>
              <c:idx val="9"/>
              <c:layout>
                <c:manualLayout>
                  <c:x val="-7.0433680797396675E-2"/>
                  <c:y val="-6.63079615048118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C82-45F1-8D63-6C4499FD9580}"/>
                </c:ext>
              </c:extLst>
            </c:dLbl>
            <c:dLbl>
              <c:idx val="10"/>
              <c:layout>
                <c:manualLayout>
                  <c:x val="-0.10791494016771142"/>
                  <c:y val="-4.31598133566637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C82-45F1-8D63-6C4499FD9580}"/>
                </c:ext>
              </c:extLst>
            </c:dLbl>
            <c:dLbl>
              <c:idx val="11"/>
              <c:layout>
                <c:manualLayout>
                  <c:x val="-5.7939927673958391E-2"/>
                  <c:y val="-7.55672207640711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C82-45F1-8D63-6C4499FD9580}"/>
                </c:ext>
              </c:extLst>
            </c:dLbl>
            <c:dLbl>
              <c:idx val="12"/>
              <c:layout>
                <c:manualLayout>
                  <c:x val="-2.6736631684157922E-2"/>
                  <c:y val="-7.5567220764071158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8-3C82-45F1-8D63-6C4499FD9580}"/>
                </c:ext>
              </c:extLst>
            </c:dLbl>
            <c:dLbl>
              <c:idx val="13"/>
              <c:layout>
                <c:manualLayout>
                  <c:x val="-5.4657710514821329E-4"/>
                  <c:y val="-8.4826480023330417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9-3C82-45F1-8D63-6C4499FD9580}"/>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'transfer zo šr'!$C$5:$R$5</c:f>
              <c:strCache>
                <c:ptCount val="14"/>
                <c:pt idx="0">
                  <c:v>2014</c:v>
                </c:pt>
                <c:pt idx="1">
                  <c:v>2015</c:v>
                </c:pt>
                <c:pt idx="2">
                  <c:v>2016</c:v>
                </c:pt>
                <c:pt idx="3">
                  <c:v>2017</c:v>
                </c:pt>
                <c:pt idx="4">
                  <c:v>2018</c:v>
                </c:pt>
                <c:pt idx="5">
                  <c:v>2019</c:v>
                </c:pt>
                <c:pt idx="6">
                  <c:v>2020</c:v>
                </c:pt>
                <c:pt idx="7">
                  <c:v>2021</c:v>
                </c:pt>
                <c:pt idx="8">
                  <c:v>2022</c:v>
                </c:pt>
                <c:pt idx="9">
                  <c:v>2023</c:v>
                </c:pt>
                <c:pt idx="10">
                  <c:v>2024 OS</c:v>
                </c:pt>
                <c:pt idx="11">
                  <c:v>2025 N</c:v>
                </c:pt>
                <c:pt idx="12">
                  <c:v>2026 N</c:v>
                </c:pt>
                <c:pt idx="13">
                  <c:v>2027 N</c:v>
                </c:pt>
              </c:strCache>
            </c:strRef>
          </c:cat>
          <c:val>
            <c:numRef>
              <c:f>'transfer zo šr'!$C$6:$R$6</c:f>
              <c:numCache>
                <c:formatCode>#\ ##0.0</c:formatCode>
                <c:ptCount val="14"/>
                <c:pt idx="0">
                  <c:v>900.89499999999998</c:v>
                </c:pt>
                <c:pt idx="1">
                  <c:v>452.983</c:v>
                </c:pt>
                <c:pt idx="2">
                  <c:v>365.32400000000001</c:v>
                </c:pt>
                <c:pt idx="3">
                  <c:v>415.32499999999999</c:v>
                </c:pt>
                <c:pt idx="4">
                  <c:v>106.413</c:v>
                </c:pt>
                <c:pt idx="5">
                  <c:v>0</c:v>
                </c:pt>
                <c:pt idx="6">
                  <c:v>969.86500000000001</c:v>
                </c:pt>
                <c:pt idx="7">
                  <c:v>840</c:v>
                </c:pt>
                <c:pt idx="8">
                  <c:v>103.488</c:v>
                </c:pt>
                <c:pt idx="9">
                  <c:v>1160</c:v>
                </c:pt>
                <c:pt idx="10">
                  <c:v>2720</c:v>
                </c:pt>
                <c:pt idx="11">
                  <c:v>2750</c:v>
                </c:pt>
                <c:pt idx="12">
                  <c:v>2700</c:v>
                </c:pt>
                <c:pt idx="13">
                  <c:v>2350</c:v>
                </c:pt>
              </c:numCache>
            </c:numRef>
          </c:val>
          <c:smooth val="0"/>
          <c:extLst>
            <c:ext xmlns:c16="http://schemas.microsoft.com/office/drawing/2014/chart" uri="{C3380CC4-5D6E-409C-BE32-E72D297353CC}">
              <c16:uniqueId val="{0000000A-3C82-45F1-8D63-6C4499FD9580}"/>
            </c:ext>
          </c:extLst>
        </c:ser>
        <c:dLbls>
          <c:dLblPos val="t"/>
          <c:showLegendKey val="0"/>
          <c:showVal val="1"/>
          <c:showCatName val="0"/>
          <c:showSerName val="0"/>
          <c:showPercent val="0"/>
          <c:showBubbleSize val="0"/>
        </c:dLbls>
        <c:marker val="1"/>
        <c:smooth val="0"/>
        <c:axId val="1252035695"/>
        <c:axId val="1252032367"/>
      </c:lineChart>
      <c:catAx>
        <c:axId val="1252035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252032367"/>
        <c:crosses val="autoZero"/>
        <c:auto val="1"/>
        <c:lblAlgn val="ctr"/>
        <c:lblOffset val="100"/>
        <c:noMultiLvlLbl val="0"/>
      </c:catAx>
      <c:valAx>
        <c:axId val="12520323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25203569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936081951491948"/>
          <c:y val="7.3578595317725759E-2"/>
          <c:w val="0.78930926914583643"/>
          <c:h val="0.53494746267084503"/>
        </c:manualLayout>
      </c:layout>
      <c:lineChart>
        <c:grouping val="standard"/>
        <c:varyColors val="0"/>
        <c:ser>
          <c:idx val="0"/>
          <c:order val="0"/>
          <c:tx>
            <c:strRef>
              <c:f>'podpora rodiny MPSVR SR'!$C$26</c:f>
              <c:strCache>
                <c:ptCount val="1"/>
                <c:pt idx="0">
                  <c:v>Podpora rodiny</c:v>
                </c:pt>
              </c:strCache>
            </c:strRef>
          </c:tx>
          <c:spPr>
            <a:ln w="25400" cap="rnd">
              <a:solidFill>
                <a:schemeClr val="accent1"/>
              </a:solidFill>
              <a:round/>
            </a:ln>
            <a:effectLst/>
          </c:spPr>
          <c:marker>
            <c:symbol val="circle"/>
            <c:size val="5"/>
            <c:spPr>
              <a:solidFill>
                <a:schemeClr val="accent1"/>
              </a:solidFill>
              <a:ln w="12700">
                <a:solidFill>
                  <a:schemeClr val="bg1"/>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0-04C7-4C9E-A7EA-C2F2336F4BA2}"/>
                </c:ext>
              </c:extLst>
            </c:dLbl>
            <c:dLbl>
              <c:idx val="2"/>
              <c:delete val="1"/>
              <c:extLst>
                <c:ext xmlns:c15="http://schemas.microsoft.com/office/drawing/2012/chart" uri="{CE6537A1-D6FC-4f65-9D91-7224C49458BB}"/>
                <c:ext xmlns:c16="http://schemas.microsoft.com/office/drawing/2014/chart" uri="{C3380CC4-5D6E-409C-BE32-E72D297353CC}">
                  <c16:uniqueId val="{00000001-04C7-4C9E-A7EA-C2F2336F4BA2}"/>
                </c:ext>
              </c:extLst>
            </c:dLbl>
            <c:dLbl>
              <c:idx val="3"/>
              <c:delete val="1"/>
              <c:extLst>
                <c:ext xmlns:c15="http://schemas.microsoft.com/office/drawing/2012/chart" uri="{CE6537A1-D6FC-4f65-9D91-7224C49458BB}"/>
                <c:ext xmlns:c16="http://schemas.microsoft.com/office/drawing/2014/chart" uri="{C3380CC4-5D6E-409C-BE32-E72D297353CC}">
                  <c16:uniqueId val="{00000002-04C7-4C9E-A7EA-C2F2336F4BA2}"/>
                </c:ext>
              </c:extLst>
            </c:dLbl>
            <c:dLbl>
              <c:idx val="4"/>
              <c:delete val="1"/>
              <c:extLst>
                <c:ext xmlns:c15="http://schemas.microsoft.com/office/drawing/2012/chart" uri="{CE6537A1-D6FC-4f65-9D91-7224C49458BB}"/>
                <c:ext xmlns:c16="http://schemas.microsoft.com/office/drawing/2014/chart" uri="{C3380CC4-5D6E-409C-BE32-E72D297353CC}">
                  <c16:uniqueId val="{00000003-04C7-4C9E-A7EA-C2F2336F4BA2}"/>
                </c:ext>
              </c:extLst>
            </c:dLbl>
            <c:dLbl>
              <c:idx val="7"/>
              <c:delete val="1"/>
              <c:extLst>
                <c:ext xmlns:c15="http://schemas.microsoft.com/office/drawing/2012/chart" uri="{CE6537A1-D6FC-4f65-9D91-7224C49458BB}"/>
                <c:ext xmlns:c16="http://schemas.microsoft.com/office/drawing/2014/chart" uri="{C3380CC4-5D6E-409C-BE32-E72D297353CC}">
                  <c16:uniqueId val="{00000004-04C7-4C9E-A7EA-C2F2336F4BA2}"/>
                </c:ext>
              </c:extLst>
            </c:dLbl>
            <c:dLbl>
              <c:idx val="8"/>
              <c:delete val="1"/>
              <c:extLst>
                <c:ext xmlns:c15="http://schemas.microsoft.com/office/drawing/2012/chart" uri="{CE6537A1-D6FC-4f65-9D91-7224C49458BB}"/>
                <c:ext xmlns:c16="http://schemas.microsoft.com/office/drawing/2014/chart" uri="{C3380CC4-5D6E-409C-BE32-E72D297353CC}">
                  <c16:uniqueId val="{00000005-04C7-4C9E-A7EA-C2F2336F4BA2}"/>
                </c:ext>
              </c:extLst>
            </c:dLbl>
            <c:dLbl>
              <c:idx val="9"/>
              <c:delete val="1"/>
              <c:extLst>
                <c:ext xmlns:c15="http://schemas.microsoft.com/office/drawing/2012/chart" uri="{CE6537A1-D6FC-4f65-9D91-7224C49458BB}"/>
                <c:ext xmlns:c16="http://schemas.microsoft.com/office/drawing/2014/chart" uri="{C3380CC4-5D6E-409C-BE32-E72D297353CC}">
                  <c16:uniqueId val="{00000006-04C7-4C9E-A7EA-C2F2336F4BA2}"/>
                </c:ext>
              </c:extLst>
            </c:dLbl>
            <c:dLbl>
              <c:idx val="10"/>
              <c:layout>
                <c:manualLayout>
                  <c:x val="-0.156118253533754"/>
                  <c:y val="-5.5043119610048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4C7-4C9E-A7EA-C2F2336F4BA2}"/>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'podpora rodiny MPSVR SR'!$D$16:$P$16</c:f>
              <c:strCache>
                <c:ptCount val="12"/>
                <c:pt idx="0">
                  <c:v>2014</c:v>
                </c:pt>
                <c:pt idx="1">
                  <c:v>2015</c:v>
                </c:pt>
                <c:pt idx="2">
                  <c:v>2016</c:v>
                </c:pt>
                <c:pt idx="3">
                  <c:v>2017</c:v>
                </c:pt>
                <c:pt idx="4">
                  <c:v>2018</c:v>
                </c:pt>
                <c:pt idx="5">
                  <c:v>2019</c:v>
                </c:pt>
                <c:pt idx="6">
                  <c:v>2020</c:v>
                </c:pt>
                <c:pt idx="7">
                  <c:v>2021</c:v>
                </c:pt>
                <c:pt idx="8">
                  <c:v>2022</c:v>
                </c:pt>
                <c:pt idx="9">
                  <c:v>2023</c:v>
                </c:pt>
                <c:pt idx="10">
                  <c:v>2024 OS</c:v>
                </c:pt>
                <c:pt idx="11">
                  <c:v>2025 N</c:v>
                </c:pt>
              </c:strCache>
            </c:strRef>
          </c:cat>
          <c:val>
            <c:numRef>
              <c:f>'podpora rodiny MPSVR SR'!$D$26:$P$26</c:f>
              <c:numCache>
                <c:formatCode>#\ ##0.0</c:formatCode>
                <c:ptCount val="12"/>
                <c:pt idx="0">
                  <c:v>722.64823640999987</c:v>
                </c:pt>
                <c:pt idx="1">
                  <c:v>718.67486273999975</c:v>
                </c:pt>
                <c:pt idx="2">
                  <c:v>718.99144322000006</c:v>
                </c:pt>
                <c:pt idx="3">
                  <c:v>722.53070198</c:v>
                </c:pt>
                <c:pt idx="4">
                  <c:v>737.49073592999991</c:v>
                </c:pt>
                <c:pt idx="5">
                  <c:v>812.50274121000007</c:v>
                </c:pt>
                <c:pt idx="6">
                  <c:v>1047.5197532100001</c:v>
                </c:pt>
                <c:pt idx="7">
                  <c:v>1191.1460814100001</c:v>
                </c:pt>
                <c:pt idx="8">
                  <c:v>1119.7656068699998</c:v>
                </c:pt>
                <c:pt idx="9">
                  <c:v>1599.5609850000001</c:v>
                </c:pt>
                <c:pt idx="10">
                  <c:v>1766.12</c:v>
                </c:pt>
                <c:pt idx="11">
                  <c:v>1853.9636869999999</c:v>
                </c:pt>
              </c:numCache>
            </c:numRef>
          </c:val>
          <c:smooth val="0"/>
          <c:extLst>
            <c:ext xmlns:c16="http://schemas.microsoft.com/office/drawing/2014/chart" uri="{C3380CC4-5D6E-409C-BE32-E72D297353CC}">
              <c16:uniqueId val="{00000008-04C7-4C9E-A7EA-C2F2336F4BA2}"/>
            </c:ext>
          </c:extLst>
        </c:ser>
        <c:dLbls>
          <c:dLblPos val="t"/>
          <c:showLegendKey val="0"/>
          <c:showVal val="1"/>
          <c:showCatName val="0"/>
          <c:showSerName val="0"/>
          <c:showPercent val="0"/>
          <c:showBubbleSize val="0"/>
        </c:dLbls>
        <c:marker val="1"/>
        <c:smooth val="0"/>
        <c:axId val="1252035695"/>
        <c:axId val="1252032367"/>
      </c:lineChart>
      <c:catAx>
        <c:axId val="1252035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252032367"/>
        <c:crosses val="autoZero"/>
        <c:auto val="1"/>
        <c:lblAlgn val="ctr"/>
        <c:lblOffset val="100"/>
        <c:noMultiLvlLbl val="0"/>
      </c:catAx>
      <c:valAx>
        <c:axId val="12520323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252035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418069355326069"/>
          <c:y val="6.5554231227651971E-2"/>
          <c:w val="0.79615790689820654"/>
          <c:h val="0.39797057089918142"/>
        </c:manualLayout>
      </c:layout>
      <c:barChart>
        <c:barDir val="col"/>
        <c:grouping val="stacked"/>
        <c:varyColors val="0"/>
        <c:ser>
          <c:idx val="0"/>
          <c:order val="0"/>
          <c:tx>
            <c:strRef>
              <c:f>'podpora rodiny MPSVR SR'!$C$52</c:f>
              <c:strCache>
                <c:ptCount val="1"/>
                <c:pt idx="0">
                  <c:v>Prídavok na dieťa</c:v>
                </c:pt>
              </c:strCache>
            </c:strRef>
          </c:tx>
          <c:spPr>
            <a:solidFill>
              <a:schemeClr val="accent1"/>
            </a:solidFill>
            <a:ln>
              <a:noFill/>
            </a:ln>
            <a:effectLst/>
          </c:spPr>
          <c:invertIfNegative val="0"/>
          <c:cat>
            <c:strRef>
              <c:f>'podpora rodiny MPSVR SR'!$D$51:$P$51</c:f>
              <c:strCache>
                <c:ptCount val="12"/>
                <c:pt idx="0">
                  <c:v>2014</c:v>
                </c:pt>
                <c:pt idx="1">
                  <c:v>2015</c:v>
                </c:pt>
                <c:pt idx="2">
                  <c:v>2016</c:v>
                </c:pt>
                <c:pt idx="3">
                  <c:v>2017</c:v>
                </c:pt>
                <c:pt idx="4">
                  <c:v>2018</c:v>
                </c:pt>
                <c:pt idx="5">
                  <c:v>2019</c:v>
                </c:pt>
                <c:pt idx="6">
                  <c:v>2020</c:v>
                </c:pt>
                <c:pt idx="7">
                  <c:v>2021</c:v>
                </c:pt>
                <c:pt idx="8">
                  <c:v>2022</c:v>
                </c:pt>
                <c:pt idx="9">
                  <c:v>2023</c:v>
                </c:pt>
                <c:pt idx="10">
                  <c:v>2024 OS</c:v>
                </c:pt>
                <c:pt idx="11">
                  <c:v>2025 N</c:v>
                </c:pt>
              </c:strCache>
            </c:strRef>
          </c:cat>
          <c:val>
            <c:numRef>
              <c:f>'podpora rodiny MPSVR SR'!$D$52:$P$52</c:f>
              <c:numCache>
                <c:formatCode>#\ ##0.0</c:formatCode>
                <c:ptCount val="12"/>
                <c:pt idx="0">
                  <c:v>319.01110887999999</c:v>
                </c:pt>
                <c:pt idx="1">
                  <c:v>315.36487144</c:v>
                </c:pt>
                <c:pt idx="2">
                  <c:v>312.92638643999999</c:v>
                </c:pt>
                <c:pt idx="3">
                  <c:v>311.43822782999996</c:v>
                </c:pt>
                <c:pt idx="4">
                  <c:v>313.07192554</c:v>
                </c:pt>
                <c:pt idx="5">
                  <c:v>328.01686979999999</c:v>
                </c:pt>
                <c:pt idx="6">
                  <c:v>337.94989227999997</c:v>
                </c:pt>
                <c:pt idx="7">
                  <c:v>419.56445238999999</c:v>
                </c:pt>
                <c:pt idx="8">
                  <c:v>464.92813999999998</c:v>
                </c:pt>
                <c:pt idx="9">
                  <c:v>786.55789500000003</c:v>
                </c:pt>
                <c:pt idx="10">
                  <c:v>825</c:v>
                </c:pt>
                <c:pt idx="11">
                  <c:v>830</c:v>
                </c:pt>
              </c:numCache>
            </c:numRef>
          </c:val>
          <c:extLst>
            <c:ext xmlns:c16="http://schemas.microsoft.com/office/drawing/2014/chart" uri="{C3380CC4-5D6E-409C-BE32-E72D297353CC}">
              <c16:uniqueId val="{00000000-A5E2-4D40-8D56-87E03DB7771E}"/>
            </c:ext>
          </c:extLst>
        </c:ser>
        <c:ser>
          <c:idx val="1"/>
          <c:order val="1"/>
          <c:tx>
            <c:strRef>
              <c:f>'podpora rodiny MPSVR SR'!$C$53</c:f>
              <c:strCache>
                <c:ptCount val="1"/>
                <c:pt idx="0">
                  <c:v>Rodičovský príspevok</c:v>
                </c:pt>
              </c:strCache>
            </c:strRef>
          </c:tx>
          <c:spPr>
            <a:solidFill>
              <a:schemeClr val="accent2"/>
            </a:solidFill>
            <a:ln>
              <a:noFill/>
            </a:ln>
            <a:effectLst/>
          </c:spPr>
          <c:invertIfNegative val="0"/>
          <c:cat>
            <c:strRef>
              <c:f>'podpora rodiny MPSVR SR'!$D$51:$P$51</c:f>
              <c:strCache>
                <c:ptCount val="12"/>
                <c:pt idx="0">
                  <c:v>2014</c:v>
                </c:pt>
                <c:pt idx="1">
                  <c:v>2015</c:v>
                </c:pt>
                <c:pt idx="2">
                  <c:v>2016</c:v>
                </c:pt>
                <c:pt idx="3">
                  <c:v>2017</c:v>
                </c:pt>
                <c:pt idx="4">
                  <c:v>2018</c:v>
                </c:pt>
                <c:pt idx="5">
                  <c:v>2019</c:v>
                </c:pt>
                <c:pt idx="6">
                  <c:v>2020</c:v>
                </c:pt>
                <c:pt idx="7">
                  <c:v>2021</c:v>
                </c:pt>
                <c:pt idx="8">
                  <c:v>2022</c:v>
                </c:pt>
                <c:pt idx="9">
                  <c:v>2023</c:v>
                </c:pt>
                <c:pt idx="10">
                  <c:v>2024 OS</c:v>
                </c:pt>
                <c:pt idx="11">
                  <c:v>2025 N</c:v>
                </c:pt>
              </c:strCache>
            </c:strRef>
          </c:cat>
          <c:val>
            <c:numRef>
              <c:f>'podpora rodiny MPSVR SR'!$D$53:$P$53</c:f>
              <c:numCache>
                <c:formatCode>#\ ##0.0</c:formatCode>
                <c:ptCount val="12"/>
                <c:pt idx="0">
                  <c:v>356.00145366999999</c:v>
                </c:pt>
                <c:pt idx="1">
                  <c:v>355.28066988</c:v>
                </c:pt>
                <c:pt idx="2">
                  <c:v>352.44402342000001</c:v>
                </c:pt>
                <c:pt idx="3">
                  <c:v>361.29909304</c:v>
                </c:pt>
                <c:pt idx="4">
                  <c:v>368.68818830999999</c:v>
                </c:pt>
                <c:pt idx="5">
                  <c:v>377.34587426999997</c:v>
                </c:pt>
                <c:pt idx="6">
                  <c:v>581.63972539999997</c:v>
                </c:pt>
                <c:pt idx="7">
                  <c:v>649.85361908000004</c:v>
                </c:pt>
                <c:pt idx="8">
                  <c:v>605.72502099999997</c:v>
                </c:pt>
                <c:pt idx="9">
                  <c:v>659.06717700000002</c:v>
                </c:pt>
                <c:pt idx="10">
                  <c:v>718</c:v>
                </c:pt>
                <c:pt idx="11">
                  <c:v>782.406971</c:v>
                </c:pt>
              </c:numCache>
            </c:numRef>
          </c:val>
          <c:extLst>
            <c:ext xmlns:c16="http://schemas.microsoft.com/office/drawing/2014/chart" uri="{C3380CC4-5D6E-409C-BE32-E72D297353CC}">
              <c16:uniqueId val="{00000001-A5E2-4D40-8D56-87E03DB7771E}"/>
            </c:ext>
          </c:extLst>
        </c:ser>
        <c:ser>
          <c:idx val="3"/>
          <c:order val="3"/>
          <c:tx>
            <c:strRef>
              <c:f>'podpora rodiny MPSVR SR'!$C$55</c:f>
              <c:strCache>
                <c:ptCount val="1"/>
                <c:pt idx="0">
                  <c:v>Dotácia na podporu výchovy k stravovacím návykom</c:v>
                </c:pt>
              </c:strCache>
            </c:strRef>
          </c:tx>
          <c:spPr>
            <a:solidFill>
              <a:schemeClr val="accent4"/>
            </a:solidFill>
            <a:ln>
              <a:noFill/>
            </a:ln>
            <a:effectLst/>
          </c:spPr>
          <c:invertIfNegative val="0"/>
          <c:cat>
            <c:strRef>
              <c:f>'podpora rodiny MPSVR SR'!$D$51:$P$51</c:f>
              <c:strCache>
                <c:ptCount val="12"/>
                <c:pt idx="0">
                  <c:v>2014</c:v>
                </c:pt>
                <c:pt idx="1">
                  <c:v>2015</c:v>
                </c:pt>
                <c:pt idx="2">
                  <c:v>2016</c:v>
                </c:pt>
                <c:pt idx="3">
                  <c:v>2017</c:v>
                </c:pt>
                <c:pt idx="4">
                  <c:v>2018</c:v>
                </c:pt>
                <c:pt idx="5">
                  <c:v>2019</c:v>
                </c:pt>
                <c:pt idx="6">
                  <c:v>2020</c:v>
                </c:pt>
                <c:pt idx="7">
                  <c:v>2021</c:v>
                </c:pt>
                <c:pt idx="8">
                  <c:v>2022</c:v>
                </c:pt>
                <c:pt idx="9">
                  <c:v>2023</c:v>
                </c:pt>
                <c:pt idx="10">
                  <c:v>2024 OS</c:v>
                </c:pt>
                <c:pt idx="11">
                  <c:v>2025 N</c:v>
                </c:pt>
              </c:strCache>
            </c:strRef>
          </c:cat>
          <c:val>
            <c:numRef>
              <c:f>'podpora rodiny MPSVR SR'!$D$55:$P$55</c:f>
              <c:numCache>
                <c:formatCode>#\ ##0.0</c:formatCode>
                <c:ptCount val="12"/>
                <c:pt idx="0">
                  <c:v>0</c:v>
                </c:pt>
                <c:pt idx="1">
                  <c:v>0</c:v>
                </c:pt>
                <c:pt idx="2">
                  <c:v>0</c:v>
                </c:pt>
                <c:pt idx="3">
                  <c:v>0</c:v>
                </c:pt>
                <c:pt idx="4">
                  <c:v>0</c:v>
                </c:pt>
                <c:pt idx="5">
                  <c:v>56.899582810000005</c:v>
                </c:pt>
                <c:pt idx="6">
                  <c:v>80.610888870000011</c:v>
                </c:pt>
                <c:pt idx="7">
                  <c:v>73.342354900000004</c:v>
                </c:pt>
                <c:pt idx="8">
                  <c:v>0</c:v>
                </c:pt>
                <c:pt idx="9">
                  <c:v>112.650417</c:v>
                </c:pt>
                <c:pt idx="10">
                  <c:v>180</c:v>
                </c:pt>
                <c:pt idx="11">
                  <c:v>190</c:v>
                </c:pt>
              </c:numCache>
            </c:numRef>
          </c:val>
          <c:extLst>
            <c:ext xmlns:c16="http://schemas.microsoft.com/office/drawing/2014/chart" uri="{C3380CC4-5D6E-409C-BE32-E72D297353CC}">
              <c16:uniqueId val="{00000002-A5E2-4D40-8D56-87E03DB7771E}"/>
            </c:ext>
          </c:extLst>
        </c:ser>
        <c:ser>
          <c:idx val="4"/>
          <c:order val="4"/>
          <c:tx>
            <c:strRef>
              <c:f>'podpora rodiny MPSVR SR'!$C$56</c:f>
              <c:strCache>
                <c:ptCount val="1"/>
                <c:pt idx="0">
                  <c:v>Ostatné príspevky na podporu rodiny</c:v>
                </c:pt>
              </c:strCache>
            </c:strRef>
          </c:tx>
          <c:spPr>
            <a:solidFill>
              <a:schemeClr val="accent5"/>
            </a:solidFill>
            <a:ln>
              <a:noFill/>
            </a:ln>
            <a:effectLst/>
          </c:spPr>
          <c:invertIfNegative val="0"/>
          <c:cat>
            <c:strRef>
              <c:f>'podpora rodiny MPSVR SR'!$D$51:$P$51</c:f>
              <c:strCache>
                <c:ptCount val="12"/>
                <c:pt idx="0">
                  <c:v>2014</c:v>
                </c:pt>
                <c:pt idx="1">
                  <c:v>2015</c:v>
                </c:pt>
                <c:pt idx="2">
                  <c:v>2016</c:v>
                </c:pt>
                <c:pt idx="3">
                  <c:v>2017</c:v>
                </c:pt>
                <c:pt idx="4">
                  <c:v>2018</c:v>
                </c:pt>
                <c:pt idx="5">
                  <c:v>2019</c:v>
                </c:pt>
                <c:pt idx="6">
                  <c:v>2020</c:v>
                </c:pt>
                <c:pt idx="7">
                  <c:v>2021</c:v>
                </c:pt>
                <c:pt idx="8">
                  <c:v>2022</c:v>
                </c:pt>
                <c:pt idx="9">
                  <c:v>2023</c:v>
                </c:pt>
                <c:pt idx="10">
                  <c:v>2024 OS</c:v>
                </c:pt>
                <c:pt idx="11">
                  <c:v>2025 N</c:v>
                </c:pt>
              </c:strCache>
            </c:strRef>
          </c:cat>
          <c:val>
            <c:numRef>
              <c:f>'podpora rodiny MPSVR SR'!$D$56:$P$56</c:f>
              <c:numCache>
                <c:formatCode>#\ ##0.0</c:formatCode>
                <c:ptCount val="12"/>
                <c:pt idx="0">
                  <c:v>46.048785799999997</c:v>
                </c:pt>
                <c:pt idx="1">
                  <c:v>45.582954770000001</c:v>
                </c:pt>
                <c:pt idx="2">
                  <c:v>47.860929540000001</c:v>
                </c:pt>
                <c:pt idx="3">
                  <c:v>48.134330119999994</c:v>
                </c:pt>
                <c:pt idx="4">
                  <c:v>48.122571289999996</c:v>
                </c:pt>
                <c:pt idx="5">
                  <c:v>47.471742999999996</c:v>
                </c:pt>
                <c:pt idx="6">
                  <c:v>47.079217749999998</c:v>
                </c:pt>
                <c:pt idx="7">
                  <c:v>47.915041819999999</c:v>
                </c:pt>
                <c:pt idx="8">
                  <c:v>48.699356000000002</c:v>
                </c:pt>
                <c:pt idx="9">
                  <c:v>40.944327999999999</c:v>
                </c:pt>
                <c:pt idx="10">
                  <c:v>42.76</c:v>
                </c:pt>
                <c:pt idx="11">
                  <c:v>51.056716000000002</c:v>
                </c:pt>
              </c:numCache>
            </c:numRef>
          </c:val>
          <c:extLst>
            <c:ext xmlns:c16="http://schemas.microsoft.com/office/drawing/2014/chart" uri="{C3380CC4-5D6E-409C-BE32-E72D297353CC}">
              <c16:uniqueId val="{00000003-A5E2-4D40-8D56-87E03DB7771E}"/>
            </c:ext>
          </c:extLst>
        </c:ser>
        <c:dLbls>
          <c:showLegendKey val="0"/>
          <c:showVal val="0"/>
          <c:showCatName val="0"/>
          <c:showSerName val="0"/>
          <c:showPercent val="0"/>
          <c:showBubbleSize val="0"/>
        </c:dLbls>
        <c:gapWidth val="100"/>
        <c:overlap val="100"/>
        <c:axId val="2001356319"/>
        <c:axId val="2001364223"/>
        <c:extLst>
          <c:ext xmlns:c15="http://schemas.microsoft.com/office/drawing/2012/chart" uri="{02D57815-91ED-43cb-92C2-25804820EDAC}">
            <c15:filteredBarSeries>
              <c15:ser>
                <c:idx val="2"/>
                <c:order val="2"/>
                <c:tx>
                  <c:strRef>
                    <c:extLst>
                      <c:ext uri="{02D57815-91ED-43cb-92C2-25804820EDAC}">
                        <c15:formulaRef>
                          <c15:sqref>'podpora rodiny MPSVR SR'!$C$54</c15:sqref>
                        </c15:formulaRef>
                      </c:ext>
                    </c:extLst>
                    <c:strCache>
                      <c:ptCount val="1"/>
                      <c:pt idx="0">
                        <c:v>Príspevok na starostlivosť o dieťa</c:v>
                      </c:pt>
                    </c:strCache>
                  </c:strRef>
                </c:tx>
                <c:spPr>
                  <a:solidFill>
                    <a:schemeClr val="accent3"/>
                  </a:solidFill>
                  <a:ln>
                    <a:noFill/>
                  </a:ln>
                  <a:effectLst/>
                </c:spPr>
                <c:invertIfNegative val="0"/>
                <c:cat>
                  <c:strRef>
                    <c:extLst>
                      <c:ext uri="{02D57815-91ED-43cb-92C2-25804820EDAC}">
                        <c15:formulaRef>
                          <c15:sqref>'podpora rodiny MPSVR SR'!$D$51:$P$51</c15:sqref>
                        </c15:formulaRef>
                      </c:ext>
                    </c:extLst>
                    <c:strCache>
                      <c:ptCount val="12"/>
                      <c:pt idx="0">
                        <c:v>2014</c:v>
                      </c:pt>
                      <c:pt idx="1">
                        <c:v>2015</c:v>
                      </c:pt>
                      <c:pt idx="2">
                        <c:v>2016</c:v>
                      </c:pt>
                      <c:pt idx="3">
                        <c:v>2017</c:v>
                      </c:pt>
                      <c:pt idx="4">
                        <c:v>2018</c:v>
                      </c:pt>
                      <c:pt idx="5">
                        <c:v>2019</c:v>
                      </c:pt>
                      <c:pt idx="6">
                        <c:v>2020</c:v>
                      </c:pt>
                      <c:pt idx="7">
                        <c:v>2021</c:v>
                      </c:pt>
                      <c:pt idx="8">
                        <c:v>2022</c:v>
                      </c:pt>
                      <c:pt idx="9">
                        <c:v>2023</c:v>
                      </c:pt>
                      <c:pt idx="10">
                        <c:v>2024 OS</c:v>
                      </c:pt>
                      <c:pt idx="11">
                        <c:v>2025 N</c:v>
                      </c:pt>
                    </c:strCache>
                  </c:strRef>
                </c:cat>
                <c:val>
                  <c:numRef>
                    <c:extLst>
                      <c:ext uri="{02D57815-91ED-43cb-92C2-25804820EDAC}">
                        <c15:formulaRef>
                          <c15:sqref>'podpora rodiny MPSVR SR'!$D$54:$P$54</c15:sqref>
                        </c15:formulaRef>
                      </c:ext>
                    </c:extLst>
                    <c:numCache>
                      <c:formatCode>#\ ##0.0</c:formatCode>
                      <c:ptCount val="12"/>
                      <c:pt idx="0">
                        <c:v>1.5868880600000002</c:v>
                      </c:pt>
                      <c:pt idx="1">
                        <c:v>2.4463666499999999</c:v>
                      </c:pt>
                      <c:pt idx="2">
                        <c:v>5.7601038200000003</c:v>
                      </c:pt>
                      <c:pt idx="3">
                        <c:v>1.6590509899999999</c:v>
                      </c:pt>
                      <c:pt idx="4">
                        <c:v>7.6080507900000001</c:v>
                      </c:pt>
                      <c:pt idx="5">
                        <c:v>2.7686713300000001</c:v>
                      </c:pt>
                      <c:pt idx="6">
                        <c:v>0.24002891000000001</c:v>
                      </c:pt>
                      <c:pt idx="7">
                        <c:v>0.47061322</c:v>
                      </c:pt>
                      <c:pt idx="8">
                        <c:v>0.41308986999999997</c:v>
                      </c:pt>
                      <c:pt idx="9">
                        <c:v>0.34116800000000003</c:v>
                      </c:pt>
                      <c:pt idx="10">
                        <c:v>0.36</c:v>
                      </c:pt>
                      <c:pt idx="11">
                        <c:v>0.5</c:v>
                      </c:pt>
                    </c:numCache>
                  </c:numRef>
                </c:val>
                <c:extLst>
                  <c:ext xmlns:c16="http://schemas.microsoft.com/office/drawing/2014/chart" uri="{C3380CC4-5D6E-409C-BE32-E72D297353CC}">
                    <c16:uniqueId val="{00000004-A5E2-4D40-8D56-87E03DB7771E}"/>
                  </c:ext>
                </c:extLst>
              </c15:ser>
            </c15:filteredBarSeries>
          </c:ext>
        </c:extLst>
      </c:barChart>
      <c:catAx>
        <c:axId val="2001356319"/>
        <c:scaling>
          <c:orientation val="minMax"/>
        </c:scaling>
        <c:delete val="0"/>
        <c:axPos val="b"/>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tx2"/>
                  </a:gs>
                </a:gsLst>
                <a:lin ang="5400000" scaled="1"/>
              </a:gra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2001364223"/>
        <c:crosses val="autoZero"/>
        <c:auto val="1"/>
        <c:lblAlgn val="ctr"/>
        <c:lblOffset val="100"/>
        <c:noMultiLvlLbl val="0"/>
      </c:catAx>
      <c:valAx>
        <c:axId val="2001364223"/>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2001356319"/>
        <c:crosses val="autoZero"/>
        <c:crossBetween val="between"/>
      </c:valAx>
      <c:spPr>
        <a:noFill/>
        <a:ln>
          <a:noFill/>
        </a:ln>
        <a:effectLst/>
      </c:spPr>
    </c:plotArea>
    <c:legend>
      <c:legendPos val="b"/>
      <c:layout>
        <c:manualLayout>
          <c:xMode val="edge"/>
          <c:yMode val="edge"/>
          <c:x val="1.0291320808375252E-2"/>
          <c:y val="0.70408810638837016"/>
          <c:w val="0.96587334032455896"/>
          <c:h val="0.2959118936116298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CFA9320A03148E98EF733F7A917AECF"/>
        <w:category>
          <w:name w:val="Všeobecné"/>
          <w:gallery w:val="placeholder"/>
        </w:category>
        <w:types>
          <w:type w:val="bbPlcHdr"/>
        </w:types>
        <w:behaviors>
          <w:behavior w:val="content"/>
        </w:behaviors>
        <w:guid w:val="{EAF649BF-7601-4D14-95D7-FEA20E0734E3}"/>
      </w:docPartPr>
      <w:docPartBody>
        <w:p w:rsidR="00F869BD" w:rsidRDefault="000B5EA4">
          <w:pPr>
            <w:pStyle w:val="4CFA9320A03148E98EF733F7A917AECF"/>
          </w:pPr>
          <w:r w:rsidRPr="00F539EB">
            <w:t>Názov</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0002AFF" w:usb1="4000ACFF" w:usb2="00000001"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A0002AEF" w:usb1="4000207B" w:usb2="00000000" w:usb3="00000000" w:csb0="000001FF" w:csb1="00000000"/>
  </w:font>
  <w:font w:name="Montserrat">
    <w:panose1 w:val="00000500000000000000"/>
    <w:charset w:val="EE"/>
    <w:family w:val="auto"/>
    <w:pitch w:val="variable"/>
    <w:sig w:usb0="2000020F" w:usb1="00000003" w:usb2="00000000" w:usb3="00000000" w:csb0="00000197"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A4"/>
    <w:rsid w:val="000155BB"/>
    <w:rsid w:val="000164C9"/>
    <w:rsid w:val="00025698"/>
    <w:rsid w:val="00026327"/>
    <w:rsid w:val="00051058"/>
    <w:rsid w:val="00051587"/>
    <w:rsid w:val="00074BF0"/>
    <w:rsid w:val="000753FB"/>
    <w:rsid w:val="000757F3"/>
    <w:rsid w:val="000779F4"/>
    <w:rsid w:val="0008392F"/>
    <w:rsid w:val="00090411"/>
    <w:rsid w:val="00095B24"/>
    <w:rsid w:val="000B5EA4"/>
    <w:rsid w:val="000D221B"/>
    <w:rsid w:val="000D59E5"/>
    <w:rsid w:val="000E0014"/>
    <w:rsid w:val="000F2519"/>
    <w:rsid w:val="001068C9"/>
    <w:rsid w:val="001341D1"/>
    <w:rsid w:val="00146A9B"/>
    <w:rsid w:val="001510FC"/>
    <w:rsid w:val="00161F43"/>
    <w:rsid w:val="001702EC"/>
    <w:rsid w:val="00173F9A"/>
    <w:rsid w:val="001A3F0F"/>
    <w:rsid w:val="001B2297"/>
    <w:rsid w:val="001C1755"/>
    <w:rsid w:val="001C3668"/>
    <w:rsid w:val="001D407D"/>
    <w:rsid w:val="001E101E"/>
    <w:rsid w:val="001F222D"/>
    <w:rsid w:val="00200D05"/>
    <w:rsid w:val="00206384"/>
    <w:rsid w:val="0022539B"/>
    <w:rsid w:val="00245E84"/>
    <w:rsid w:val="002636A4"/>
    <w:rsid w:val="002A281C"/>
    <w:rsid w:val="002A6B14"/>
    <w:rsid w:val="002B3011"/>
    <w:rsid w:val="002B539A"/>
    <w:rsid w:val="002E2938"/>
    <w:rsid w:val="002F18B5"/>
    <w:rsid w:val="002F3D7E"/>
    <w:rsid w:val="00300EBA"/>
    <w:rsid w:val="003114CE"/>
    <w:rsid w:val="00311810"/>
    <w:rsid w:val="00311B34"/>
    <w:rsid w:val="00320C18"/>
    <w:rsid w:val="0032329F"/>
    <w:rsid w:val="0033071D"/>
    <w:rsid w:val="003602D9"/>
    <w:rsid w:val="003613A8"/>
    <w:rsid w:val="003F6E9C"/>
    <w:rsid w:val="00417AA4"/>
    <w:rsid w:val="00426F67"/>
    <w:rsid w:val="004366F6"/>
    <w:rsid w:val="004A10F5"/>
    <w:rsid w:val="004D3EE4"/>
    <w:rsid w:val="004D5093"/>
    <w:rsid w:val="004F2A25"/>
    <w:rsid w:val="004F521F"/>
    <w:rsid w:val="004F6F21"/>
    <w:rsid w:val="004F6F4A"/>
    <w:rsid w:val="00503020"/>
    <w:rsid w:val="005063DA"/>
    <w:rsid w:val="0053304F"/>
    <w:rsid w:val="00540DCF"/>
    <w:rsid w:val="00542D8C"/>
    <w:rsid w:val="00547289"/>
    <w:rsid w:val="00555DF4"/>
    <w:rsid w:val="005609D7"/>
    <w:rsid w:val="00566E10"/>
    <w:rsid w:val="00571B9F"/>
    <w:rsid w:val="005A2F95"/>
    <w:rsid w:val="005A6CD2"/>
    <w:rsid w:val="005B3EF0"/>
    <w:rsid w:val="005C3A79"/>
    <w:rsid w:val="005F3E82"/>
    <w:rsid w:val="00605AC0"/>
    <w:rsid w:val="00637F6A"/>
    <w:rsid w:val="00652CEF"/>
    <w:rsid w:val="00680922"/>
    <w:rsid w:val="006826E8"/>
    <w:rsid w:val="006850A5"/>
    <w:rsid w:val="006A4A9B"/>
    <w:rsid w:val="006B65E7"/>
    <w:rsid w:val="006C728C"/>
    <w:rsid w:val="006E7EB5"/>
    <w:rsid w:val="00703393"/>
    <w:rsid w:val="007153BF"/>
    <w:rsid w:val="00717F15"/>
    <w:rsid w:val="0073760A"/>
    <w:rsid w:val="007729E5"/>
    <w:rsid w:val="00785750"/>
    <w:rsid w:val="007B09B5"/>
    <w:rsid w:val="007E35BF"/>
    <w:rsid w:val="0082313E"/>
    <w:rsid w:val="00830374"/>
    <w:rsid w:val="00856A38"/>
    <w:rsid w:val="00857BE3"/>
    <w:rsid w:val="00866161"/>
    <w:rsid w:val="00871FA8"/>
    <w:rsid w:val="00875292"/>
    <w:rsid w:val="0088295B"/>
    <w:rsid w:val="008874F2"/>
    <w:rsid w:val="0089379D"/>
    <w:rsid w:val="008A0161"/>
    <w:rsid w:val="008C7E9E"/>
    <w:rsid w:val="008D2D53"/>
    <w:rsid w:val="008F3D9C"/>
    <w:rsid w:val="0090442D"/>
    <w:rsid w:val="00914754"/>
    <w:rsid w:val="00915D3A"/>
    <w:rsid w:val="00954036"/>
    <w:rsid w:val="00964B5B"/>
    <w:rsid w:val="009C4458"/>
    <w:rsid w:val="00A36ADA"/>
    <w:rsid w:val="00A40856"/>
    <w:rsid w:val="00A43229"/>
    <w:rsid w:val="00A43C2B"/>
    <w:rsid w:val="00A45C8F"/>
    <w:rsid w:val="00A5790C"/>
    <w:rsid w:val="00A62144"/>
    <w:rsid w:val="00A65A7E"/>
    <w:rsid w:val="00A76514"/>
    <w:rsid w:val="00AB78A0"/>
    <w:rsid w:val="00AE1F00"/>
    <w:rsid w:val="00AE27B6"/>
    <w:rsid w:val="00AF1584"/>
    <w:rsid w:val="00B648A8"/>
    <w:rsid w:val="00B76CE5"/>
    <w:rsid w:val="00B82EF1"/>
    <w:rsid w:val="00B86EC0"/>
    <w:rsid w:val="00BC4C5D"/>
    <w:rsid w:val="00BC5681"/>
    <w:rsid w:val="00BC5B29"/>
    <w:rsid w:val="00BE72F9"/>
    <w:rsid w:val="00BF39BF"/>
    <w:rsid w:val="00C00643"/>
    <w:rsid w:val="00C060B5"/>
    <w:rsid w:val="00C1534B"/>
    <w:rsid w:val="00C1583C"/>
    <w:rsid w:val="00C3332C"/>
    <w:rsid w:val="00C60099"/>
    <w:rsid w:val="00C660D1"/>
    <w:rsid w:val="00CB5572"/>
    <w:rsid w:val="00CB5BC2"/>
    <w:rsid w:val="00CF5732"/>
    <w:rsid w:val="00D24A70"/>
    <w:rsid w:val="00D34DF9"/>
    <w:rsid w:val="00D4764E"/>
    <w:rsid w:val="00D53BA6"/>
    <w:rsid w:val="00D76FEE"/>
    <w:rsid w:val="00D84196"/>
    <w:rsid w:val="00DA664B"/>
    <w:rsid w:val="00DC6BB4"/>
    <w:rsid w:val="00DF3852"/>
    <w:rsid w:val="00E4186E"/>
    <w:rsid w:val="00E63F4D"/>
    <w:rsid w:val="00E84930"/>
    <w:rsid w:val="00EA4551"/>
    <w:rsid w:val="00EE0899"/>
    <w:rsid w:val="00F15998"/>
    <w:rsid w:val="00F351AD"/>
    <w:rsid w:val="00F46DEB"/>
    <w:rsid w:val="00F51A6E"/>
    <w:rsid w:val="00F51A9B"/>
    <w:rsid w:val="00F668C5"/>
    <w:rsid w:val="00F72812"/>
    <w:rsid w:val="00F85475"/>
    <w:rsid w:val="00F869BD"/>
    <w:rsid w:val="00FA0951"/>
    <w:rsid w:val="00FB0CA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4CFA9320A03148E98EF733F7A917AECF">
    <w:name w:val="4CFA9320A03148E98EF733F7A917AECF"/>
  </w:style>
  <w:style w:type="paragraph" w:customStyle="1" w:styleId="638D3FBF853047F4884D2C6F99BBF025">
    <w:name w:val="638D3FBF853047F4884D2C6F99BBF025"/>
    <w:rsid w:val="00915D3A"/>
  </w:style>
  <w:style w:type="paragraph" w:customStyle="1" w:styleId="528060612E6C45EFB01AA622802816BB">
    <w:name w:val="528060612E6C45EFB01AA622802816BB"/>
    <w:rsid w:val="00915D3A"/>
  </w:style>
  <w:style w:type="paragraph" w:customStyle="1" w:styleId="6184F4EE737B4A10A86411EE59B693AC">
    <w:name w:val="6184F4EE737B4A10A86411EE59B693AC"/>
    <w:rsid w:val="00915D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ív balíka Office">
  <a:themeElements>
    <a:clrScheme name="NKÚ SR">
      <a:dk1>
        <a:sysClr val="windowText" lastClr="000000"/>
      </a:dk1>
      <a:lt1>
        <a:sysClr val="window" lastClr="FFFFFF"/>
      </a:lt1>
      <a:dk2>
        <a:srgbClr val="314364"/>
      </a:dk2>
      <a:lt2>
        <a:srgbClr val="9CB9EC"/>
      </a:lt2>
      <a:accent1>
        <a:srgbClr val="314364"/>
      </a:accent1>
      <a:accent2>
        <a:srgbClr val="9CB9EC"/>
      </a:accent2>
      <a:accent3>
        <a:srgbClr val="6D87B7"/>
      </a:accent3>
      <a:accent4>
        <a:srgbClr val="B3BECF"/>
      </a:accent4>
      <a:accent5>
        <a:srgbClr val="B7706D"/>
      </a:accent5>
      <a:accent6>
        <a:srgbClr val="F55647"/>
      </a:accent6>
      <a:hlink>
        <a:srgbClr val="314364"/>
      </a:hlink>
      <a:folHlink>
        <a:srgbClr val="31436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NKÚ">
    <a:dk1>
      <a:sysClr val="windowText" lastClr="000000"/>
    </a:dk1>
    <a:lt1>
      <a:sysClr val="window" lastClr="FFFFFF"/>
    </a:lt1>
    <a:dk2>
      <a:srgbClr val="314364"/>
    </a:dk2>
    <a:lt2>
      <a:srgbClr val="9CB9EC"/>
    </a:lt2>
    <a:accent1>
      <a:srgbClr val="314364"/>
    </a:accent1>
    <a:accent2>
      <a:srgbClr val="9CB9EC"/>
    </a:accent2>
    <a:accent3>
      <a:srgbClr val="6D87B7"/>
    </a:accent3>
    <a:accent4>
      <a:srgbClr val="B3BECF"/>
    </a:accent4>
    <a:accent5>
      <a:srgbClr val="B7706D"/>
    </a:accent5>
    <a:accent6>
      <a:srgbClr val="F55647"/>
    </a:accent6>
    <a:hlink>
      <a:srgbClr val="314364"/>
    </a:hlink>
    <a:folHlink>
      <a:srgbClr val="31436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NKÚ">
    <a:dk1>
      <a:sysClr val="windowText" lastClr="000000"/>
    </a:dk1>
    <a:lt1>
      <a:sysClr val="window" lastClr="FFFFFF"/>
    </a:lt1>
    <a:dk2>
      <a:srgbClr val="314364"/>
    </a:dk2>
    <a:lt2>
      <a:srgbClr val="9CB9EC"/>
    </a:lt2>
    <a:accent1>
      <a:srgbClr val="314364"/>
    </a:accent1>
    <a:accent2>
      <a:srgbClr val="9CB9EC"/>
    </a:accent2>
    <a:accent3>
      <a:srgbClr val="6D87B7"/>
    </a:accent3>
    <a:accent4>
      <a:srgbClr val="B3BECF"/>
    </a:accent4>
    <a:accent5>
      <a:srgbClr val="B7706D"/>
    </a:accent5>
    <a:accent6>
      <a:srgbClr val="F55647"/>
    </a:accent6>
    <a:hlink>
      <a:srgbClr val="314364"/>
    </a:hlink>
    <a:folHlink>
      <a:srgbClr val="31436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NKÚ">
    <a:dk1>
      <a:sysClr val="windowText" lastClr="000000"/>
    </a:dk1>
    <a:lt1>
      <a:sysClr val="window" lastClr="FFFFFF"/>
    </a:lt1>
    <a:dk2>
      <a:srgbClr val="314364"/>
    </a:dk2>
    <a:lt2>
      <a:srgbClr val="9CB9EC"/>
    </a:lt2>
    <a:accent1>
      <a:srgbClr val="314364"/>
    </a:accent1>
    <a:accent2>
      <a:srgbClr val="9CB9EC"/>
    </a:accent2>
    <a:accent3>
      <a:srgbClr val="6D87B7"/>
    </a:accent3>
    <a:accent4>
      <a:srgbClr val="B3BECF"/>
    </a:accent4>
    <a:accent5>
      <a:srgbClr val="B7706D"/>
    </a:accent5>
    <a:accent6>
      <a:srgbClr val="F55647"/>
    </a:accent6>
    <a:hlink>
      <a:srgbClr val="314364"/>
    </a:hlink>
    <a:folHlink>
      <a:srgbClr val="31436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NKÚ">
    <a:dk1>
      <a:sysClr val="windowText" lastClr="000000"/>
    </a:dk1>
    <a:lt1>
      <a:sysClr val="window" lastClr="FFFFFF"/>
    </a:lt1>
    <a:dk2>
      <a:srgbClr val="314364"/>
    </a:dk2>
    <a:lt2>
      <a:srgbClr val="9CB9EC"/>
    </a:lt2>
    <a:accent1>
      <a:srgbClr val="314364"/>
    </a:accent1>
    <a:accent2>
      <a:srgbClr val="9CB9EC"/>
    </a:accent2>
    <a:accent3>
      <a:srgbClr val="6D87B7"/>
    </a:accent3>
    <a:accent4>
      <a:srgbClr val="B3BECF"/>
    </a:accent4>
    <a:accent5>
      <a:srgbClr val="B7706D"/>
    </a:accent5>
    <a:accent6>
      <a:srgbClr val="F55647"/>
    </a:accent6>
    <a:hlink>
      <a:srgbClr val="314364"/>
    </a:hlink>
    <a:folHlink>
      <a:srgbClr val="31436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NKÚ SR">
    <a:dk1>
      <a:sysClr val="windowText" lastClr="000000"/>
    </a:dk1>
    <a:lt1>
      <a:sysClr val="window" lastClr="FFFFFF"/>
    </a:lt1>
    <a:dk2>
      <a:srgbClr val="314364"/>
    </a:dk2>
    <a:lt2>
      <a:srgbClr val="9CB9EC"/>
    </a:lt2>
    <a:accent1>
      <a:srgbClr val="314364"/>
    </a:accent1>
    <a:accent2>
      <a:srgbClr val="9CB9EC"/>
    </a:accent2>
    <a:accent3>
      <a:srgbClr val="6D87B7"/>
    </a:accent3>
    <a:accent4>
      <a:srgbClr val="B3BECF"/>
    </a:accent4>
    <a:accent5>
      <a:srgbClr val="B7706D"/>
    </a:accent5>
    <a:accent6>
      <a:srgbClr val="F55647"/>
    </a:accent6>
    <a:hlink>
      <a:srgbClr val="314364"/>
    </a:hlink>
    <a:folHlink>
      <a:srgbClr val="31436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NKÚ SR">
    <a:dk1>
      <a:sysClr val="windowText" lastClr="000000"/>
    </a:dk1>
    <a:lt1>
      <a:sysClr val="window" lastClr="FFFFFF"/>
    </a:lt1>
    <a:dk2>
      <a:srgbClr val="314364"/>
    </a:dk2>
    <a:lt2>
      <a:srgbClr val="9CB9EC"/>
    </a:lt2>
    <a:accent1>
      <a:srgbClr val="314364"/>
    </a:accent1>
    <a:accent2>
      <a:srgbClr val="9CB9EC"/>
    </a:accent2>
    <a:accent3>
      <a:srgbClr val="6D87B7"/>
    </a:accent3>
    <a:accent4>
      <a:srgbClr val="B3BECF"/>
    </a:accent4>
    <a:accent5>
      <a:srgbClr val="B7706D"/>
    </a:accent5>
    <a:accent6>
      <a:srgbClr val="F55647"/>
    </a:accent6>
    <a:hlink>
      <a:srgbClr val="314364"/>
    </a:hlink>
    <a:folHlink>
      <a:srgbClr val="31436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NKÚ">
    <a:dk1>
      <a:sysClr val="windowText" lastClr="000000"/>
    </a:dk1>
    <a:lt1>
      <a:sysClr val="window" lastClr="FFFFFF"/>
    </a:lt1>
    <a:dk2>
      <a:srgbClr val="314364"/>
    </a:dk2>
    <a:lt2>
      <a:srgbClr val="9CB9EC"/>
    </a:lt2>
    <a:accent1>
      <a:srgbClr val="314364"/>
    </a:accent1>
    <a:accent2>
      <a:srgbClr val="9CB9EC"/>
    </a:accent2>
    <a:accent3>
      <a:srgbClr val="6D87B7"/>
    </a:accent3>
    <a:accent4>
      <a:srgbClr val="B3BECF"/>
    </a:accent4>
    <a:accent5>
      <a:srgbClr val="B7706D"/>
    </a:accent5>
    <a:accent6>
      <a:srgbClr val="F55647"/>
    </a:accent6>
    <a:hlink>
      <a:srgbClr val="314364"/>
    </a:hlink>
    <a:folHlink>
      <a:srgbClr val="31436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NKÚ">
    <a:dk1>
      <a:sysClr val="windowText" lastClr="000000"/>
    </a:dk1>
    <a:lt1>
      <a:sysClr val="window" lastClr="FFFFFF"/>
    </a:lt1>
    <a:dk2>
      <a:srgbClr val="314364"/>
    </a:dk2>
    <a:lt2>
      <a:srgbClr val="9CB9EC"/>
    </a:lt2>
    <a:accent1>
      <a:srgbClr val="314364"/>
    </a:accent1>
    <a:accent2>
      <a:srgbClr val="9CB9EC"/>
    </a:accent2>
    <a:accent3>
      <a:srgbClr val="6D87B7"/>
    </a:accent3>
    <a:accent4>
      <a:srgbClr val="B3BECF"/>
    </a:accent4>
    <a:accent5>
      <a:srgbClr val="B7706D"/>
    </a:accent5>
    <a:accent6>
      <a:srgbClr val="F55647"/>
    </a:accent6>
    <a:hlink>
      <a:srgbClr val="314364"/>
    </a:hlink>
    <a:folHlink>
      <a:srgbClr val="31436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NKÚ">
    <a:dk1>
      <a:sysClr val="windowText" lastClr="000000"/>
    </a:dk1>
    <a:lt1>
      <a:sysClr val="window" lastClr="FFFFFF"/>
    </a:lt1>
    <a:dk2>
      <a:srgbClr val="314364"/>
    </a:dk2>
    <a:lt2>
      <a:srgbClr val="9CB9EC"/>
    </a:lt2>
    <a:accent1>
      <a:srgbClr val="314364"/>
    </a:accent1>
    <a:accent2>
      <a:srgbClr val="9CB9EC"/>
    </a:accent2>
    <a:accent3>
      <a:srgbClr val="6D87B7"/>
    </a:accent3>
    <a:accent4>
      <a:srgbClr val="B3BECF"/>
    </a:accent4>
    <a:accent5>
      <a:srgbClr val="B7706D"/>
    </a:accent5>
    <a:accent6>
      <a:srgbClr val="F55647"/>
    </a:accent6>
    <a:hlink>
      <a:srgbClr val="314364"/>
    </a:hlink>
    <a:folHlink>
      <a:srgbClr val="31436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NKÚ">
    <a:dk1>
      <a:sysClr val="windowText" lastClr="000000"/>
    </a:dk1>
    <a:lt1>
      <a:sysClr val="window" lastClr="FFFFFF"/>
    </a:lt1>
    <a:dk2>
      <a:srgbClr val="314364"/>
    </a:dk2>
    <a:lt2>
      <a:srgbClr val="9CB9EC"/>
    </a:lt2>
    <a:accent1>
      <a:srgbClr val="314364"/>
    </a:accent1>
    <a:accent2>
      <a:srgbClr val="9CB9EC"/>
    </a:accent2>
    <a:accent3>
      <a:srgbClr val="6D87B7"/>
    </a:accent3>
    <a:accent4>
      <a:srgbClr val="B3BECF"/>
    </a:accent4>
    <a:accent5>
      <a:srgbClr val="B7706D"/>
    </a:accent5>
    <a:accent6>
      <a:srgbClr val="F55647"/>
    </a:accent6>
    <a:hlink>
      <a:srgbClr val="314364"/>
    </a:hlink>
    <a:folHlink>
      <a:srgbClr val="31436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NKÚ">
    <a:dk1>
      <a:sysClr val="windowText" lastClr="000000"/>
    </a:dk1>
    <a:lt1>
      <a:sysClr val="window" lastClr="FFFFFF"/>
    </a:lt1>
    <a:dk2>
      <a:srgbClr val="314364"/>
    </a:dk2>
    <a:lt2>
      <a:srgbClr val="9CB9EC"/>
    </a:lt2>
    <a:accent1>
      <a:srgbClr val="314364"/>
    </a:accent1>
    <a:accent2>
      <a:srgbClr val="9CB9EC"/>
    </a:accent2>
    <a:accent3>
      <a:srgbClr val="6D87B7"/>
    </a:accent3>
    <a:accent4>
      <a:srgbClr val="B3BECF"/>
    </a:accent4>
    <a:accent5>
      <a:srgbClr val="B7706D"/>
    </a:accent5>
    <a:accent6>
      <a:srgbClr val="F55647"/>
    </a:accent6>
    <a:hlink>
      <a:srgbClr val="314364"/>
    </a:hlink>
    <a:folHlink>
      <a:srgbClr val="31436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NKÚ">
    <a:dk1>
      <a:sysClr val="windowText" lastClr="000000"/>
    </a:dk1>
    <a:lt1>
      <a:sysClr val="window" lastClr="FFFFFF"/>
    </a:lt1>
    <a:dk2>
      <a:srgbClr val="314364"/>
    </a:dk2>
    <a:lt2>
      <a:srgbClr val="9CB9EC"/>
    </a:lt2>
    <a:accent1>
      <a:srgbClr val="314364"/>
    </a:accent1>
    <a:accent2>
      <a:srgbClr val="9CB9EC"/>
    </a:accent2>
    <a:accent3>
      <a:srgbClr val="6D87B7"/>
    </a:accent3>
    <a:accent4>
      <a:srgbClr val="B3BECF"/>
    </a:accent4>
    <a:accent5>
      <a:srgbClr val="B7706D"/>
    </a:accent5>
    <a:accent6>
      <a:srgbClr val="F55647"/>
    </a:accent6>
    <a:hlink>
      <a:srgbClr val="314364"/>
    </a:hlink>
    <a:folHlink>
      <a:srgbClr val="31436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NKÚ SR">
    <a:dk1>
      <a:sysClr val="windowText" lastClr="000000"/>
    </a:dk1>
    <a:lt1>
      <a:sysClr val="window" lastClr="FFFFFF"/>
    </a:lt1>
    <a:dk2>
      <a:srgbClr val="314364"/>
    </a:dk2>
    <a:lt2>
      <a:srgbClr val="9CB9EC"/>
    </a:lt2>
    <a:accent1>
      <a:srgbClr val="314364"/>
    </a:accent1>
    <a:accent2>
      <a:srgbClr val="9CB9EC"/>
    </a:accent2>
    <a:accent3>
      <a:srgbClr val="6D87B7"/>
    </a:accent3>
    <a:accent4>
      <a:srgbClr val="B3BECF"/>
    </a:accent4>
    <a:accent5>
      <a:srgbClr val="B7706D"/>
    </a:accent5>
    <a:accent6>
      <a:srgbClr val="F55647"/>
    </a:accent6>
    <a:hlink>
      <a:srgbClr val="314364"/>
    </a:hlink>
    <a:folHlink>
      <a:srgbClr val="31436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B36A47-46F0-47BB-BB96-246EEC664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Stanovisko OSA.dotx</Template>
  <TotalTime>13</TotalTime>
  <Pages>57</Pages>
  <Words>21440</Words>
  <Characters>122213</Characters>
  <Application>Microsoft Office Word</Application>
  <DocSecurity>0</DocSecurity>
  <Lines>1018</Lines>
  <Paragraphs>286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143367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Onisik Milan</dc:creator>
  <cp:keywords/>
  <dc:description/>
  <cp:lastModifiedBy>Juriová Jana</cp:lastModifiedBy>
  <cp:revision>4</cp:revision>
  <cp:lastPrinted>2024-11-15T09:55:00Z</cp:lastPrinted>
  <dcterms:created xsi:type="dcterms:W3CDTF">2024-11-15T09:45:00Z</dcterms:created>
  <dcterms:modified xsi:type="dcterms:W3CDTF">2024-11-15T09:58:00Z</dcterms:modified>
</cp:coreProperties>
</file>